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54CC4">
      <w:pPr>
        <w:spacing w:after="0" w:line="240" w:lineRule="auto"/>
        <w:jc w:val="center"/>
        <w:rPr>
          <w:rFonts w:ascii="Verdana" w:hAnsi="Verdana" w:eastAsia="Times New Roman"/>
          <w:b/>
          <w:bCs/>
          <w:lang w:eastAsia="es-ES"/>
        </w:rPr>
      </w:pPr>
      <w:bookmarkStart w:id="0" w:name="_GoBack"/>
      <w:bookmarkEnd w:id="0"/>
      <w:r>
        <w:rPr>
          <w:rFonts w:ascii="Verdana" w:hAnsi="Verdana" w:eastAsia="Times New Roman"/>
          <w:b/>
          <w:bCs/>
          <w:lang w:eastAsia="es-ES"/>
        </w:rPr>
        <w:t>Tabla de categorías estandarizadas de impactos ambientales</w:t>
      </w:r>
    </w:p>
    <w:tbl>
      <w:tblPr>
        <w:tblStyle w:val="13"/>
        <w:tblW w:w="9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75"/>
        <w:gridCol w:w="1701"/>
        <w:gridCol w:w="1849"/>
        <w:gridCol w:w="4580"/>
      </w:tblGrid>
      <w:tr w14:paraId="5560B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568" w:type="dxa"/>
            <w:vAlign w:val="center"/>
          </w:tcPr>
          <w:p w14:paraId="23F7B1F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20"/>
                <w:szCs w:val="20"/>
                <w:lang w:eastAsia="es-ES"/>
                <w14:ligatures w14:val="none"/>
              </w:rPr>
              <w:t>N°</w:t>
            </w:r>
          </w:p>
        </w:tc>
        <w:tc>
          <w:tcPr>
            <w:tcW w:w="1275" w:type="dxa"/>
            <w:vAlign w:val="center"/>
          </w:tcPr>
          <w:p w14:paraId="7073780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20"/>
                <w:szCs w:val="20"/>
                <w:lang w:eastAsia="es-ES"/>
                <w14:ligatures w14:val="none"/>
              </w:rPr>
              <w:t>Medio</w:t>
            </w:r>
          </w:p>
        </w:tc>
        <w:tc>
          <w:tcPr>
            <w:tcW w:w="1701" w:type="dxa"/>
            <w:vAlign w:val="center"/>
          </w:tcPr>
          <w:p w14:paraId="18D12EFE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20"/>
                <w:szCs w:val="20"/>
                <w:lang w:eastAsia="es-ES"/>
                <w14:ligatures w14:val="none"/>
              </w:rPr>
              <w:t>Componente</w:t>
            </w:r>
          </w:p>
        </w:tc>
        <w:tc>
          <w:tcPr>
            <w:tcW w:w="1849" w:type="dxa"/>
            <w:vAlign w:val="center"/>
          </w:tcPr>
          <w:p w14:paraId="2C04767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20"/>
                <w:szCs w:val="20"/>
                <w:lang w:eastAsia="es-ES"/>
                <w14:ligatures w14:val="none"/>
              </w:rPr>
              <w:t>Categoría estandarizada de Impacto</w:t>
            </w:r>
          </w:p>
        </w:tc>
        <w:tc>
          <w:tcPr>
            <w:tcW w:w="4580" w:type="dxa"/>
            <w:vAlign w:val="center"/>
          </w:tcPr>
          <w:p w14:paraId="4241121D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20"/>
                <w:szCs w:val="20"/>
                <w:lang w:eastAsia="es-ES"/>
                <w14:ligatures w14:val="none"/>
              </w:rPr>
              <w:t>Definición</w:t>
            </w:r>
          </w:p>
        </w:tc>
      </w:tr>
      <w:tr w14:paraId="4AAFE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568" w:type="dxa"/>
            <w:noWrap/>
            <w:vAlign w:val="center"/>
          </w:tcPr>
          <w:p w14:paraId="7983D36D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</w:p>
        </w:tc>
        <w:tc>
          <w:tcPr>
            <w:tcW w:w="1275" w:type="dxa"/>
            <w:vAlign w:val="center"/>
          </w:tcPr>
          <w:p w14:paraId="5152F036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75D62BF1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Atmosférico</w:t>
            </w:r>
          </w:p>
        </w:tc>
        <w:tc>
          <w:tcPr>
            <w:tcW w:w="1849" w:type="dxa"/>
            <w:vAlign w:val="center"/>
          </w:tcPr>
          <w:p w14:paraId="3460C512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a la calidad del aire</w:t>
            </w:r>
          </w:p>
        </w:tc>
        <w:tc>
          <w:tcPr>
            <w:tcW w:w="4580" w:type="dxa"/>
            <w:vAlign w:val="center"/>
          </w:tcPr>
          <w:p w14:paraId="7F751B9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las concentraciones de los contaminantes criterio y/o tóxicos en el aire producto de las emisiones generadas como consecuencia de un proyecto, obra o actividad.</w:t>
            </w:r>
          </w:p>
        </w:tc>
      </w:tr>
      <w:tr w14:paraId="3370D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568" w:type="dxa"/>
            <w:noWrap/>
            <w:vAlign w:val="center"/>
          </w:tcPr>
          <w:p w14:paraId="593E4DCF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</w:p>
        </w:tc>
        <w:tc>
          <w:tcPr>
            <w:tcW w:w="1275" w:type="dxa"/>
            <w:vAlign w:val="center"/>
          </w:tcPr>
          <w:p w14:paraId="463BD15F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7FDBF4D0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Atmosférico</w:t>
            </w:r>
          </w:p>
        </w:tc>
        <w:tc>
          <w:tcPr>
            <w:tcW w:w="1849" w:type="dxa"/>
            <w:vAlign w:val="center"/>
          </w:tcPr>
          <w:p w14:paraId="344BBE7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a las propiedades físicas del aire</w:t>
            </w:r>
          </w:p>
        </w:tc>
        <w:tc>
          <w:tcPr>
            <w:tcW w:w="4580" w:type="dxa"/>
            <w:vAlign w:val="center"/>
          </w:tcPr>
          <w:p w14:paraId="58D661C0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las propiedades físicas del aire, tales como: velocidad, dispersión refractiva y/o reflectiva de la luz, potencia o capacidad de generación energética, densidad, temperatura entre otras, que como consecuencia de las actividades del proyecto modifiquen las condiciones iniciales del componente.</w:t>
            </w:r>
          </w:p>
        </w:tc>
      </w:tr>
      <w:tr w14:paraId="4456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568" w:type="dxa"/>
            <w:noWrap/>
            <w:vAlign w:val="center"/>
          </w:tcPr>
          <w:p w14:paraId="0AA90B9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  <w:tc>
          <w:tcPr>
            <w:tcW w:w="1275" w:type="dxa"/>
            <w:vAlign w:val="center"/>
          </w:tcPr>
          <w:p w14:paraId="122E737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1B10DE13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Atmosférico</w:t>
            </w:r>
          </w:p>
        </w:tc>
        <w:tc>
          <w:tcPr>
            <w:tcW w:w="1849" w:type="dxa"/>
            <w:vAlign w:val="center"/>
          </w:tcPr>
          <w:p w14:paraId="71242EB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en los niveles de presión sonora</w:t>
            </w:r>
          </w:p>
        </w:tc>
        <w:tc>
          <w:tcPr>
            <w:tcW w:w="4580" w:type="dxa"/>
            <w:vAlign w:val="center"/>
          </w:tcPr>
          <w:p w14:paraId="1420AB40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los niveles de ruido ambiental como consecuencia de la emisión de ruido de un proyecto, obra o actividad.</w:t>
            </w:r>
          </w:p>
        </w:tc>
      </w:tr>
      <w:tr w14:paraId="3456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568" w:type="dxa"/>
            <w:noWrap/>
            <w:vAlign w:val="center"/>
          </w:tcPr>
          <w:p w14:paraId="4398856E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4</w:t>
            </w:r>
          </w:p>
        </w:tc>
        <w:tc>
          <w:tcPr>
            <w:tcW w:w="1275" w:type="dxa"/>
            <w:vAlign w:val="center"/>
          </w:tcPr>
          <w:p w14:paraId="4D43A7B3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3785569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Atmosférico</w:t>
            </w:r>
          </w:p>
        </w:tc>
        <w:tc>
          <w:tcPr>
            <w:tcW w:w="1849" w:type="dxa"/>
            <w:vAlign w:val="center"/>
          </w:tcPr>
          <w:p w14:paraId="1157D386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en los niveles de radiación</w:t>
            </w:r>
          </w:p>
        </w:tc>
        <w:tc>
          <w:tcPr>
            <w:tcW w:w="4580" w:type="dxa"/>
            <w:vAlign w:val="center"/>
          </w:tcPr>
          <w:p w14:paraId="715A6809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los niveles de radiación ionizante y no ionizante, como consecuencia de un proyecto, obra o actividad.</w:t>
            </w:r>
          </w:p>
        </w:tc>
      </w:tr>
      <w:tr w14:paraId="66842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568" w:type="dxa"/>
            <w:noWrap/>
            <w:vAlign w:val="center"/>
          </w:tcPr>
          <w:p w14:paraId="649D0FBD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</w:p>
        </w:tc>
        <w:tc>
          <w:tcPr>
            <w:tcW w:w="1275" w:type="dxa"/>
            <w:vAlign w:val="center"/>
          </w:tcPr>
          <w:p w14:paraId="7871C3F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3F78A431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Atmosférico</w:t>
            </w:r>
          </w:p>
        </w:tc>
        <w:tc>
          <w:tcPr>
            <w:tcW w:w="1849" w:type="dxa"/>
            <w:vAlign w:val="center"/>
          </w:tcPr>
          <w:p w14:paraId="123FB93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Generación de olores ofensivos</w:t>
            </w:r>
          </w:p>
        </w:tc>
        <w:tc>
          <w:tcPr>
            <w:tcW w:w="4580" w:type="dxa"/>
            <w:vAlign w:val="center"/>
          </w:tcPr>
          <w:p w14:paraId="31B0CBB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 concentración de los contaminantes en el aire, producto de la emisión de sustancias generadoras de olores ofensivos, como consecuencia de un proyecto, obra o actividad.</w:t>
            </w:r>
          </w:p>
        </w:tc>
      </w:tr>
      <w:tr w14:paraId="7FFB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568" w:type="dxa"/>
            <w:noWrap/>
            <w:vAlign w:val="center"/>
          </w:tcPr>
          <w:p w14:paraId="7684362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</w:p>
        </w:tc>
        <w:tc>
          <w:tcPr>
            <w:tcW w:w="1275" w:type="dxa"/>
            <w:vAlign w:val="center"/>
          </w:tcPr>
          <w:p w14:paraId="491DFE56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1EB2FB71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Geológico</w:t>
            </w:r>
          </w:p>
        </w:tc>
        <w:tc>
          <w:tcPr>
            <w:tcW w:w="1849" w:type="dxa"/>
            <w:vAlign w:val="center"/>
          </w:tcPr>
          <w:p w14:paraId="5364DB7E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de las condiciones geológicas</w:t>
            </w:r>
          </w:p>
        </w:tc>
        <w:tc>
          <w:tcPr>
            <w:tcW w:w="4580" w:type="dxa"/>
            <w:vAlign w:val="center"/>
          </w:tcPr>
          <w:p w14:paraId="5F454883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de las unidades litológicas y rasgos estructurales como consecuencia de un proyecto, obra o actividad.</w:t>
            </w:r>
          </w:p>
        </w:tc>
      </w:tr>
      <w:tr w14:paraId="545BF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568" w:type="dxa"/>
            <w:noWrap/>
            <w:vAlign w:val="center"/>
          </w:tcPr>
          <w:p w14:paraId="77C1763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  <w:tc>
          <w:tcPr>
            <w:tcW w:w="1275" w:type="dxa"/>
            <w:vAlign w:val="center"/>
          </w:tcPr>
          <w:p w14:paraId="53E09310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6976B57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Geomorfológico</w:t>
            </w:r>
          </w:p>
        </w:tc>
        <w:tc>
          <w:tcPr>
            <w:tcW w:w="1849" w:type="dxa"/>
            <w:vAlign w:val="center"/>
          </w:tcPr>
          <w:p w14:paraId="0A1D4CBD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de la geoforma del terreno</w:t>
            </w:r>
          </w:p>
        </w:tc>
        <w:tc>
          <w:tcPr>
            <w:tcW w:w="4580" w:type="dxa"/>
            <w:vAlign w:val="center"/>
          </w:tcPr>
          <w:p w14:paraId="21159759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 forma del terreno continental y/o marino costero como consecuencia de un proyecto, obra o actividad que modifica la dinámica existente de los procesos geomorfológicos.</w:t>
            </w:r>
          </w:p>
        </w:tc>
      </w:tr>
      <w:tr w14:paraId="316E0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568" w:type="dxa"/>
            <w:noWrap/>
            <w:vAlign w:val="center"/>
          </w:tcPr>
          <w:p w14:paraId="68062119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8</w:t>
            </w:r>
          </w:p>
        </w:tc>
        <w:tc>
          <w:tcPr>
            <w:tcW w:w="1275" w:type="dxa"/>
            <w:vAlign w:val="center"/>
          </w:tcPr>
          <w:p w14:paraId="4E30A116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3AA09D23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Geotecnia</w:t>
            </w:r>
          </w:p>
        </w:tc>
        <w:tc>
          <w:tcPr>
            <w:tcW w:w="1849" w:type="dxa"/>
            <w:vAlign w:val="center"/>
          </w:tcPr>
          <w:p w14:paraId="3EB920E1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de las condiciones geotécnicas</w:t>
            </w:r>
          </w:p>
        </w:tc>
        <w:tc>
          <w:tcPr>
            <w:tcW w:w="4580" w:type="dxa"/>
            <w:vAlign w:val="center"/>
          </w:tcPr>
          <w:p w14:paraId="5F2F376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Cambios en las características geomecánicas de estabilidad del terreno y/o los macizos rocosos, como consecuencia de un proyecto, obra o actividad.</w:t>
            </w:r>
          </w:p>
        </w:tc>
      </w:tr>
      <w:tr w14:paraId="15E2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568" w:type="dxa"/>
            <w:noWrap/>
            <w:vAlign w:val="center"/>
          </w:tcPr>
          <w:p w14:paraId="645D018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</w:p>
        </w:tc>
        <w:tc>
          <w:tcPr>
            <w:tcW w:w="1275" w:type="dxa"/>
            <w:vAlign w:val="center"/>
          </w:tcPr>
          <w:p w14:paraId="5F11434E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344FF34F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Hidrogeológico</w:t>
            </w:r>
          </w:p>
        </w:tc>
        <w:tc>
          <w:tcPr>
            <w:tcW w:w="1849" w:type="dxa"/>
            <w:vAlign w:val="center"/>
          </w:tcPr>
          <w:p w14:paraId="7A35EDB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a la calidad del recurso hídrico subterráneo</w:t>
            </w:r>
          </w:p>
        </w:tc>
        <w:tc>
          <w:tcPr>
            <w:tcW w:w="4580" w:type="dxa"/>
            <w:vAlign w:val="center"/>
          </w:tcPr>
          <w:p w14:paraId="01EDABC0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Cambios en las características fisicoquímicas y/o microbiológicas de las aguas subterráneas o su zona de recarga como consecuencia de un proyecto, obra o actividad.</w:t>
            </w:r>
          </w:p>
        </w:tc>
      </w:tr>
      <w:tr w14:paraId="0E3F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568" w:type="dxa"/>
            <w:noWrap/>
            <w:vAlign w:val="center"/>
          </w:tcPr>
          <w:p w14:paraId="3152B69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10</w:t>
            </w:r>
          </w:p>
        </w:tc>
        <w:tc>
          <w:tcPr>
            <w:tcW w:w="1275" w:type="dxa"/>
            <w:vAlign w:val="center"/>
          </w:tcPr>
          <w:p w14:paraId="4D3437E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6752038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Hidrogeológico</w:t>
            </w:r>
          </w:p>
        </w:tc>
        <w:tc>
          <w:tcPr>
            <w:tcW w:w="1849" w:type="dxa"/>
            <w:vAlign w:val="center"/>
          </w:tcPr>
          <w:p w14:paraId="505DD44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en la oferta y/o disponibilidad del recurso hídrico subterráneo</w:t>
            </w:r>
          </w:p>
        </w:tc>
        <w:tc>
          <w:tcPr>
            <w:tcW w:w="4580" w:type="dxa"/>
            <w:vAlign w:val="center"/>
          </w:tcPr>
          <w:p w14:paraId="3AA605F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los niveles piezométricos (estáticos) en un acuífero determinado o sus zonas de recarga que causan una modificación en la oferta de aguas subterráneas como consecuencia de un proyecto, obra o actividad.</w:t>
            </w:r>
          </w:p>
        </w:tc>
      </w:tr>
      <w:tr w14:paraId="3BEE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568" w:type="dxa"/>
            <w:noWrap/>
            <w:vAlign w:val="center"/>
          </w:tcPr>
          <w:p w14:paraId="2E1869F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11</w:t>
            </w:r>
          </w:p>
        </w:tc>
        <w:tc>
          <w:tcPr>
            <w:tcW w:w="1275" w:type="dxa"/>
            <w:vAlign w:val="center"/>
          </w:tcPr>
          <w:p w14:paraId="79A699D9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0769079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Hidrológico</w:t>
            </w:r>
          </w:p>
        </w:tc>
        <w:tc>
          <w:tcPr>
            <w:tcW w:w="1849" w:type="dxa"/>
            <w:vAlign w:val="center"/>
          </w:tcPr>
          <w:p w14:paraId="63557CD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hidro-geomorfológica de la dinámica fluvial y/o del régimen sedimentológico</w:t>
            </w:r>
          </w:p>
        </w:tc>
        <w:tc>
          <w:tcPr>
            <w:tcW w:w="4580" w:type="dxa"/>
            <w:vAlign w:val="center"/>
          </w:tcPr>
          <w:p w14:paraId="61A2C1B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Cambios en la dinámica hidrogeomorfológica del sistema fluvial y/o sedimentológico generado por un proyecto, obra o actividad que origina cambios de cauce, activación de procesos erosivos, represamientos, inundaciones, movimientos en masa, entre otros.</w:t>
            </w:r>
          </w:p>
        </w:tc>
      </w:tr>
      <w:tr w14:paraId="7D31A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568" w:type="dxa"/>
            <w:noWrap/>
            <w:vAlign w:val="center"/>
          </w:tcPr>
          <w:p w14:paraId="38F98A7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  <w:tc>
          <w:tcPr>
            <w:tcW w:w="1275" w:type="dxa"/>
            <w:vAlign w:val="center"/>
          </w:tcPr>
          <w:p w14:paraId="584237B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7F60800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Hidrológico</w:t>
            </w:r>
          </w:p>
        </w:tc>
        <w:tc>
          <w:tcPr>
            <w:tcW w:w="1849" w:type="dxa"/>
            <w:vAlign w:val="center"/>
          </w:tcPr>
          <w:p w14:paraId="341CAC37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en la calidad del recurso hídrico superficial</w:t>
            </w:r>
          </w:p>
        </w:tc>
        <w:tc>
          <w:tcPr>
            <w:tcW w:w="4580" w:type="dxa"/>
            <w:vAlign w:val="center"/>
          </w:tcPr>
          <w:p w14:paraId="4B0796D1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Cambios en las características fisicoquímicas, microbiológicas y/o hidrobiológicas de las aguas superficiales como consecuencia de un proyecto, obra o actividad.</w:t>
            </w:r>
          </w:p>
        </w:tc>
      </w:tr>
      <w:tr w14:paraId="15D3B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68" w:type="dxa"/>
            <w:noWrap/>
            <w:vAlign w:val="center"/>
          </w:tcPr>
          <w:p w14:paraId="75983261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13</w:t>
            </w:r>
          </w:p>
        </w:tc>
        <w:tc>
          <w:tcPr>
            <w:tcW w:w="1275" w:type="dxa"/>
            <w:vAlign w:val="center"/>
          </w:tcPr>
          <w:p w14:paraId="6AD1B6E3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0A6201D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Hidrológico</w:t>
            </w:r>
          </w:p>
        </w:tc>
        <w:tc>
          <w:tcPr>
            <w:tcW w:w="1849" w:type="dxa"/>
            <w:vAlign w:val="center"/>
          </w:tcPr>
          <w:p w14:paraId="6CEDC483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en la oferta y disponibilidad del recurso hídrico superficial</w:t>
            </w:r>
          </w:p>
        </w:tc>
        <w:tc>
          <w:tcPr>
            <w:tcW w:w="4580" w:type="dxa"/>
            <w:vAlign w:val="center"/>
          </w:tcPr>
          <w:p w14:paraId="7898B7E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de los caudales y/o volúmenes en un cuerpo de agua superficial que causan una modificación de la oferta hídrica como consecuencia de un proyecto, obra o actividad.</w:t>
            </w:r>
          </w:p>
        </w:tc>
      </w:tr>
      <w:tr w14:paraId="2283B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568" w:type="dxa"/>
            <w:noWrap/>
            <w:vAlign w:val="center"/>
          </w:tcPr>
          <w:p w14:paraId="75613DF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14</w:t>
            </w:r>
          </w:p>
        </w:tc>
        <w:tc>
          <w:tcPr>
            <w:tcW w:w="1275" w:type="dxa"/>
            <w:vAlign w:val="center"/>
          </w:tcPr>
          <w:p w14:paraId="2E92DF89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5396443D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Oceanográfico</w:t>
            </w:r>
          </w:p>
        </w:tc>
        <w:tc>
          <w:tcPr>
            <w:tcW w:w="1849" w:type="dxa"/>
            <w:vAlign w:val="center"/>
          </w:tcPr>
          <w:p w14:paraId="46C4BE36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en las condiciones oceanográficas</w:t>
            </w:r>
          </w:p>
        </w:tc>
        <w:tc>
          <w:tcPr>
            <w:tcW w:w="4580" w:type="dxa"/>
            <w:vAlign w:val="center"/>
          </w:tcPr>
          <w:p w14:paraId="04C2069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los patrones de oleaje y corrientes como consecuencia de un proyecto, obra o actividad.</w:t>
            </w:r>
          </w:p>
        </w:tc>
      </w:tr>
      <w:tr w14:paraId="4E877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568" w:type="dxa"/>
            <w:noWrap/>
            <w:vAlign w:val="center"/>
          </w:tcPr>
          <w:p w14:paraId="32ABC6A7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15</w:t>
            </w:r>
          </w:p>
        </w:tc>
        <w:tc>
          <w:tcPr>
            <w:tcW w:w="1275" w:type="dxa"/>
            <w:vAlign w:val="center"/>
          </w:tcPr>
          <w:p w14:paraId="02F0C1D9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694958C1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Oceanográfico</w:t>
            </w:r>
          </w:p>
        </w:tc>
        <w:tc>
          <w:tcPr>
            <w:tcW w:w="1849" w:type="dxa"/>
            <w:vAlign w:val="center"/>
          </w:tcPr>
          <w:p w14:paraId="3DDEC36D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de las condiciones morfológicas de la línea de costa</w:t>
            </w:r>
          </w:p>
        </w:tc>
        <w:tc>
          <w:tcPr>
            <w:tcW w:w="4580" w:type="dxa"/>
            <w:vAlign w:val="center"/>
          </w:tcPr>
          <w:p w14:paraId="25FBF8E0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el patrón sedimentológico que modifica el perfil de playa por procesos de erosión y acreción</w:t>
            </w:r>
          </w:p>
        </w:tc>
      </w:tr>
      <w:tr w14:paraId="53840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568" w:type="dxa"/>
            <w:noWrap/>
            <w:vAlign w:val="center"/>
          </w:tcPr>
          <w:p w14:paraId="3F3D6C9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16</w:t>
            </w:r>
          </w:p>
        </w:tc>
        <w:tc>
          <w:tcPr>
            <w:tcW w:w="1275" w:type="dxa"/>
            <w:vAlign w:val="center"/>
          </w:tcPr>
          <w:p w14:paraId="327C2717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Abiótico</w:t>
            </w:r>
          </w:p>
        </w:tc>
        <w:tc>
          <w:tcPr>
            <w:tcW w:w="1701" w:type="dxa"/>
            <w:vAlign w:val="center"/>
          </w:tcPr>
          <w:p w14:paraId="5FF45A5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Suelo</w:t>
            </w:r>
          </w:p>
        </w:tc>
        <w:tc>
          <w:tcPr>
            <w:tcW w:w="1849" w:type="dxa"/>
            <w:vAlign w:val="center"/>
          </w:tcPr>
          <w:p w14:paraId="3C3ADCA0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a la calidad del suelo</w:t>
            </w:r>
          </w:p>
        </w:tc>
        <w:tc>
          <w:tcPr>
            <w:tcW w:w="4580" w:type="dxa"/>
            <w:vAlign w:val="center"/>
          </w:tcPr>
          <w:p w14:paraId="392ECD3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las características y propiedades físicas, químicas y biológicas del suelo como consecuencia de un proyecto, obra o actividad.</w:t>
            </w:r>
          </w:p>
        </w:tc>
      </w:tr>
      <w:tr w14:paraId="6859B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568" w:type="dxa"/>
            <w:noWrap/>
            <w:vAlign w:val="center"/>
          </w:tcPr>
          <w:p w14:paraId="0A3AD77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17</w:t>
            </w:r>
          </w:p>
        </w:tc>
        <w:tc>
          <w:tcPr>
            <w:tcW w:w="1275" w:type="dxa"/>
            <w:vAlign w:val="center"/>
          </w:tcPr>
          <w:p w14:paraId="0E686751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Biótico</w:t>
            </w:r>
          </w:p>
        </w:tc>
        <w:tc>
          <w:tcPr>
            <w:tcW w:w="1701" w:type="dxa"/>
            <w:vAlign w:val="center"/>
          </w:tcPr>
          <w:p w14:paraId="565050A9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Ecosistema</w:t>
            </w:r>
          </w:p>
        </w:tc>
        <w:tc>
          <w:tcPr>
            <w:tcW w:w="1849" w:type="dxa"/>
            <w:vAlign w:val="center"/>
          </w:tcPr>
          <w:p w14:paraId="6233531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a ecosistemas terrestres</w:t>
            </w:r>
          </w:p>
        </w:tc>
        <w:tc>
          <w:tcPr>
            <w:tcW w:w="4580" w:type="dxa"/>
            <w:vAlign w:val="center"/>
          </w:tcPr>
          <w:p w14:paraId="660852B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los ecosistemas terrestres como consecuencia de un proyecto, obra o actividad que generan: i) Cambios en estructura y composición, ii) Modificación de la conectividad funcional ecológica, entre otras.</w:t>
            </w:r>
          </w:p>
        </w:tc>
      </w:tr>
      <w:tr w14:paraId="43C10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568" w:type="dxa"/>
            <w:noWrap/>
            <w:vAlign w:val="center"/>
          </w:tcPr>
          <w:p w14:paraId="5483C8F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18</w:t>
            </w:r>
          </w:p>
        </w:tc>
        <w:tc>
          <w:tcPr>
            <w:tcW w:w="1275" w:type="dxa"/>
            <w:vAlign w:val="center"/>
          </w:tcPr>
          <w:p w14:paraId="5EC2186D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Biótico</w:t>
            </w:r>
          </w:p>
        </w:tc>
        <w:tc>
          <w:tcPr>
            <w:tcW w:w="1701" w:type="dxa"/>
            <w:vAlign w:val="center"/>
          </w:tcPr>
          <w:p w14:paraId="5730063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Cobertura</w:t>
            </w:r>
          </w:p>
        </w:tc>
        <w:tc>
          <w:tcPr>
            <w:tcW w:w="1849" w:type="dxa"/>
            <w:vAlign w:val="center"/>
          </w:tcPr>
          <w:p w14:paraId="686BF03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a cobertura vegetal</w:t>
            </w:r>
          </w:p>
        </w:tc>
        <w:tc>
          <w:tcPr>
            <w:tcW w:w="4580" w:type="dxa"/>
            <w:vAlign w:val="center"/>
          </w:tcPr>
          <w:p w14:paraId="0FEAF4E1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 extensión (área), forma (geometría) y distribución de las coberturas vegetales como consecuencia de un proyecto, obra o actividad que generan: i) Disminución de coberturas, ii) efectos de borde, iii) fragmentación de coberturas, entre otros.</w:t>
            </w:r>
          </w:p>
        </w:tc>
      </w:tr>
      <w:tr w14:paraId="399E1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568" w:type="dxa"/>
            <w:noWrap/>
            <w:vAlign w:val="center"/>
          </w:tcPr>
          <w:p w14:paraId="5EC815C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19</w:t>
            </w:r>
          </w:p>
        </w:tc>
        <w:tc>
          <w:tcPr>
            <w:tcW w:w="1275" w:type="dxa"/>
            <w:vAlign w:val="center"/>
          </w:tcPr>
          <w:p w14:paraId="3CF8E23D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Biótico</w:t>
            </w:r>
          </w:p>
        </w:tc>
        <w:tc>
          <w:tcPr>
            <w:tcW w:w="1701" w:type="dxa"/>
            <w:vAlign w:val="center"/>
          </w:tcPr>
          <w:p w14:paraId="330C21A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Flora</w:t>
            </w:r>
          </w:p>
        </w:tc>
        <w:tc>
          <w:tcPr>
            <w:tcW w:w="1849" w:type="dxa"/>
            <w:vAlign w:val="center"/>
          </w:tcPr>
          <w:p w14:paraId="737458F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a comunidades de flora</w:t>
            </w:r>
          </w:p>
        </w:tc>
        <w:tc>
          <w:tcPr>
            <w:tcW w:w="4580" w:type="dxa"/>
            <w:vAlign w:val="center"/>
          </w:tcPr>
          <w:p w14:paraId="5186C0C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las comunidades de flora como consecuencia de un proyecto, obra o actividad que generen: i) Disminución de individuos o ejemplares de una o más especies, ii) Modificación de poblaciones, iii) Cambio en su composición, estructura y función, iv) Fragmentación de ecosistemas, entre otras.</w:t>
            </w:r>
          </w:p>
        </w:tc>
      </w:tr>
      <w:tr w14:paraId="17A85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568" w:type="dxa"/>
            <w:noWrap/>
            <w:vAlign w:val="center"/>
          </w:tcPr>
          <w:p w14:paraId="01EE2D0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20</w:t>
            </w:r>
          </w:p>
        </w:tc>
        <w:tc>
          <w:tcPr>
            <w:tcW w:w="1275" w:type="dxa"/>
            <w:vAlign w:val="center"/>
          </w:tcPr>
          <w:p w14:paraId="2942B7B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Biótico</w:t>
            </w:r>
          </w:p>
        </w:tc>
        <w:tc>
          <w:tcPr>
            <w:tcW w:w="1701" w:type="dxa"/>
            <w:vAlign w:val="center"/>
          </w:tcPr>
          <w:p w14:paraId="7F8ED493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Fauna</w:t>
            </w:r>
          </w:p>
        </w:tc>
        <w:tc>
          <w:tcPr>
            <w:tcW w:w="1849" w:type="dxa"/>
            <w:vAlign w:val="center"/>
          </w:tcPr>
          <w:p w14:paraId="257E0E3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a comunidades de fauna terrestre</w:t>
            </w:r>
          </w:p>
        </w:tc>
        <w:tc>
          <w:tcPr>
            <w:tcW w:w="4580" w:type="dxa"/>
            <w:vAlign w:val="center"/>
          </w:tcPr>
          <w:p w14:paraId="6FF4A69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las comunidades de fauna como consecuencia de un proyecto, obra o actividad que generen: i) Cambio en la composición, estructura y función, ii) Desplazamiento de fauna, iii) cambio en las cadenas tróficas, entre otras.</w:t>
            </w:r>
          </w:p>
        </w:tc>
      </w:tr>
      <w:tr w14:paraId="259D2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568" w:type="dxa"/>
            <w:noWrap/>
            <w:vAlign w:val="center"/>
          </w:tcPr>
          <w:p w14:paraId="2F7158A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21</w:t>
            </w:r>
          </w:p>
        </w:tc>
        <w:tc>
          <w:tcPr>
            <w:tcW w:w="1275" w:type="dxa"/>
            <w:vAlign w:val="center"/>
          </w:tcPr>
          <w:p w14:paraId="2A62F74E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Biótico</w:t>
            </w:r>
          </w:p>
        </w:tc>
        <w:tc>
          <w:tcPr>
            <w:tcW w:w="1701" w:type="dxa"/>
            <w:vAlign w:val="center"/>
          </w:tcPr>
          <w:p w14:paraId="31B62FBF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Ecosistemas</w:t>
            </w:r>
          </w:p>
        </w:tc>
        <w:tc>
          <w:tcPr>
            <w:tcW w:w="1849" w:type="dxa"/>
            <w:vAlign w:val="center"/>
          </w:tcPr>
          <w:p w14:paraId="35528602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a ecosistemas acuáticos</w:t>
            </w:r>
          </w:p>
        </w:tc>
        <w:tc>
          <w:tcPr>
            <w:tcW w:w="4580" w:type="dxa"/>
            <w:vAlign w:val="center"/>
          </w:tcPr>
          <w:p w14:paraId="39EBC97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los ecosistemas acuáticos, marino-costeros y/o continentales como consecuencia de un proyecto, obra o actividad que generan: i) Cambios en la estructura, función y composición, ii) Cambio en la conectividad ecosistémica, entre otras.</w:t>
            </w:r>
          </w:p>
        </w:tc>
      </w:tr>
      <w:tr w14:paraId="7D516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568" w:type="dxa"/>
            <w:noWrap/>
            <w:vAlign w:val="center"/>
          </w:tcPr>
          <w:p w14:paraId="186747E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22</w:t>
            </w:r>
          </w:p>
        </w:tc>
        <w:tc>
          <w:tcPr>
            <w:tcW w:w="1275" w:type="dxa"/>
            <w:vAlign w:val="center"/>
          </w:tcPr>
          <w:p w14:paraId="4D3E4C6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Biótico</w:t>
            </w:r>
          </w:p>
        </w:tc>
        <w:tc>
          <w:tcPr>
            <w:tcW w:w="1701" w:type="dxa"/>
            <w:vAlign w:val="center"/>
          </w:tcPr>
          <w:p w14:paraId="6A06AD77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Fauna-Hidrobiota</w:t>
            </w:r>
          </w:p>
        </w:tc>
        <w:tc>
          <w:tcPr>
            <w:tcW w:w="1849" w:type="dxa"/>
            <w:vAlign w:val="center"/>
          </w:tcPr>
          <w:p w14:paraId="1D398D1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a la hidrobiota incluyendo la fauna acuática</w:t>
            </w:r>
          </w:p>
        </w:tc>
        <w:tc>
          <w:tcPr>
            <w:tcW w:w="4580" w:type="dxa"/>
            <w:vAlign w:val="center"/>
          </w:tcPr>
          <w:p w14:paraId="43E6838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las comunidades de hidrobiota (Fauna acuática, Vertebrados, Peces, Bentos, Macrófitas, Perifiton, Plancton) como consecuencia de un proyecto, obra o actividad que generan: i) Alteración de las poblaciones y/o comunidades acuáticas, ii) Alteración de número de especies, iii) Cambios en la composición, abundancia y diversidad, entre otras.</w:t>
            </w:r>
          </w:p>
        </w:tc>
      </w:tr>
      <w:tr w14:paraId="3D3B8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568" w:type="dxa"/>
            <w:noWrap/>
            <w:vAlign w:val="center"/>
          </w:tcPr>
          <w:p w14:paraId="3669F18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23</w:t>
            </w:r>
          </w:p>
        </w:tc>
        <w:tc>
          <w:tcPr>
            <w:tcW w:w="1275" w:type="dxa"/>
            <w:vAlign w:val="center"/>
          </w:tcPr>
          <w:p w14:paraId="19640132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Socio-económico</w:t>
            </w:r>
          </w:p>
        </w:tc>
        <w:tc>
          <w:tcPr>
            <w:tcW w:w="1701" w:type="dxa"/>
            <w:vAlign w:val="center"/>
          </w:tcPr>
          <w:p w14:paraId="2C8E8846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Demográfico</w:t>
            </w:r>
          </w:p>
        </w:tc>
        <w:tc>
          <w:tcPr>
            <w:tcW w:w="1849" w:type="dxa"/>
            <w:vAlign w:val="center"/>
          </w:tcPr>
          <w:p w14:paraId="730EA63D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las variables demográficas</w:t>
            </w:r>
          </w:p>
        </w:tc>
        <w:tc>
          <w:tcPr>
            <w:tcW w:w="4580" w:type="dxa"/>
            <w:vAlign w:val="center"/>
          </w:tcPr>
          <w:p w14:paraId="140C76F0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 estructura demográfica y en la distribución espacial de la población y sus efectos en la dinámica de la población como consecuencia de un proyecto, obra o actividad.</w:t>
            </w:r>
          </w:p>
        </w:tc>
      </w:tr>
      <w:tr w14:paraId="4C7C7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68" w:type="dxa"/>
            <w:noWrap/>
            <w:vAlign w:val="center"/>
          </w:tcPr>
          <w:p w14:paraId="2F333C3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24</w:t>
            </w:r>
          </w:p>
        </w:tc>
        <w:tc>
          <w:tcPr>
            <w:tcW w:w="1275" w:type="dxa"/>
            <w:vAlign w:val="center"/>
          </w:tcPr>
          <w:p w14:paraId="5B9A3BC9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Socio-económico</w:t>
            </w:r>
          </w:p>
        </w:tc>
        <w:tc>
          <w:tcPr>
            <w:tcW w:w="1701" w:type="dxa"/>
            <w:vAlign w:val="center"/>
          </w:tcPr>
          <w:p w14:paraId="46F46922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Cultural</w:t>
            </w:r>
          </w:p>
        </w:tc>
        <w:tc>
          <w:tcPr>
            <w:tcW w:w="1849" w:type="dxa"/>
            <w:vAlign w:val="center"/>
          </w:tcPr>
          <w:p w14:paraId="29721266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en la percepción visual del paisaje</w:t>
            </w:r>
          </w:p>
        </w:tc>
        <w:tc>
          <w:tcPr>
            <w:tcW w:w="4580" w:type="dxa"/>
            <w:vAlign w:val="center"/>
          </w:tcPr>
          <w:p w14:paraId="18388CC1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 percepción de la calidad visual del paisaje como consecuencia de un proyecto, obra o actividad.</w:t>
            </w:r>
          </w:p>
        </w:tc>
      </w:tr>
      <w:tr w14:paraId="2A2C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568" w:type="dxa"/>
            <w:noWrap/>
            <w:vAlign w:val="center"/>
          </w:tcPr>
          <w:p w14:paraId="5DD4EA9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25</w:t>
            </w:r>
          </w:p>
        </w:tc>
        <w:tc>
          <w:tcPr>
            <w:tcW w:w="1275" w:type="dxa"/>
            <w:vAlign w:val="center"/>
          </w:tcPr>
          <w:p w14:paraId="4C381D16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Socio-económico</w:t>
            </w:r>
          </w:p>
        </w:tc>
        <w:tc>
          <w:tcPr>
            <w:tcW w:w="1701" w:type="dxa"/>
            <w:vAlign w:val="center"/>
          </w:tcPr>
          <w:p w14:paraId="1FC0AF5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Político -organizativo</w:t>
            </w:r>
          </w:p>
        </w:tc>
        <w:tc>
          <w:tcPr>
            <w:tcW w:w="1849" w:type="dxa"/>
            <w:vAlign w:val="center"/>
          </w:tcPr>
          <w:p w14:paraId="3E14122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Generación y/o alteración de conflictos sociales</w:t>
            </w:r>
          </w:p>
        </w:tc>
        <w:tc>
          <w:tcPr>
            <w:tcW w:w="4580" w:type="dxa"/>
            <w:vAlign w:val="center"/>
          </w:tcPr>
          <w:p w14:paraId="2308F859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Alteración de las causas que generan conflicto relacionadas con: i) Cambio en el acceso, uso, distribución y conservación de un recurso natural, y/o ii) Cambio en la organización comunitaria, y/o iii) Cambio en los lazos de interrelación entre los ciudadanos y sus instituciones, iv) Modificación de las instancias y mecanismos de participación, v) Generación de expectativas, entre otros, como consecuencia de un proyecto, obra o actividad.</w:t>
            </w:r>
          </w:p>
        </w:tc>
      </w:tr>
      <w:tr w14:paraId="25381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568" w:type="dxa"/>
            <w:noWrap/>
            <w:vAlign w:val="center"/>
          </w:tcPr>
          <w:p w14:paraId="7E80A12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26</w:t>
            </w:r>
          </w:p>
        </w:tc>
        <w:tc>
          <w:tcPr>
            <w:tcW w:w="1275" w:type="dxa"/>
            <w:vAlign w:val="center"/>
          </w:tcPr>
          <w:p w14:paraId="27B4108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Socio-económico</w:t>
            </w:r>
          </w:p>
        </w:tc>
        <w:tc>
          <w:tcPr>
            <w:tcW w:w="1701" w:type="dxa"/>
            <w:vAlign w:val="center"/>
          </w:tcPr>
          <w:p w14:paraId="41EB6C3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Espacial</w:t>
            </w:r>
          </w:p>
        </w:tc>
        <w:tc>
          <w:tcPr>
            <w:tcW w:w="1849" w:type="dxa"/>
            <w:vAlign w:val="center"/>
          </w:tcPr>
          <w:p w14:paraId="7FA2DA3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Modificación de la accesibilidad, movilidad y conectividad local</w:t>
            </w:r>
          </w:p>
        </w:tc>
        <w:tc>
          <w:tcPr>
            <w:tcW w:w="4580" w:type="dxa"/>
            <w:vAlign w:val="center"/>
          </w:tcPr>
          <w:p w14:paraId="259A22D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Cambios en los flujos, frecuencias, tipos de movilidad, acceso de las comunidades a centros nucleados, tiempos de desplazamiento, seguridad vial, entre otros, como consecuencia de un proyecto, obra o actividad.</w:t>
            </w:r>
          </w:p>
        </w:tc>
      </w:tr>
      <w:tr w14:paraId="1DE9D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568" w:type="dxa"/>
            <w:noWrap/>
            <w:vAlign w:val="center"/>
          </w:tcPr>
          <w:p w14:paraId="7322557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27</w:t>
            </w:r>
          </w:p>
        </w:tc>
        <w:tc>
          <w:tcPr>
            <w:tcW w:w="1275" w:type="dxa"/>
            <w:vAlign w:val="center"/>
          </w:tcPr>
          <w:p w14:paraId="07363D2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Socio-económico</w:t>
            </w:r>
          </w:p>
        </w:tc>
        <w:tc>
          <w:tcPr>
            <w:tcW w:w="1701" w:type="dxa"/>
            <w:vAlign w:val="center"/>
          </w:tcPr>
          <w:p w14:paraId="46D4E98B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Espacial</w:t>
            </w:r>
          </w:p>
        </w:tc>
        <w:tc>
          <w:tcPr>
            <w:tcW w:w="1849" w:type="dxa"/>
            <w:vAlign w:val="center"/>
          </w:tcPr>
          <w:p w14:paraId="7110544E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Modificación de la infraestructura física y social, y de los servicios públicos y sociales.</w:t>
            </w:r>
          </w:p>
        </w:tc>
        <w:tc>
          <w:tcPr>
            <w:tcW w:w="4580" w:type="dxa"/>
            <w:vAlign w:val="center"/>
          </w:tcPr>
          <w:p w14:paraId="1A7F3A3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las condiciones de cobertura, calidad y/o disponibilidad de los servicios públicos y sociales, como consecuencia de un proyecto, obra o actividad, relacionadas con: i) Agua para consumo humano y actividades económicas ii) Servicios de salud, iii) educación, iv) Energía y telecomunicaciones, v) Gestión de residuos líquidos y sólidos, vi) infraestructura/equipamiento comunitario, y escenarios de recreación activa y pasiva, entre otros.</w:t>
            </w:r>
          </w:p>
        </w:tc>
      </w:tr>
      <w:tr w14:paraId="6A52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8" w:hRule="atLeast"/>
          <w:jc w:val="center"/>
        </w:trPr>
        <w:tc>
          <w:tcPr>
            <w:tcW w:w="568" w:type="dxa"/>
            <w:noWrap/>
            <w:vAlign w:val="center"/>
          </w:tcPr>
          <w:p w14:paraId="2F5EFEC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28</w:t>
            </w:r>
          </w:p>
        </w:tc>
        <w:tc>
          <w:tcPr>
            <w:tcW w:w="1275" w:type="dxa"/>
            <w:vAlign w:val="center"/>
          </w:tcPr>
          <w:p w14:paraId="6A614B98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Socio-económico</w:t>
            </w:r>
          </w:p>
        </w:tc>
        <w:tc>
          <w:tcPr>
            <w:tcW w:w="1701" w:type="dxa"/>
            <w:vAlign w:val="center"/>
          </w:tcPr>
          <w:p w14:paraId="319DF99C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Económico</w:t>
            </w:r>
          </w:p>
        </w:tc>
        <w:tc>
          <w:tcPr>
            <w:tcW w:w="1849" w:type="dxa"/>
            <w:vAlign w:val="center"/>
          </w:tcPr>
          <w:p w14:paraId="147DA506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Modificación de las actividades económicas de la zona</w:t>
            </w:r>
          </w:p>
        </w:tc>
        <w:tc>
          <w:tcPr>
            <w:tcW w:w="4580" w:type="dxa"/>
            <w:vAlign w:val="center"/>
          </w:tcPr>
          <w:p w14:paraId="3330985E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los incentivos, estímulos y/o condiciones para el desarrollo de las actividades económicas como consecuencia de un proyecto, obra o actividad, que generan: i) Modificación en la estructura de la propiedad, dependencia y formas de tenencia ii) Cambio en actividades productivas de los sectores primario, secundario y terciario , iii) Cambio en las actividades económicas tradicionales y/o el turismo y/o la recreación, iv) Modificación de programas y proyectos productivos privados, públicos y/o comunitarios existentes, v) Cambio en las características del mercado laboral actual en cuanto al tipo de mano de obra que se encuentra en el área y su condición laboral, vi) Cambio en la tendencias del empleo en el corto y mediano plazo, vii) afectación de recursos naturales necesarios para las actividades de subsistencia, entre otros.</w:t>
            </w:r>
          </w:p>
        </w:tc>
      </w:tr>
      <w:tr w14:paraId="6F365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568" w:type="dxa"/>
            <w:noWrap/>
            <w:vAlign w:val="center"/>
          </w:tcPr>
          <w:p w14:paraId="6CFD24C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29</w:t>
            </w:r>
          </w:p>
        </w:tc>
        <w:tc>
          <w:tcPr>
            <w:tcW w:w="1275" w:type="dxa"/>
            <w:vAlign w:val="center"/>
          </w:tcPr>
          <w:p w14:paraId="467885FD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Socio-económico</w:t>
            </w:r>
          </w:p>
        </w:tc>
        <w:tc>
          <w:tcPr>
            <w:tcW w:w="1701" w:type="dxa"/>
            <w:vAlign w:val="center"/>
          </w:tcPr>
          <w:p w14:paraId="18B90E7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Cultural</w:t>
            </w:r>
          </w:p>
        </w:tc>
        <w:tc>
          <w:tcPr>
            <w:tcW w:w="1849" w:type="dxa"/>
            <w:vAlign w:val="center"/>
          </w:tcPr>
          <w:p w14:paraId="0E6C664A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Cambio en el uso del suelo</w:t>
            </w:r>
          </w:p>
        </w:tc>
        <w:tc>
          <w:tcPr>
            <w:tcW w:w="4580" w:type="dxa"/>
            <w:vAlign w:val="center"/>
          </w:tcPr>
          <w:p w14:paraId="6F9CD8CE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Modificación en el uso, aptitud, acceso y disfrute del suelo como consecuencia de las actividades de un proyecto, obra o actividad.</w:t>
            </w:r>
          </w:p>
        </w:tc>
      </w:tr>
      <w:tr w14:paraId="1B913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568" w:type="dxa"/>
            <w:noWrap/>
            <w:vAlign w:val="center"/>
          </w:tcPr>
          <w:p w14:paraId="1200D475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b/>
                <w:bCs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30</w:t>
            </w:r>
          </w:p>
        </w:tc>
        <w:tc>
          <w:tcPr>
            <w:tcW w:w="1275" w:type="dxa"/>
            <w:vAlign w:val="center"/>
          </w:tcPr>
          <w:p w14:paraId="44E336B0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  <w:t>Socio-económico</w:t>
            </w:r>
          </w:p>
        </w:tc>
        <w:tc>
          <w:tcPr>
            <w:tcW w:w="1701" w:type="dxa"/>
            <w:vAlign w:val="center"/>
          </w:tcPr>
          <w:p w14:paraId="5BB5E1E4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Traslado involuntario de población</w:t>
            </w:r>
          </w:p>
        </w:tc>
        <w:tc>
          <w:tcPr>
            <w:tcW w:w="1849" w:type="dxa"/>
            <w:vAlign w:val="center"/>
          </w:tcPr>
          <w:p w14:paraId="6BA7CD81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Traslado involuntario de población</w:t>
            </w:r>
          </w:p>
        </w:tc>
        <w:tc>
          <w:tcPr>
            <w:tcW w:w="4580" w:type="dxa"/>
            <w:vAlign w:val="center"/>
          </w:tcPr>
          <w:p w14:paraId="1F83BA5D">
            <w:pPr>
              <w:numPr>
                <w:ilvl w:val="12"/>
                <w:numId w:val="0"/>
              </w:numPr>
              <w:tabs>
                <w:tab w:val="left" w:pos="-226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Verdana" w:hAnsi="Verdana" w:eastAsia="Times New Roman" w:cs="Times New Roman"/>
                <w:spacing w:val="-3"/>
                <w:kern w:val="0"/>
                <w:sz w:val="18"/>
                <w:szCs w:val="18"/>
                <w:lang w:val="zh-CN" w:eastAsia="es-ES"/>
                <w14:ligatures w14:val="none"/>
              </w:rPr>
              <w:t>Relocalización involuntaria de unidades sociales residenciales, productivas o mixtas, como consecuencia de las actividades de un proyecto, obra o actividad.</w:t>
            </w:r>
          </w:p>
        </w:tc>
      </w:tr>
    </w:tbl>
    <w:p w14:paraId="6392D22A">
      <w:pPr>
        <w:numPr>
          <w:ilvl w:val="12"/>
          <w:numId w:val="0"/>
        </w:numPr>
        <w:tabs>
          <w:tab w:val="left" w:pos="-226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Verdana" w:hAnsi="Verdana" w:eastAsia="Times New Roman" w:cs="Times New Roman"/>
          <w:spacing w:val="-3"/>
          <w:kern w:val="0"/>
          <w:sz w:val="20"/>
          <w:szCs w:val="20"/>
          <w:lang w:eastAsia="es-ES"/>
          <w14:ligatures w14:val="none"/>
        </w:rPr>
      </w:pPr>
      <w:r>
        <w:rPr>
          <w:rFonts w:ascii="Verdana" w:hAnsi="Verdana" w:eastAsia="Times New Roman" w:cs="Times New Roman"/>
          <w:b/>
          <w:bCs/>
          <w:spacing w:val="-3"/>
          <w:kern w:val="0"/>
          <w:sz w:val="20"/>
          <w:szCs w:val="20"/>
          <w:lang w:eastAsia="es-ES"/>
          <w14:ligatures w14:val="none"/>
        </w:rPr>
        <w:t>Fuente</w:t>
      </w:r>
      <w:r>
        <w:rPr>
          <w:rFonts w:ascii="Verdana" w:hAnsi="Verdana" w:eastAsia="Times New Roman" w:cs="Times New Roman"/>
          <w:spacing w:val="-3"/>
          <w:kern w:val="0"/>
          <w:sz w:val="20"/>
          <w:szCs w:val="20"/>
          <w:lang w:eastAsia="es-ES"/>
          <w14:ligatures w14:val="none"/>
        </w:rPr>
        <w:t>: ANLA – 2021.</w:t>
      </w:r>
    </w:p>
    <w:sectPr>
      <w:headerReference r:id="rId5" w:type="default"/>
      <w:footerReference r:id="rId6" w:type="default"/>
      <w:pgSz w:w="12240" w:h="15840"/>
      <w:pgMar w:top="2127" w:right="1701" w:bottom="1843" w:left="1701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lang w:val="es-ES"/>
      </w:rPr>
      <w:id w:val="-1071572585"/>
      <w:docPartObj>
        <w:docPartGallery w:val="AutoText"/>
      </w:docPartObj>
    </w:sdtPr>
    <w:sdtEndPr>
      <w:rPr>
        <w:rFonts w:ascii="Verdana" w:hAnsi="Verdana"/>
        <w:color w:val="000000"/>
        <w:sz w:val="18"/>
        <w:szCs w:val="18"/>
        <w:lang w:val="es-CO"/>
      </w:rPr>
    </w:sdtEndPr>
    <w:sdtContent>
      <w:p w14:paraId="795CDCB7">
        <w:pPr>
          <w:pStyle w:val="12"/>
          <w:jc w:val="right"/>
          <w:rPr>
            <w:rFonts w:ascii="Verdana" w:hAnsi="Verdana"/>
            <w:color w:val="000000"/>
            <w:sz w:val="18"/>
            <w:szCs w:val="18"/>
          </w:rPr>
        </w:pPr>
        <w:r>
          <w:rPr>
            <w:rFonts w:ascii="Verdana" w:hAnsi="Verdana"/>
            <w:sz w:val="18"/>
            <w:szCs w:val="18"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-252730</wp:posOffset>
                  </wp:positionV>
                  <wp:extent cx="5457825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4578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>
                              <w:pPr>
                                <w:spacing w:after="0"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1B8765A5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Ministerio de Ambiente y Desarrollo Sostenible</w:t>
                              </w:r>
                            </w:p>
                            <w:p w14:paraId="3453229D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Dirección: Calle 37 #8 - 40, Bogotá D.C., Colombia </w:t>
                              </w:r>
                            </w:p>
                            <w:p w14:paraId="7463B94C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Conmutador: (+57) 601 332 3400 - 3133463676</w:t>
                              </w:r>
                            </w:p>
                            <w:p w14:paraId="3F743D65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Línea Gratuita: (+57) 01 8000 919301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id="Cuadro de texto 1" o:spid="_x0000_s1026" o:spt="202" type="#_x0000_t202" style="position:absolute;left:0pt;margin-left:-7.8pt;margin-top:-19.9pt;height:96.85pt;width:429.75pt;mso-position-horizontal-relative:margin;z-index:251659264;mso-width-relative:page;mso-height-relative:page;" filled="f" stroked="f" coordsize="21600,21600" o:gfxdata="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et5r7bAAAACwEAAA8AAAAAAAAAAQAgAAAAIgAAAGRycy9k&#10;b3ducmV2LnhtbFBLAQIUABQAAAAIAIdO4kCXCT2HOAIAAHYEAAAOAAAAAAAAAAEAIAAAACoBAABk&#10;cnMvZTJvRG9jLnhtbFBLBQYAAAAABgAGAFkBAADU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9D92C5A">
                        <w:pPr>
                          <w:spacing w:after="0"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1B8765A5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  <w:t>Ministerio de Ambiente y Desarrollo Sostenible</w:t>
                        </w:r>
                      </w:p>
                      <w:p w14:paraId="3453229D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Dirección: Calle 37 #8 - 40, Bogotá D.C., Colombia </w:t>
                        </w:r>
                      </w:p>
                      <w:p w14:paraId="7463B94C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Conmutador: (+57) 601 332 3400 - 3133463676</w:t>
                        </w:r>
                      </w:p>
                      <w:p w14:paraId="3F743D65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Línea Gratuita: (+57) 01 8000 919301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Verdana" w:hAnsi="Verdana"/>
            <w:color w:val="000000"/>
            <w:sz w:val="18"/>
            <w:szCs w:val="18"/>
          </w:rPr>
          <w:t xml:space="preserve">Página </w:t>
        </w:r>
        <w:r>
          <w:rPr>
            <w:rFonts w:ascii="Verdana" w:hAnsi="Verdana"/>
            <w:color w:val="000000"/>
            <w:sz w:val="18"/>
            <w:szCs w:val="18"/>
          </w:rPr>
          <w:fldChar w:fldCharType="begin"/>
        </w:r>
        <w:r>
          <w:rPr>
            <w:rFonts w:ascii="Verdana" w:hAnsi="Verdana"/>
            <w:color w:val="000000"/>
            <w:sz w:val="18"/>
            <w:szCs w:val="18"/>
          </w:rPr>
          <w:instrText xml:space="preserve">PAGE   \* MERGEFORMAT</w:instrText>
        </w:r>
        <w:r>
          <w:rPr>
            <w:rFonts w:ascii="Verdana" w:hAnsi="Verdana"/>
            <w:color w:val="000000"/>
            <w:sz w:val="18"/>
            <w:szCs w:val="18"/>
          </w:rPr>
          <w:fldChar w:fldCharType="separate"/>
        </w:r>
        <w:r>
          <w:rPr>
            <w:rFonts w:ascii="Verdana" w:hAnsi="Verdana"/>
            <w:color w:val="000000"/>
            <w:sz w:val="18"/>
            <w:szCs w:val="18"/>
          </w:rPr>
          <w:t>2</w:t>
        </w:r>
        <w:r>
          <w:rPr>
            <w:rFonts w:ascii="Verdana" w:hAnsi="Verdana"/>
            <w:color w:val="000000"/>
            <w:sz w:val="18"/>
            <w:szCs w:val="18"/>
          </w:rPr>
          <w:fldChar w:fldCharType="end"/>
        </w:r>
        <w:r>
          <w:rPr>
            <w:rFonts w:ascii="Verdana" w:hAnsi="Verdana"/>
            <w:color w:val="000000"/>
            <w:sz w:val="18"/>
            <w:szCs w:val="18"/>
          </w:rPr>
          <w:t xml:space="preserve"> | </w:t>
        </w:r>
        <w:r>
          <w:rPr>
            <w:rFonts w:ascii="Verdana" w:hAnsi="Verdana"/>
            <w:color w:val="000000"/>
            <w:sz w:val="18"/>
            <w:szCs w:val="18"/>
          </w:rPr>
          <w:fldChar w:fldCharType="begin"/>
        </w:r>
        <w:r>
          <w:rPr>
            <w:rFonts w:ascii="Verdana" w:hAnsi="Verdana"/>
            <w:color w:val="000000"/>
            <w:sz w:val="18"/>
            <w:szCs w:val="18"/>
          </w:rPr>
          <w:instrText xml:space="preserve">NUMPAGES  \* Arabic  \* MERGEFORMAT</w:instrText>
        </w:r>
        <w:r>
          <w:rPr>
            <w:rFonts w:ascii="Verdana" w:hAnsi="Verdana"/>
            <w:color w:val="000000"/>
            <w:sz w:val="18"/>
            <w:szCs w:val="18"/>
          </w:rPr>
          <w:fldChar w:fldCharType="separate"/>
        </w:r>
        <w:r>
          <w:rPr>
            <w:rFonts w:ascii="Verdana" w:hAnsi="Verdana"/>
            <w:color w:val="000000"/>
            <w:sz w:val="18"/>
            <w:szCs w:val="18"/>
          </w:rPr>
          <w:t>2</w:t>
        </w:r>
        <w:r>
          <w:rPr>
            <w:rFonts w:ascii="Verdana" w:hAnsi="Verdana"/>
            <w:color w:val="000000"/>
            <w:sz w:val="18"/>
            <w:szCs w:val="18"/>
          </w:rPr>
          <w:fldChar w:fldCharType="end"/>
        </w:r>
      </w:p>
      <w:p w14:paraId="2E27CAF7">
        <w:pPr>
          <w:pStyle w:val="12"/>
          <w:jc w:val="right"/>
          <w:rPr>
            <w:rFonts w:ascii="Verdana" w:hAnsi="Verdana"/>
            <w:color w:val="000000"/>
            <w:sz w:val="18"/>
            <w:szCs w:val="18"/>
          </w:rPr>
        </w:pPr>
      </w:p>
    </w:sdtContent>
  </w:sdt>
  <w:p w14:paraId="64D00525">
    <w:pPr>
      <w:pStyle w:val="12"/>
      <w:jc w:val="right"/>
      <w:rPr>
        <w:rFonts w:ascii="Verdana" w:hAnsi="Verdana"/>
        <w:sz w:val="18"/>
        <w:szCs w:val="18"/>
      </w:rPr>
    </w:pPr>
  </w:p>
  <w:p w14:paraId="409F4B9A">
    <w:pPr>
      <w:spacing w:after="0" w:line="276" w:lineRule="auto"/>
      <w:jc w:val="both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8CE25">
    <w:pPr>
      <w:pStyle w:val="11"/>
    </w:pPr>
    <w:r>
      <w:rPr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6350</wp:posOffset>
          </wp:positionH>
          <wp:positionV relativeFrom="paragraph">
            <wp:posOffset>-435610</wp:posOffset>
          </wp:positionV>
          <wp:extent cx="7757160" cy="10050780"/>
          <wp:effectExtent l="0" t="0" r="0" b="0"/>
          <wp:wrapNone/>
          <wp:docPr id="2059349817" name="Imagen 2059349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349817" name="Imagen 20593498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6896" cy="1005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36"/>
    <w:rsid w:val="00000CE0"/>
    <w:rsid w:val="0000129A"/>
    <w:rsid w:val="0000259A"/>
    <w:rsid w:val="00006ED5"/>
    <w:rsid w:val="000079AF"/>
    <w:rsid w:val="00007C6E"/>
    <w:rsid w:val="00010C9F"/>
    <w:rsid w:val="000113E8"/>
    <w:rsid w:val="00012330"/>
    <w:rsid w:val="00015087"/>
    <w:rsid w:val="00017BC6"/>
    <w:rsid w:val="000240CB"/>
    <w:rsid w:val="00024102"/>
    <w:rsid w:val="0002767F"/>
    <w:rsid w:val="00031368"/>
    <w:rsid w:val="00034777"/>
    <w:rsid w:val="00036199"/>
    <w:rsid w:val="00042E9D"/>
    <w:rsid w:val="00043636"/>
    <w:rsid w:val="000475E9"/>
    <w:rsid w:val="00047DE3"/>
    <w:rsid w:val="0005183C"/>
    <w:rsid w:val="000552C8"/>
    <w:rsid w:val="000564F2"/>
    <w:rsid w:val="00056957"/>
    <w:rsid w:val="00060ED0"/>
    <w:rsid w:val="00061100"/>
    <w:rsid w:val="00061148"/>
    <w:rsid w:val="00062A95"/>
    <w:rsid w:val="00065675"/>
    <w:rsid w:val="000660D0"/>
    <w:rsid w:val="000665F7"/>
    <w:rsid w:val="00070C7B"/>
    <w:rsid w:val="00072CE0"/>
    <w:rsid w:val="0007310E"/>
    <w:rsid w:val="00075730"/>
    <w:rsid w:val="00077538"/>
    <w:rsid w:val="000813B5"/>
    <w:rsid w:val="00081B18"/>
    <w:rsid w:val="00087BAD"/>
    <w:rsid w:val="00090E0C"/>
    <w:rsid w:val="00091560"/>
    <w:rsid w:val="00092DC5"/>
    <w:rsid w:val="00096E13"/>
    <w:rsid w:val="00097514"/>
    <w:rsid w:val="000A088E"/>
    <w:rsid w:val="000A3414"/>
    <w:rsid w:val="000A671E"/>
    <w:rsid w:val="000B0CA4"/>
    <w:rsid w:val="000B130E"/>
    <w:rsid w:val="000B534C"/>
    <w:rsid w:val="000B5435"/>
    <w:rsid w:val="000C08B6"/>
    <w:rsid w:val="000C1761"/>
    <w:rsid w:val="000C21F5"/>
    <w:rsid w:val="000C262E"/>
    <w:rsid w:val="000C2E11"/>
    <w:rsid w:val="000C3650"/>
    <w:rsid w:val="000C4335"/>
    <w:rsid w:val="000D1FF6"/>
    <w:rsid w:val="000D22A5"/>
    <w:rsid w:val="000D2A7D"/>
    <w:rsid w:val="000D354B"/>
    <w:rsid w:val="000D453B"/>
    <w:rsid w:val="000D563D"/>
    <w:rsid w:val="000D5A9D"/>
    <w:rsid w:val="000D628E"/>
    <w:rsid w:val="000E03E2"/>
    <w:rsid w:val="000E3AE8"/>
    <w:rsid w:val="000E7CA7"/>
    <w:rsid w:val="000F0F33"/>
    <w:rsid w:val="000F4322"/>
    <w:rsid w:val="000F4C11"/>
    <w:rsid w:val="000F5292"/>
    <w:rsid w:val="000F6BB5"/>
    <w:rsid w:val="000F7E3E"/>
    <w:rsid w:val="00100017"/>
    <w:rsid w:val="001004F8"/>
    <w:rsid w:val="00101AE3"/>
    <w:rsid w:val="001036EC"/>
    <w:rsid w:val="00104275"/>
    <w:rsid w:val="00105032"/>
    <w:rsid w:val="00106F43"/>
    <w:rsid w:val="00110462"/>
    <w:rsid w:val="001120AB"/>
    <w:rsid w:val="0011447C"/>
    <w:rsid w:val="001203B2"/>
    <w:rsid w:val="00120A36"/>
    <w:rsid w:val="00122500"/>
    <w:rsid w:val="001232D4"/>
    <w:rsid w:val="00125288"/>
    <w:rsid w:val="001257BE"/>
    <w:rsid w:val="00125DA5"/>
    <w:rsid w:val="001300D0"/>
    <w:rsid w:val="00131872"/>
    <w:rsid w:val="00133689"/>
    <w:rsid w:val="00133D2C"/>
    <w:rsid w:val="00136292"/>
    <w:rsid w:val="00141964"/>
    <w:rsid w:val="001419BF"/>
    <w:rsid w:val="001433B1"/>
    <w:rsid w:val="001448CA"/>
    <w:rsid w:val="0014566B"/>
    <w:rsid w:val="00146117"/>
    <w:rsid w:val="00146DBE"/>
    <w:rsid w:val="00147641"/>
    <w:rsid w:val="00147AF6"/>
    <w:rsid w:val="00150032"/>
    <w:rsid w:val="0015018A"/>
    <w:rsid w:val="0015436B"/>
    <w:rsid w:val="00155AF4"/>
    <w:rsid w:val="00157221"/>
    <w:rsid w:val="00160E79"/>
    <w:rsid w:val="001615C8"/>
    <w:rsid w:val="00161CC6"/>
    <w:rsid w:val="00164C5C"/>
    <w:rsid w:val="001654CE"/>
    <w:rsid w:val="00165E98"/>
    <w:rsid w:val="00167E88"/>
    <w:rsid w:val="001701DF"/>
    <w:rsid w:val="00170BEE"/>
    <w:rsid w:val="00171B2B"/>
    <w:rsid w:val="001728B2"/>
    <w:rsid w:val="00174DDD"/>
    <w:rsid w:val="00177DD1"/>
    <w:rsid w:val="00180520"/>
    <w:rsid w:val="001838D8"/>
    <w:rsid w:val="00184572"/>
    <w:rsid w:val="00185003"/>
    <w:rsid w:val="00186878"/>
    <w:rsid w:val="00196B6D"/>
    <w:rsid w:val="001A0B41"/>
    <w:rsid w:val="001A0E20"/>
    <w:rsid w:val="001A245D"/>
    <w:rsid w:val="001A44F6"/>
    <w:rsid w:val="001A4DEE"/>
    <w:rsid w:val="001A5613"/>
    <w:rsid w:val="001A5FA6"/>
    <w:rsid w:val="001A68D4"/>
    <w:rsid w:val="001B01C4"/>
    <w:rsid w:val="001B02BF"/>
    <w:rsid w:val="001B2132"/>
    <w:rsid w:val="001B4303"/>
    <w:rsid w:val="001B54DE"/>
    <w:rsid w:val="001B7197"/>
    <w:rsid w:val="001C0DCA"/>
    <w:rsid w:val="001C0FCF"/>
    <w:rsid w:val="001C17B4"/>
    <w:rsid w:val="001C622A"/>
    <w:rsid w:val="001C64BE"/>
    <w:rsid w:val="001C762F"/>
    <w:rsid w:val="001D2236"/>
    <w:rsid w:val="001D340A"/>
    <w:rsid w:val="001D7066"/>
    <w:rsid w:val="001D7FEF"/>
    <w:rsid w:val="001E00DA"/>
    <w:rsid w:val="001E095D"/>
    <w:rsid w:val="001E2AD6"/>
    <w:rsid w:val="001E2CE1"/>
    <w:rsid w:val="001E3143"/>
    <w:rsid w:val="001E3A34"/>
    <w:rsid w:val="001E4D6F"/>
    <w:rsid w:val="001E554D"/>
    <w:rsid w:val="001E58DE"/>
    <w:rsid w:val="001E6A15"/>
    <w:rsid w:val="001F14D8"/>
    <w:rsid w:val="001F165A"/>
    <w:rsid w:val="001F1C55"/>
    <w:rsid w:val="001F297F"/>
    <w:rsid w:val="001F3A3B"/>
    <w:rsid w:val="001F3C08"/>
    <w:rsid w:val="001F4715"/>
    <w:rsid w:val="001F6218"/>
    <w:rsid w:val="001F675C"/>
    <w:rsid w:val="001F6820"/>
    <w:rsid w:val="001F7E79"/>
    <w:rsid w:val="001F7FEE"/>
    <w:rsid w:val="00200DED"/>
    <w:rsid w:val="0020107F"/>
    <w:rsid w:val="0020152A"/>
    <w:rsid w:val="002016E0"/>
    <w:rsid w:val="00201E80"/>
    <w:rsid w:val="002037DA"/>
    <w:rsid w:val="00204DB8"/>
    <w:rsid w:val="0020544C"/>
    <w:rsid w:val="002071C6"/>
    <w:rsid w:val="002077A2"/>
    <w:rsid w:val="00207E6D"/>
    <w:rsid w:val="00210B01"/>
    <w:rsid w:val="00213399"/>
    <w:rsid w:val="00213DC5"/>
    <w:rsid w:val="00214C9E"/>
    <w:rsid w:val="002154A1"/>
    <w:rsid w:val="00215D0E"/>
    <w:rsid w:val="0021760F"/>
    <w:rsid w:val="00217F1F"/>
    <w:rsid w:val="0022051B"/>
    <w:rsid w:val="002216BB"/>
    <w:rsid w:val="0022254F"/>
    <w:rsid w:val="0022256E"/>
    <w:rsid w:val="00222B68"/>
    <w:rsid w:val="00222C27"/>
    <w:rsid w:val="00225885"/>
    <w:rsid w:val="00225FBE"/>
    <w:rsid w:val="002276CD"/>
    <w:rsid w:val="002334B7"/>
    <w:rsid w:val="0023522C"/>
    <w:rsid w:val="002354D2"/>
    <w:rsid w:val="00236238"/>
    <w:rsid w:val="00236ABD"/>
    <w:rsid w:val="002370E4"/>
    <w:rsid w:val="002373AF"/>
    <w:rsid w:val="00237714"/>
    <w:rsid w:val="00240332"/>
    <w:rsid w:val="002406DE"/>
    <w:rsid w:val="00241BF3"/>
    <w:rsid w:val="00242414"/>
    <w:rsid w:val="00242A90"/>
    <w:rsid w:val="00244D03"/>
    <w:rsid w:val="00244F81"/>
    <w:rsid w:val="00245C77"/>
    <w:rsid w:val="00251B7B"/>
    <w:rsid w:val="00253FF6"/>
    <w:rsid w:val="002540D5"/>
    <w:rsid w:val="002540D8"/>
    <w:rsid w:val="00254648"/>
    <w:rsid w:val="0025498D"/>
    <w:rsid w:val="00255542"/>
    <w:rsid w:val="002559B2"/>
    <w:rsid w:val="00256928"/>
    <w:rsid w:val="0025726A"/>
    <w:rsid w:val="0025747F"/>
    <w:rsid w:val="00257695"/>
    <w:rsid w:val="002607F4"/>
    <w:rsid w:val="002623EE"/>
    <w:rsid w:val="0026363E"/>
    <w:rsid w:val="00263B65"/>
    <w:rsid w:val="00265BF5"/>
    <w:rsid w:val="002668E1"/>
    <w:rsid w:val="00266CC5"/>
    <w:rsid w:val="0026797C"/>
    <w:rsid w:val="00267D42"/>
    <w:rsid w:val="0027209F"/>
    <w:rsid w:val="00280DE1"/>
    <w:rsid w:val="00283681"/>
    <w:rsid w:val="00290BE0"/>
    <w:rsid w:val="002921AB"/>
    <w:rsid w:val="0029640E"/>
    <w:rsid w:val="002A039E"/>
    <w:rsid w:val="002A06CD"/>
    <w:rsid w:val="002A24C4"/>
    <w:rsid w:val="002A2578"/>
    <w:rsid w:val="002A4C5C"/>
    <w:rsid w:val="002A6F8A"/>
    <w:rsid w:val="002B1804"/>
    <w:rsid w:val="002B2C08"/>
    <w:rsid w:val="002B3B85"/>
    <w:rsid w:val="002B44F4"/>
    <w:rsid w:val="002B4F9D"/>
    <w:rsid w:val="002B5C07"/>
    <w:rsid w:val="002B609A"/>
    <w:rsid w:val="002B615C"/>
    <w:rsid w:val="002B76C2"/>
    <w:rsid w:val="002C3964"/>
    <w:rsid w:val="002C4EFC"/>
    <w:rsid w:val="002C5126"/>
    <w:rsid w:val="002C5F90"/>
    <w:rsid w:val="002C7082"/>
    <w:rsid w:val="002D0D80"/>
    <w:rsid w:val="002D0E3C"/>
    <w:rsid w:val="002D145C"/>
    <w:rsid w:val="002D55BF"/>
    <w:rsid w:val="002D6171"/>
    <w:rsid w:val="002D7F41"/>
    <w:rsid w:val="002E38DD"/>
    <w:rsid w:val="002E4417"/>
    <w:rsid w:val="002E7B9B"/>
    <w:rsid w:val="002F0050"/>
    <w:rsid w:val="002F0893"/>
    <w:rsid w:val="002F2CD5"/>
    <w:rsid w:val="002F3967"/>
    <w:rsid w:val="002F3DBF"/>
    <w:rsid w:val="002F3EF9"/>
    <w:rsid w:val="002F502E"/>
    <w:rsid w:val="0030234A"/>
    <w:rsid w:val="00303D0F"/>
    <w:rsid w:val="0030489C"/>
    <w:rsid w:val="003070AD"/>
    <w:rsid w:val="0031200E"/>
    <w:rsid w:val="00312FB2"/>
    <w:rsid w:val="00313D73"/>
    <w:rsid w:val="0031441E"/>
    <w:rsid w:val="00314E62"/>
    <w:rsid w:val="00315134"/>
    <w:rsid w:val="003178CF"/>
    <w:rsid w:val="00317D0C"/>
    <w:rsid w:val="00321CEB"/>
    <w:rsid w:val="00323AAD"/>
    <w:rsid w:val="003268C3"/>
    <w:rsid w:val="003308EB"/>
    <w:rsid w:val="003311E7"/>
    <w:rsid w:val="003316FA"/>
    <w:rsid w:val="00333777"/>
    <w:rsid w:val="00334294"/>
    <w:rsid w:val="003361DB"/>
    <w:rsid w:val="0033670B"/>
    <w:rsid w:val="00336C7F"/>
    <w:rsid w:val="003371E5"/>
    <w:rsid w:val="003374C4"/>
    <w:rsid w:val="003462CC"/>
    <w:rsid w:val="00350804"/>
    <w:rsid w:val="00351DC5"/>
    <w:rsid w:val="00352BB4"/>
    <w:rsid w:val="003537BC"/>
    <w:rsid w:val="00355BD4"/>
    <w:rsid w:val="00356E15"/>
    <w:rsid w:val="003608E0"/>
    <w:rsid w:val="0036103D"/>
    <w:rsid w:val="0036180A"/>
    <w:rsid w:val="00363D13"/>
    <w:rsid w:val="00364F23"/>
    <w:rsid w:val="0036508A"/>
    <w:rsid w:val="00366D1C"/>
    <w:rsid w:val="00367927"/>
    <w:rsid w:val="00371A93"/>
    <w:rsid w:val="00373F1C"/>
    <w:rsid w:val="0037438C"/>
    <w:rsid w:val="003802E3"/>
    <w:rsid w:val="003829BB"/>
    <w:rsid w:val="00383D0F"/>
    <w:rsid w:val="00383EDB"/>
    <w:rsid w:val="0038437F"/>
    <w:rsid w:val="003855DD"/>
    <w:rsid w:val="00386698"/>
    <w:rsid w:val="003900DC"/>
    <w:rsid w:val="0039014A"/>
    <w:rsid w:val="00391121"/>
    <w:rsid w:val="003914F1"/>
    <w:rsid w:val="00392E15"/>
    <w:rsid w:val="00393068"/>
    <w:rsid w:val="003972DB"/>
    <w:rsid w:val="00397FF3"/>
    <w:rsid w:val="003A0035"/>
    <w:rsid w:val="003A11E8"/>
    <w:rsid w:val="003A15F7"/>
    <w:rsid w:val="003A2912"/>
    <w:rsid w:val="003A3319"/>
    <w:rsid w:val="003A3763"/>
    <w:rsid w:val="003A4594"/>
    <w:rsid w:val="003A552E"/>
    <w:rsid w:val="003A736B"/>
    <w:rsid w:val="003B1A30"/>
    <w:rsid w:val="003B39F5"/>
    <w:rsid w:val="003B786C"/>
    <w:rsid w:val="003B7ACF"/>
    <w:rsid w:val="003C1FA7"/>
    <w:rsid w:val="003C26B4"/>
    <w:rsid w:val="003C3377"/>
    <w:rsid w:val="003C4EF1"/>
    <w:rsid w:val="003C5B4D"/>
    <w:rsid w:val="003C632D"/>
    <w:rsid w:val="003D216D"/>
    <w:rsid w:val="003D3F9E"/>
    <w:rsid w:val="003D5AFA"/>
    <w:rsid w:val="003D7DDA"/>
    <w:rsid w:val="003E182A"/>
    <w:rsid w:val="003E522D"/>
    <w:rsid w:val="003E52EA"/>
    <w:rsid w:val="003E6C62"/>
    <w:rsid w:val="003E6EE7"/>
    <w:rsid w:val="003E7086"/>
    <w:rsid w:val="003F002A"/>
    <w:rsid w:val="003F184B"/>
    <w:rsid w:val="003F189A"/>
    <w:rsid w:val="003F2683"/>
    <w:rsid w:val="003F29FD"/>
    <w:rsid w:val="003F5BCD"/>
    <w:rsid w:val="003F7B61"/>
    <w:rsid w:val="004039B3"/>
    <w:rsid w:val="00403F0C"/>
    <w:rsid w:val="004053A5"/>
    <w:rsid w:val="004055FB"/>
    <w:rsid w:val="004077D9"/>
    <w:rsid w:val="00407B6F"/>
    <w:rsid w:val="00410B72"/>
    <w:rsid w:val="00411F8F"/>
    <w:rsid w:val="00412FDB"/>
    <w:rsid w:val="00413A23"/>
    <w:rsid w:val="00415714"/>
    <w:rsid w:val="00416313"/>
    <w:rsid w:val="00416CEA"/>
    <w:rsid w:val="0042077C"/>
    <w:rsid w:val="004207C9"/>
    <w:rsid w:val="004217B6"/>
    <w:rsid w:val="00421F2C"/>
    <w:rsid w:val="00422A5B"/>
    <w:rsid w:val="00422C82"/>
    <w:rsid w:val="00423DBF"/>
    <w:rsid w:val="00426432"/>
    <w:rsid w:val="0042794F"/>
    <w:rsid w:val="00427F2C"/>
    <w:rsid w:val="0043241D"/>
    <w:rsid w:val="00432546"/>
    <w:rsid w:val="004336BF"/>
    <w:rsid w:val="00434B53"/>
    <w:rsid w:val="00435C4D"/>
    <w:rsid w:val="00435C52"/>
    <w:rsid w:val="00436E05"/>
    <w:rsid w:val="004371EB"/>
    <w:rsid w:val="004426CB"/>
    <w:rsid w:val="004506E2"/>
    <w:rsid w:val="004506F5"/>
    <w:rsid w:val="00451621"/>
    <w:rsid w:val="004538CC"/>
    <w:rsid w:val="00455C78"/>
    <w:rsid w:val="00456786"/>
    <w:rsid w:val="00457292"/>
    <w:rsid w:val="00460F9B"/>
    <w:rsid w:val="00462843"/>
    <w:rsid w:val="004644B0"/>
    <w:rsid w:val="00464DA2"/>
    <w:rsid w:val="00465739"/>
    <w:rsid w:val="00470B97"/>
    <w:rsid w:val="004719A8"/>
    <w:rsid w:val="00475C14"/>
    <w:rsid w:val="00481AA1"/>
    <w:rsid w:val="00481D12"/>
    <w:rsid w:val="0048443E"/>
    <w:rsid w:val="00484EE4"/>
    <w:rsid w:val="004855E7"/>
    <w:rsid w:val="004871E7"/>
    <w:rsid w:val="00490783"/>
    <w:rsid w:val="00490C1C"/>
    <w:rsid w:val="00491E3D"/>
    <w:rsid w:val="00493890"/>
    <w:rsid w:val="0049739C"/>
    <w:rsid w:val="004A123D"/>
    <w:rsid w:val="004A42FA"/>
    <w:rsid w:val="004A59DD"/>
    <w:rsid w:val="004B1DD5"/>
    <w:rsid w:val="004B393A"/>
    <w:rsid w:val="004B5112"/>
    <w:rsid w:val="004B6C1B"/>
    <w:rsid w:val="004B701C"/>
    <w:rsid w:val="004C26D4"/>
    <w:rsid w:val="004C3AE3"/>
    <w:rsid w:val="004C441F"/>
    <w:rsid w:val="004C4925"/>
    <w:rsid w:val="004C6181"/>
    <w:rsid w:val="004C6C42"/>
    <w:rsid w:val="004D058B"/>
    <w:rsid w:val="004D2782"/>
    <w:rsid w:val="004D3F85"/>
    <w:rsid w:val="004D4912"/>
    <w:rsid w:val="004D5895"/>
    <w:rsid w:val="004D64D3"/>
    <w:rsid w:val="004D6E6F"/>
    <w:rsid w:val="004D7900"/>
    <w:rsid w:val="004D798B"/>
    <w:rsid w:val="004E0898"/>
    <w:rsid w:val="004E0CFE"/>
    <w:rsid w:val="004E1603"/>
    <w:rsid w:val="004E2441"/>
    <w:rsid w:val="004E5724"/>
    <w:rsid w:val="004E62DD"/>
    <w:rsid w:val="004E70CF"/>
    <w:rsid w:val="004F13D8"/>
    <w:rsid w:val="004F532C"/>
    <w:rsid w:val="004F5624"/>
    <w:rsid w:val="004F7208"/>
    <w:rsid w:val="004F7CD3"/>
    <w:rsid w:val="005008AB"/>
    <w:rsid w:val="00500C02"/>
    <w:rsid w:val="0050336D"/>
    <w:rsid w:val="00504010"/>
    <w:rsid w:val="00504FE4"/>
    <w:rsid w:val="00506391"/>
    <w:rsid w:val="00507184"/>
    <w:rsid w:val="005072D4"/>
    <w:rsid w:val="0051094F"/>
    <w:rsid w:val="00512E63"/>
    <w:rsid w:val="00513BB2"/>
    <w:rsid w:val="00520263"/>
    <w:rsid w:val="00520777"/>
    <w:rsid w:val="005211A6"/>
    <w:rsid w:val="00521436"/>
    <w:rsid w:val="005239D2"/>
    <w:rsid w:val="00525CC9"/>
    <w:rsid w:val="00526FEF"/>
    <w:rsid w:val="00527025"/>
    <w:rsid w:val="00527DED"/>
    <w:rsid w:val="00530B69"/>
    <w:rsid w:val="00532A07"/>
    <w:rsid w:val="00536ABF"/>
    <w:rsid w:val="0053719D"/>
    <w:rsid w:val="00537426"/>
    <w:rsid w:val="00537976"/>
    <w:rsid w:val="00541784"/>
    <w:rsid w:val="00544C0C"/>
    <w:rsid w:val="005452A4"/>
    <w:rsid w:val="00545CCC"/>
    <w:rsid w:val="00545DAD"/>
    <w:rsid w:val="005478AC"/>
    <w:rsid w:val="00547E63"/>
    <w:rsid w:val="00547F84"/>
    <w:rsid w:val="0055098A"/>
    <w:rsid w:val="00550FEB"/>
    <w:rsid w:val="00550FEC"/>
    <w:rsid w:val="005512CD"/>
    <w:rsid w:val="0055278E"/>
    <w:rsid w:val="005528CC"/>
    <w:rsid w:val="00553C8A"/>
    <w:rsid w:val="00553FC7"/>
    <w:rsid w:val="00554FC0"/>
    <w:rsid w:val="00555DB9"/>
    <w:rsid w:val="00556245"/>
    <w:rsid w:val="005578BA"/>
    <w:rsid w:val="0056025A"/>
    <w:rsid w:val="0056084F"/>
    <w:rsid w:val="00560AF3"/>
    <w:rsid w:val="005628FC"/>
    <w:rsid w:val="00563399"/>
    <w:rsid w:val="00564EC5"/>
    <w:rsid w:val="005656E1"/>
    <w:rsid w:val="0056761F"/>
    <w:rsid w:val="00570179"/>
    <w:rsid w:val="005718CD"/>
    <w:rsid w:val="00573E6B"/>
    <w:rsid w:val="00576D69"/>
    <w:rsid w:val="00576FFC"/>
    <w:rsid w:val="005778E3"/>
    <w:rsid w:val="00580AB8"/>
    <w:rsid w:val="00581A8D"/>
    <w:rsid w:val="005820CB"/>
    <w:rsid w:val="00582BC0"/>
    <w:rsid w:val="00583E72"/>
    <w:rsid w:val="005841A6"/>
    <w:rsid w:val="00585830"/>
    <w:rsid w:val="00591C60"/>
    <w:rsid w:val="00591E58"/>
    <w:rsid w:val="00592645"/>
    <w:rsid w:val="0059274B"/>
    <w:rsid w:val="00593698"/>
    <w:rsid w:val="005A3F0E"/>
    <w:rsid w:val="005A5267"/>
    <w:rsid w:val="005A5281"/>
    <w:rsid w:val="005A61FC"/>
    <w:rsid w:val="005A6726"/>
    <w:rsid w:val="005B084C"/>
    <w:rsid w:val="005B0BF8"/>
    <w:rsid w:val="005B2C64"/>
    <w:rsid w:val="005B3DF1"/>
    <w:rsid w:val="005B40A8"/>
    <w:rsid w:val="005B4828"/>
    <w:rsid w:val="005B4851"/>
    <w:rsid w:val="005B5A1E"/>
    <w:rsid w:val="005B5AEA"/>
    <w:rsid w:val="005B71ED"/>
    <w:rsid w:val="005B77FD"/>
    <w:rsid w:val="005B7B78"/>
    <w:rsid w:val="005C5DFF"/>
    <w:rsid w:val="005C6EB7"/>
    <w:rsid w:val="005C6F9C"/>
    <w:rsid w:val="005C7D4E"/>
    <w:rsid w:val="005D125C"/>
    <w:rsid w:val="005D1EDE"/>
    <w:rsid w:val="005D622F"/>
    <w:rsid w:val="005D6ED8"/>
    <w:rsid w:val="005D6F5C"/>
    <w:rsid w:val="005D787E"/>
    <w:rsid w:val="005E163F"/>
    <w:rsid w:val="005E2023"/>
    <w:rsid w:val="005E2654"/>
    <w:rsid w:val="005E2991"/>
    <w:rsid w:val="005E6DF8"/>
    <w:rsid w:val="005E7BEB"/>
    <w:rsid w:val="005E7C8C"/>
    <w:rsid w:val="005F081F"/>
    <w:rsid w:val="005F1A17"/>
    <w:rsid w:val="005F2729"/>
    <w:rsid w:val="005F33C7"/>
    <w:rsid w:val="005F3742"/>
    <w:rsid w:val="005F6D98"/>
    <w:rsid w:val="005F778D"/>
    <w:rsid w:val="00600410"/>
    <w:rsid w:val="0060059A"/>
    <w:rsid w:val="0060062B"/>
    <w:rsid w:val="00600F54"/>
    <w:rsid w:val="00603ED0"/>
    <w:rsid w:val="0060403C"/>
    <w:rsid w:val="006041DE"/>
    <w:rsid w:val="00605288"/>
    <w:rsid w:val="00605660"/>
    <w:rsid w:val="00606718"/>
    <w:rsid w:val="006067E2"/>
    <w:rsid w:val="00606AE3"/>
    <w:rsid w:val="00606F79"/>
    <w:rsid w:val="0061507B"/>
    <w:rsid w:val="006152C3"/>
    <w:rsid w:val="006157FE"/>
    <w:rsid w:val="00616301"/>
    <w:rsid w:val="006166BF"/>
    <w:rsid w:val="00616E7A"/>
    <w:rsid w:val="00617305"/>
    <w:rsid w:val="00620035"/>
    <w:rsid w:val="0062033C"/>
    <w:rsid w:val="0062213C"/>
    <w:rsid w:val="00622492"/>
    <w:rsid w:val="00623C8F"/>
    <w:rsid w:val="0062623E"/>
    <w:rsid w:val="00627F85"/>
    <w:rsid w:val="00630693"/>
    <w:rsid w:val="006306FE"/>
    <w:rsid w:val="00630862"/>
    <w:rsid w:val="00630CC7"/>
    <w:rsid w:val="00630D87"/>
    <w:rsid w:val="00631D05"/>
    <w:rsid w:val="00632CE3"/>
    <w:rsid w:val="0063302A"/>
    <w:rsid w:val="006330E8"/>
    <w:rsid w:val="006344C9"/>
    <w:rsid w:val="00634673"/>
    <w:rsid w:val="006348EE"/>
    <w:rsid w:val="00635ED5"/>
    <w:rsid w:val="00636B67"/>
    <w:rsid w:val="00636F98"/>
    <w:rsid w:val="006400F7"/>
    <w:rsid w:val="006405E1"/>
    <w:rsid w:val="0064134C"/>
    <w:rsid w:val="006427E3"/>
    <w:rsid w:val="006431DD"/>
    <w:rsid w:val="0064339E"/>
    <w:rsid w:val="006434AD"/>
    <w:rsid w:val="00645A26"/>
    <w:rsid w:val="00645BB6"/>
    <w:rsid w:val="00647DEC"/>
    <w:rsid w:val="0065062A"/>
    <w:rsid w:val="00650887"/>
    <w:rsid w:val="0065112B"/>
    <w:rsid w:val="00652FCC"/>
    <w:rsid w:val="00653484"/>
    <w:rsid w:val="00653543"/>
    <w:rsid w:val="00655CE0"/>
    <w:rsid w:val="0065714C"/>
    <w:rsid w:val="0066033D"/>
    <w:rsid w:val="0066108B"/>
    <w:rsid w:val="006663A1"/>
    <w:rsid w:val="0066673A"/>
    <w:rsid w:val="00672071"/>
    <w:rsid w:val="0067269A"/>
    <w:rsid w:val="0067421F"/>
    <w:rsid w:val="006745BC"/>
    <w:rsid w:val="006759C5"/>
    <w:rsid w:val="00677088"/>
    <w:rsid w:val="006771E7"/>
    <w:rsid w:val="00680177"/>
    <w:rsid w:val="00680403"/>
    <w:rsid w:val="00681114"/>
    <w:rsid w:val="00681332"/>
    <w:rsid w:val="00681CC0"/>
    <w:rsid w:val="00683E4F"/>
    <w:rsid w:val="00683FDF"/>
    <w:rsid w:val="00684A55"/>
    <w:rsid w:val="00685110"/>
    <w:rsid w:val="0068623B"/>
    <w:rsid w:val="00687861"/>
    <w:rsid w:val="0069046A"/>
    <w:rsid w:val="00690735"/>
    <w:rsid w:val="006917BF"/>
    <w:rsid w:val="006918D1"/>
    <w:rsid w:val="00691939"/>
    <w:rsid w:val="00694CA2"/>
    <w:rsid w:val="00694E4B"/>
    <w:rsid w:val="006976FC"/>
    <w:rsid w:val="00697987"/>
    <w:rsid w:val="00697D1E"/>
    <w:rsid w:val="00697D9C"/>
    <w:rsid w:val="006A0353"/>
    <w:rsid w:val="006A1F4A"/>
    <w:rsid w:val="006A2416"/>
    <w:rsid w:val="006A4085"/>
    <w:rsid w:val="006A5330"/>
    <w:rsid w:val="006A5DA9"/>
    <w:rsid w:val="006A66DE"/>
    <w:rsid w:val="006B050A"/>
    <w:rsid w:val="006B06B6"/>
    <w:rsid w:val="006B18AA"/>
    <w:rsid w:val="006B41A2"/>
    <w:rsid w:val="006B6BB2"/>
    <w:rsid w:val="006B6D14"/>
    <w:rsid w:val="006C03E6"/>
    <w:rsid w:val="006C0659"/>
    <w:rsid w:val="006C0923"/>
    <w:rsid w:val="006C2241"/>
    <w:rsid w:val="006C59F1"/>
    <w:rsid w:val="006C67B1"/>
    <w:rsid w:val="006D1A83"/>
    <w:rsid w:val="006D32D5"/>
    <w:rsid w:val="006D547A"/>
    <w:rsid w:val="006D6939"/>
    <w:rsid w:val="006D6F12"/>
    <w:rsid w:val="006E2627"/>
    <w:rsid w:val="006E5847"/>
    <w:rsid w:val="006E588F"/>
    <w:rsid w:val="006E5CBC"/>
    <w:rsid w:val="006E653C"/>
    <w:rsid w:val="006E6DB4"/>
    <w:rsid w:val="006F39EA"/>
    <w:rsid w:val="006F3DAA"/>
    <w:rsid w:val="006F5B82"/>
    <w:rsid w:val="006F6DB9"/>
    <w:rsid w:val="00703B40"/>
    <w:rsid w:val="00704D33"/>
    <w:rsid w:val="0070661A"/>
    <w:rsid w:val="00712014"/>
    <w:rsid w:val="007125DE"/>
    <w:rsid w:val="00714217"/>
    <w:rsid w:val="00714D1F"/>
    <w:rsid w:val="00717480"/>
    <w:rsid w:val="00717BC1"/>
    <w:rsid w:val="00720C77"/>
    <w:rsid w:val="007237C6"/>
    <w:rsid w:val="00724E0C"/>
    <w:rsid w:val="007254BE"/>
    <w:rsid w:val="007262CD"/>
    <w:rsid w:val="00726A3B"/>
    <w:rsid w:val="00727A95"/>
    <w:rsid w:val="0073160F"/>
    <w:rsid w:val="00731649"/>
    <w:rsid w:val="007358C3"/>
    <w:rsid w:val="007366C3"/>
    <w:rsid w:val="00737638"/>
    <w:rsid w:val="00741290"/>
    <w:rsid w:val="0074131E"/>
    <w:rsid w:val="00743C7D"/>
    <w:rsid w:val="00750218"/>
    <w:rsid w:val="00750639"/>
    <w:rsid w:val="00750DCE"/>
    <w:rsid w:val="007512CB"/>
    <w:rsid w:val="00752211"/>
    <w:rsid w:val="0075258C"/>
    <w:rsid w:val="007532F7"/>
    <w:rsid w:val="00753E10"/>
    <w:rsid w:val="007559B8"/>
    <w:rsid w:val="00757B36"/>
    <w:rsid w:val="00764221"/>
    <w:rsid w:val="00772A4D"/>
    <w:rsid w:val="00772C89"/>
    <w:rsid w:val="00773243"/>
    <w:rsid w:val="00773522"/>
    <w:rsid w:val="0077375C"/>
    <w:rsid w:val="007747DD"/>
    <w:rsid w:val="0077535C"/>
    <w:rsid w:val="00775CBA"/>
    <w:rsid w:val="007777C5"/>
    <w:rsid w:val="007813A0"/>
    <w:rsid w:val="00781878"/>
    <w:rsid w:val="0078231E"/>
    <w:rsid w:val="007824FA"/>
    <w:rsid w:val="00785B69"/>
    <w:rsid w:val="007907B2"/>
    <w:rsid w:val="00791C68"/>
    <w:rsid w:val="00791D5D"/>
    <w:rsid w:val="00792BA7"/>
    <w:rsid w:val="007944E6"/>
    <w:rsid w:val="0079576F"/>
    <w:rsid w:val="007A0D79"/>
    <w:rsid w:val="007A235A"/>
    <w:rsid w:val="007A55BC"/>
    <w:rsid w:val="007B17F7"/>
    <w:rsid w:val="007B3875"/>
    <w:rsid w:val="007B4028"/>
    <w:rsid w:val="007B5598"/>
    <w:rsid w:val="007B5735"/>
    <w:rsid w:val="007B6C7A"/>
    <w:rsid w:val="007B7367"/>
    <w:rsid w:val="007B7BFD"/>
    <w:rsid w:val="007C2682"/>
    <w:rsid w:val="007C2DC3"/>
    <w:rsid w:val="007C3FE5"/>
    <w:rsid w:val="007C5E97"/>
    <w:rsid w:val="007C6B86"/>
    <w:rsid w:val="007C7421"/>
    <w:rsid w:val="007C77B8"/>
    <w:rsid w:val="007D1613"/>
    <w:rsid w:val="007D1BB1"/>
    <w:rsid w:val="007D1F73"/>
    <w:rsid w:val="007D356F"/>
    <w:rsid w:val="007D448B"/>
    <w:rsid w:val="007D71BA"/>
    <w:rsid w:val="007E01DE"/>
    <w:rsid w:val="007E1EAC"/>
    <w:rsid w:val="007E2F87"/>
    <w:rsid w:val="007E5153"/>
    <w:rsid w:val="007F0269"/>
    <w:rsid w:val="007F43F2"/>
    <w:rsid w:val="008007B5"/>
    <w:rsid w:val="008013E5"/>
    <w:rsid w:val="00801C63"/>
    <w:rsid w:val="00802ACB"/>
    <w:rsid w:val="00803B0C"/>
    <w:rsid w:val="00810B9D"/>
    <w:rsid w:val="008112A1"/>
    <w:rsid w:val="00811567"/>
    <w:rsid w:val="00811BC9"/>
    <w:rsid w:val="00812A63"/>
    <w:rsid w:val="00815815"/>
    <w:rsid w:val="00816773"/>
    <w:rsid w:val="00816D4B"/>
    <w:rsid w:val="00816FE3"/>
    <w:rsid w:val="0081741B"/>
    <w:rsid w:val="008175CF"/>
    <w:rsid w:val="00817728"/>
    <w:rsid w:val="00822146"/>
    <w:rsid w:val="008235F3"/>
    <w:rsid w:val="00824C3F"/>
    <w:rsid w:val="0082715C"/>
    <w:rsid w:val="0083128E"/>
    <w:rsid w:val="00831A7B"/>
    <w:rsid w:val="00831D20"/>
    <w:rsid w:val="008320E1"/>
    <w:rsid w:val="0083435D"/>
    <w:rsid w:val="00836792"/>
    <w:rsid w:val="008410E6"/>
    <w:rsid w:val="00841405"/>
    <w:rsid w:val="00843C30"/>
    <w:rsid w:val="0084491B"/>
    <w:rsid w:val="008459F3"/>
    <w:rsid w:val="00847D83"/>
    <w:rsid w:val="008505DD"/>
    <w:rsid w:val="00851A2C"/>
    <w:rsid w:val="008539C8"/>
    <w:rsid w:val="008561CA"/>
    <w:rsid w:val="0085793B"/>
    <w:rsid w:val="00862DC7"/>
    <w:rsid w:val="00864066"/>
    <w:rsid w:val="008644CD"/>
    <w:rsid w:val="00864ED5"/>
    <w:rsid w:val="008739AB"/>
    <w:rsid w:val="00875809"/>
    <w:rsid w:val="0087597B"/>
    <w:rsid w:val="008766D9"/>
    <w:rsid w:val="00877B71"/>
    <w:rsid w:val="00877C62"/>
    <w:rsid w:val="00880A91"/>
    <w:rsid w:val="00880D22"/>
    <w:rsid w:val="0088151A"/>
    <w:rsid w:val="00881A16"/>
    <w:rsid w:val="00883886"/>
    <w:rsid w:val="00887DF0"/>
    <w:rsid w:val="00887FD2"/>
    <w:rsid w:val="008901C1"/>
    <w:rsid w:val="00890CD5"/>
    <w:rsid w:val="00891A89"/>
    <w:rsid w:val="00892AEA"/>
    <w:rsid w:val="00893231"/>
    <w:rsid w:val="00893809"/>
    <w:rsid w:val="008957CE"/>
    <w:rsid w:val="00897DFE"/>
    <w:rsid w:val="008A0CAD"/>
    <w:rsid w:val="008A1066"/>
    <w:rsid w:val="008A132C"/>
    <w:rsid w:val="008A1C83"/>
    <w:rsid w:val="008A1DF3"/>
    <w:rsid w:val="008A2EFE"/>
    <w:rsid w:val="008A3F02"/>
    <w:rsid w:val="008A7A46"/>
    <w:rsid w:val="008B04D1"/>
    <w:rsid w:val="008B457A"/>
    <w:rsid w:val="008B46D0"/>
    <w:rsid w:val="008B4838"/>
    <w:rsid w:val="008B5792"/>
    <w:rsid w:val="008B63E3"/>
    <w:rsid w:val="008C0323"/>
    <w:rsid w:val="008C1DE9"/>
    <w:rsid w:val="008C2423"/>
    <w:rsid w:val="008C3D39"/>
    <w:rsid w:val="008C463E"/>
    <w:rsid w:val="008D0BBB"/>
    <w:rsid w:val="008D0FA4"/>
    <w:rsid w:val="008D31B4"/>
    <w:rsid w:val="008D3A7B"/>
    <w:rsid w:val="008D5055"/>
    <w:rsid w:val="008D747C"/>
    <w:rsid w:val="008E014A"/>
    <w:rsid w:val="008E65BA"/>
    <w:rsid w:val="008F12E1"/>
    <w:rsid w:val="008F400A"/>
    <w:rsid w:val="008F504B"/>
    <w:rsid w:val="008F67B0"/>
    <w:rsid w:val="008F7001"/>
    <w:rsid w:val="00900C55"/>
    <w:rsid w:val="00900F08"/>
    <w:rsid w:val="00901D96"/>
    <w:rsid w:val="0090276B"/>
    <w:rsid w:val="00904E0E"/>
    <w:rsid w:val="00905A80"/>
    <w:rsid w:val="00910304"/>
    <w:rsid w:val="0091218C"/>
    <w:rsid w:val="00915723"/>
    <w:rsid w:val="00917861"/>
    <w:rsid w:val="009179C2"/>
    <w:rsid w:val="0092078F"/>
    <w:rsid w:val="00921E1B"/>
    <w:rsid w:val="00923647"/>
    <w:rsid w:val="009240E4"/>
    <w:rsid w:val="00924C85"/>
    <w:rsid w:val="009265BF"/>
    <w:rsid w:val="0093017C"/>
    <w:rsid w:val="00930D22"/>
    <w:rsid w:val="00930E07"/>
    <w:rsid w:val="0094105C"/>
    <w:rsid w:val="00941BAB"/>
    <w:rsid w:val="00941FC0"/>
    <w:rsid w:val="00942D50"/>
    <w:rsid w:val="009448CC"/>
    <w:rsid w:val="00946E3F"/>
    <w:rsid w:val="00950A58"/>
    <w:rsid w:val="0095127C"/>
    <w:rsid w:val="0095372A"/>
    <w:rsid w:val="00954625"/>
    <w:rsid w:val="00954CD0"/>
    <w:rsid w:val="00955606"/>
    <w:rsid w:val="00956186"/>
    <w:rsid w:val="00960E54"/>
    <w:rsid w:val="00963BB1"/>
    <w:rsid w:val="00965D78"/>
    <w:rsid w:val="0096650E"/>
    <w:rsid w:val="00971A72"/>
    <w:rsid w:val="00971CF0"/>
    <w:rsid w:val="00972295"/>
    <w:rsid w:val="00975469"/>
    <w:rsid w:val="0097731D"/>
    <w:rsid w:val="009779A4"/>
    <w:rsid w:val="00981C73"/>
    <w:rsid w:val="0098240F"/>
    <w:rsid w:val="00983BD0"/>
    <w:rsid w:val="009862EB"/>
    <w:rsid w:val="00986E19"/>
    <w:rsid w:val="00986E1D"/>
    <w:rsid w:val="0098792B"/>
    <w:rsid w:val="009909A6"/>
    <w:rsid w:val="0099184E"/>
    <w:rsid w:val="00992DC2"/>
    <w:rsid w:val="009938F3"/>
    <w:rsid w:val="00997A6E"/>
    <w:rsid w:val="009A4972"/>
    <w:rsid w:val="009A63A8"/>
    <w:rsid w:val="009A6F8D"/>
    <w:rsid w:val="009B16EF"/>
    <w:rsid w:val="009B186B"/>
    <w:rsid w:val="009B1B59"/>
    <w:rsid w:val="009B2581"/>
    <w:rsid w:val="009B3093"/>
    <w:rsid w:val="009B43FE"/>
    <w:rsid w:val="009B46BD"/>
    <w:rsid w:val="009B4CC1"/>
    <w:rsid w:val="009B519A"/>
    <w:rsid w:val="009B51B0"/>
    <w:rsid w:val="009B5269"/>
    <w:rsid w:val="009B6B23"/>
    <w:rsid w:val="009B7A53"/>
    <w:rsid w:val="009C12D2"/>
    <w:rsid w:val="009C143D"/>
    <w:rsid w:val="009C1F30"/>
    <w:rsid w:val="009C3DE3"/>
    <w:rsid w:val="009C41D7"/>
    <w:rsid w:val="009C4EFB"/>
    <w:rsid w:val="009C5319"/>
    <w:rsid w:val="009C5CC5"/>
    <w:rsid w:val="009C7D8B"/>
    <w:rsid w:val="009C7E57"/>
    <w:rsid w:val="009D1F9F"/>
    <w:rsid w:val="009D3433"/>
    <w:rsid w:val="009D4414"/>
    <w:rsid w:val="009D582C"/>
    <w:rsid w:val="009D7C33"/>
    <w:rsid w:val="009E0DA6"/>
    <w:rsid w:val="009E1F41"/>
    <w:rsid w:val="009E28CB"/>
    <w:rsid w:val="009E4EE5"/>
    <w:rsid w:val="009E66CD"/>
    <w:rsid w:val="009F07EB"/>
    <w:rsid w:val="009F15C4"/>
    <w:rsid w:val="009F3AA9"/>
    <w:rsid w:val="009F3E6B"/>
    <w:rsid w:val="009F5475"/>
    <w:rsid w:val="009F5DB5"/>
    <w:rsid w:val="00A00661"/>
    <w:rsid w:val="00A006B7"/>
    <w:rsid w:val="00A01A53"/>
    <w:rsid w:val="00A028A9"/>
    <w:rsid w:val="00A052F0"/>
    <w:rsid w:val="00A06ED1"/>
    <w:rsid w:val="00A0700B"/>
    <w:rsid w:val="00A10675"/>
    <w:rsid w:val="00A10899"/>
    <w:rsid w:val="00A10D14"/>
    <w:rsid w:val="00A11DE6"/>
    <w:rsid w:val="00A1420B"/>
    <w:rsid w:val="00A14D6B"/>
    <w:rsid w:val="00A15844"/>
    <w:rsid w:val="00A15A4B"/>
    <w:rsid w:val="00A17257"/>
    <w:rsid w:val="00A202CA"/>
    <w:rsid w:val="00A20771"/>
    <w:rsid w:val="00A207F0"/>
    <w:rsid w:val="00A21B51"/>
    <w:rsid w:val="00A2277D"/>
    <w:rsid w:val="00A228A2"/>
    <w:rsid w:val="00A25F63"/>
    <w:rsid w:val="00A26142"/>
    <w:rsid w:val="00A2668F"/>
    <w:rsid w:val="00A26CCA"/>
    <w:rsid w:val="00A30B60"/>
    <w:rsid w:val="00A31A55"/>
    <w:rsid w:val="00A33B97"/>
    <w:rsid w:val="00A3557A"/>
    <w:rsid w:val="00A360EF"/>
    <w:rsid w:val="00A406ED"/>
    <w:rsid w:val="00A4077D"/>
    <w:rsid w:val="00A40837"/>
    <w:rsid w:val="00A40D65"/>
    <w:rsid w:val="00A41604"/>
    <w:rsid w:val="00A5081D"/>
    <w:rsid w:val="00A50BE2"/>
    <w:rsid w:val="00A5108A"/>
    <w:rsid w:val="00A561E4"/>
    <w:rsid w:val="00A57305"/>
    <w:rsid w:val="00A5745B"/>
    <w:rsid w:val="00A60326"/>
    <w:rsid w:val="00A610F5"/>
    <w:rsid w:val="00A6151A"/>
    <w:rsid w:val="00A62F01"/>
    <w:rsid w:val="00A645AE"/>
    <w:rsid w:val="00A646D9"/>
    <w:rsid w:val="00A67E5D"/>
    <w:rsid w:val="00A70737"/>
    <w:rsid w:val="00A7128B"/>
    <w:rsid w:val="00A71400"/>
    <w:rsid w:val="00A715C6"/>
    <w:rsid w:val="00A71B18"/>
    <w:rsid w:val="00A72979"/>
    <w:rsid w:val="00A73116"/>
    <w:rsid w:val="00A74C94"/>
    <w:rsid w:val="00A762B6"/>
    <w:rsid w:val="00A76AF7"/>
    <w:rsid w:val="00A80A74"/>
    <w:rsid w:val="00A81370"/>
    <w:rsid w:val="00A82ABE"/>
    <w:rsid w:val="00A82D81"/>
    <w:rsid w:val="00A844AC"/>
    <w:rsid w:val="00A84F90"/>
    <w:rsid w:val="00A851C5"/>
    <w:rsid w:val="00A9167A"/>
    <w:rsid w:val="00A92047"/>
    <w:rsid w:val="00A940D1"/>
    <w:rsid w:val="00A9489A"/>
    <w:rsid w:val="00A970F9"/>
    <w:rsid w:val="00AA0336"/>
    <w:rsid w:val="00AA16EA"/>
    <w:rsid w:val="00AA204E"/>
    <w:rsid w:val="00AA3646"/>
    <w:rsid w:val="00AA5B06"/>
    <w:rsid w:val="00AA6AD9"/>
    <w:rsid w:val="00AB04D9"/>
    <w:rsid w:val="00AB060C"/>
    <w:rsid w:val="00AB0BCE"/>
    <w:rsid w:val="00AB2B1D"/>
    <w:rsid w:val="00AB4A87"/>
    <w:rsid w:val="00AB4DA6"/>
    <w:rsid w:val="00AB5C98"/>
    <w:rsid w:val="00AB612B"/>
    <w:rsid w:val="00AC18D5"/>
    <w:rsid w:val="00AC1D02"/>
    <w:rsid w:val="00AC1D76"/>
    <w:rsid w:val="00AC257C"/>
    <w:rsid w:val="00AC521F"/>
    <w:rsid w:val="00AC56E8"/>
    <w:rsid w:val="00AC6157"/>
    <w:rsid w:val="00AC6169"/>
    <w:rsid w:val="00AC6525"/>
    <w:rsid w:val="00AC6CBE"/>
    <w:rsid w:val="00AC705C"/>
    <w:rsid w:val="00AD05F7"/>
    <w:rsid w:val="00AD08B7"/>
    <w:rsid w:val="00AD2647"/>
    <w:rsid w:val="00AD2A5F"/>
    <w:rsid w:val="00AD439B"/>
    <w:rsid w:val="00AD50BF"/>
    <w:rsid w:val="00AD5ED2"/>
    <w:rsid w:val="00AD6396"/>
    <w:rsid w:val="00AD6F9C"/>
    <w:rsid w:val="00AD7E79"/>
    <w:rsid w:val="00AE1904"/>
    <w:rsid w:val="00AE3567"/>
    <w:rsid w:val="00AE3630"/>
    <w:rsid w:val="00AE3B4B"/>
    <w:rsid w:val="00AE3EE1"/>
    <w:rsid w:val="00AE7067"/>
    <w:rsid w:val="00AF09C5"/>
    <w:rsid w:val="00AF0A88"/>
    <w:rsid w:val="00AF6E42"/>
    <w:rsid w:val="00AF7C0B"/>
    <w:rsid w:val="00B003E9"/>
    <w:rsid w:val="00B0076B"/>
    <w:rsid w:val="00B00E95"/>
    <w:rsid w:val="00B04F41"/>
    <w:rsid w:val="00B0517B"/>
    <w:rsid w:val="00B06E09"/>
    <w:rsid w:val="00B06F4B"/>
    <w:rsid w:val="00B118F7"/>
    <w:rsid w:val="00B129CD"/>
    <w:rsid w:val="00B132DB"/>
    <w:rsid w:val="00B1681B"/>
    <w:rsid w:val="00B22740"/>
    <w:rsid w:val="00B22A42"/>
    <w:rsid w:val="00B24E28"/>
    <w:rsid w:val="00B26153"/>
    <w:rsid w:val="00B31867"/>
    <w:rsid w:val="00B32C6F"/>
    <w:rsid w:val="00B337DE"/>
    <w:rsid w:val="00B34F91"/>
    <w:rsid w:val="00B35CED"/>
    <w:rsid w:val="00B42CF6"/>
    <w:rsid w:val="00B44109"/>
    <w:rsid w:val="00B47D79"/>
    <w:rsid w:val="00B50585"/>
    <w:rsid w:val="00B50C56"/>
    <w:rsid w:val="00B50C7D"/>
    <w:rsid w:val="00B51FD9"/>
    <w:rsid w:val="00B52D53"/>
    <w:rsid w:val="00B54583"/>
    <w:rsid w:val="00B552BB"/>
    <w:rsid w:val="00B572EF"/>
    <w:rsid w:val="00B5792F"/>
    <w:rsid w:val="00B61044"/>
    <w:rsid w:val="00B6274B"/>
    <w:rsid w:val="00B630D0"/>
    <w:rsid w:val="00B711E3"/>
    <w:rsid w:val="00B73F53"/>
    <w:rsid w:val="00B745F3"/>
    <w:rsid w:val="00B750C3"/>
    <w:rsid w:val="00B82F48"/>
    <w:rsid w:val="00B84046"/>
    <w:rsid w:val="00B8452B"/>
    <w:rsid w:val="00B847DC"/>
    <w:rsid w:val="00B85679"/>
    <w:rsid w:val="00B86FDF"/>
    <w:rsid w:val="00B876CF"/>
    <w:rsid w:val="00B87DCC"/>
    <w:rsid w:val="00BA2833"/>
    <w:rsid w:val="00BA2C10"/>
    <w:rsid w:val="00BA3946"/>
    <w:rsid w:val="00BA61BA"/>
    <w:rsid w:val="00BA64E6"/>
    <w:rsid w:val="00BB2D7A"/>
    <w:rsid w:val="00BB476A"/>
    <w:rsid w:val="00BB5BF7"/>
    <w:rsid w:val="00BB5D5F"/>
    <w:rsid w:val="00BB6112"/>
    <w:rsid w:val="00BC012E"/>
    <w:rsid w:val="00BC07A7"/>
    <w:rsid w:val="00BC0C3D"/>
    <w:rsid w:val="00BC0F10"/>
    <w:rsid w:val="00BC1BD6"/>
    <w:rsid w:val="00BC2263"/>
    <w:rsid w:val="00BC290F"/>
    <w:rsid w:val="00BC6907"/>
    <w:rsid w:val="00BD11A1"/>
    <w:rsid w:val="00BD2546"/>
    <w:rsid w:val="00BD25B4"/>
    <w:rsid w:val="00BD36AC"/>
    <w:rsid w:val="00BD63F4"/>
    <w:rsid w:val="00BD7576"/>
    <w:rsid w:val="00BD75E3"/>
    <w:rsid w:val="00BE010B"/>
    <w:rsid w:val="00BE3C58"/>
    <w:rsid w:val="00BE4073"/>
    <w:rsid w:val="00BE45E9"/>
    <w:rsid w:val="00BE73D8"/>
    <w:rsid w:val="00BF02E5"/>
    <w:rsid w:val="00BF1825"/>
    <w:rsid w:val="00BF5382"/>
    <w:rsid w:val="00BF5594"/>
    <w:rsid w:val="00BF60F1"/>
    <w:rsid w:val="00C00736"/>
    <w:rsid w:val="00C025D3"/>
    <w:rsid w:val="00C034DA"/>
    <w:rsid w:val="00C11926"/>
    <w:rsid w:val="00C123EA"/>
    <w:rsid w:val="00C14059"/>
    <w:rsid w:val="00C16C65"/>
    <w:rsid w:val="00C16E05"/>
    <w:rsid w:val="00C20103"/>
    <w:rsid w:val="00C20AC7"/>
    <w:rsid w:val="00C22D93"/>
    <w:rsid w:val="00C235B3"/>
    <w:rsid w:val="00C26FC6"/>
    <w:rsid w:val="00C30EAA"/>
    <w:rsid w:val="00C36D3F"/>
    <w:rsid w:val="00C41964"/>
    <w:rsid w:val="00C42211"/>
    <w:rsid w:val="00C42D1A"/>
    <w:rsid w:val="00C46089"/>
    <w:rsid w:val="00C46C10"/>
    <w:rsid w:val="00C50A7C"/>
    <w:rsid w:val="00C50EEF"/>
    <w:rsid w:val="00C51687"/>
    <w:rsid w:val="00C5186C"/>
    <w:rsid w:val="00C5246D"/>
    <w:rsid w:val="00C52BE9"/>
    <w:rsid w:val="00C53E25"/>
    <w:rsid w:val="00C5748F"/>
    <w:rsid w:val="00C57BBE"/>
    <w:rsid w:val="00C601C6"/>
    <w:rsid w:val="00C60AAE"/>
    <w:rsid w:val="00C61521"/>
    <w:rsid w:val="00C637B2"/>
    <w:rsid w:val="00C6696B"/>
    <w:rsid w:val="00C71374"/>
    <w:rsid w:val="00C742F2"/>
    <w:rsid w:val="00C767E9"/>
    <w:rsid w:val="00C76D3E"/>
    <w:rsid w:val="00C7763A"/>
    <w:rsid w:val="00C8009D"/>
    <w:rsid w:val="00C8054C"/>
    <w:rsid w:val="00C80CEE"/>
    <w:rsid w:val="00C822EB"/>
    <w:rsid w:val="00C83107"/>
    <w:rsid w:val="00C866E1"/>
    <w:rsid w:val="00C87AE4"/>
    <w:rsid w:val="00C87B1A"/>
    <w:rsid w:val="00C904DF"/>
    <w:rsid w:val="00C91586"/>
    <w:rsid w:val="00C92396"/>
    <w:rsid w:val="00C92724"/>
    <w:rsid w:val="00C93A2D"/>
    <w:rsid w:val="00C9536E"/>
    <w:rsid w:val="00C95DA1"/>
    <w:rsid w:val="00C96984"/>
    <w:rsid w:val="00C9732C"/>
    <w:rsid w:val="00CA4EA9"/>
    <w:rsid w:val="00CA7310"/>
    <w:rsid w:val="00CB2E5A"/>
    <w:rsid w:val="00CB407F"/>
    <w:rsid w:val="00CB6F08"/>
    <w:rsid w:val="00CB74A1"/>
    <w:rsid w:val="00CB7A33"/>
    <w:rsid w:val="00CC0C83"/>
    <w:rsid w:val="00CC3D3B"/>
    <w:rsid w:val="00CC6B5E"/>
    <w:rsid w:val="00CD0ADD"/>
    <w:rsid w:val="00CD1E4C"/>
    <w:rsid w:val="00CD1EEA"/>
    <w:rsid w:val="00CD2516"/>
    <w:rsid w:val="00CD2D0B"/>
    <w:rsid w:val="00CD3CD2"/>
    <w:rsid w:val="00CD4256"/>
    <w:rsid w:val="00CD435D"/>
    <w:rsid w:val="00CD4B36"/>
    <w:rsid w:val="00CE0316"/>
    <w:rsid w:val="00CE515C"/>
    <w:rsid w:val="00CE5A58"/>
    <w:rsid w:val="00CF1015"/>
    <w:rsid w:val="00CF3574"/>
    <w:rsid w:val="00CF42BC"/>
    <w:rsid w:val="00D0466F"/>
    <w:rsid w:val="00D05268"/>
    <w:rsid w:val="00D056CD"/>
    <w:rsid w:val="00D05A77"/>
    <w:rsid w:val="00D11917"/>
    <w:rsid w:val="00D140B7"/>
    <w:rsid w:val="00D15E27"/>
    <w:rsid w:val="00D16E9E"/>
    <w:rsid w:val="00D17152"/>
    <w:rsid w:val="00D21CC6"/>
    <w:rsid w:val="00D22E73"/>
    <w:rsid w:val="00D2427F"/>
    <w:rsid w:val="00D24814"/>
    <w:rsid w:val="00D2649F"/>
    <w:rsid w:val="00D309F2"/>
    <w:rsid w:val="00D31CCE"/>
    <w:rsid w:val="00D31E6F"/>
    <w:rsid w:val="00D32E03"/>
    <w:rsid w:val="00D349B4"/>
    <w:rsid w:val="00D34D02"/>
    <w:rsid w:val="00D34D20"/>
    <w:rsid w:val="00D35A25"/>
    <w:rsid w:val="00D37DFE"/>
    <w:rsid w:val="00D405E0"/>
    <w:rsid w:val="00D426F9"/>
    <w:rsid w:val="00D427B9"/>
    <w:rsid w:val="00D4394E"/>
    <w:rsid w:val="00D46D8A"/>
    <w:rsid w:val="00D503D5"/>
    <w:rsid w:val="00D50CC2"/>
    <w:rsid w:val="00D54BD8"/>
    <w:rsid w:val="00D55B71"/>
    <w:rsid w:val="00D567B7"/>
    <w:rsid w:val="00D56EA1"/>
    <w:rsid w:val="00D615B9"/>
    <w:rsid w:val="00D6179C"/>
    <w:rsid w:val="00D62610"/>
    <w:rsid w:val="00D659DC"/>
    <w:rsid w:val="00D65EF7"/>
    <w:rsid w:val="00D66385"/>
    <w:rsid w:val="00D66AEE"/>
    <w:rsid w:val="00D70435"/>
    <w:rsid w:val="00D74264"/>
    <w:rsid w:val="00D742D1"/>
    <w:rsid w:val="00D7473F"/>
    <w:rsid w:val="00D766F1"/>
    <w:rsid w:val="00D83492"/>
    <w:rsid w:val="00D927D3"/>
    <w:rsid w:val="00D93D21"/>
    <w:rsid w:val="00D94E52"/>
    <w:rsid w:val="00D958A7"/>
    <w:rsid w:val="00D96A39"/>
    <w:rsid w:val="00D97808"/>
    <w:rsid w:val="00D97F8B"/>
    <w:rsid w:val="00DA04DB"/>
    <w:rsid w:val="00DA0D88"/>
    <w:rsid w:val="00DA129C"/>
    <w:rsid w:val="00DA4BD9"/>
    <w:rsid w:val="00DA4BDC"/>
    <w:rsid w:val="00DA5177"/>
    <w:rsid w:val="00DB36E0"/>
    <w:rsid w:val="00DB3D73"/>
    <w:rsid w:val="00DB6072"/>
    <w:rsid w:val="00DC1F3D"/>
    <w:rsid w:val="00DC20A6"/>
    <w:rsid w:val="00DC228D"/>
    <w:rsid w:val="00DC2378"/>
    <w:rsid w:val="00DC41D2"/>
    <w:rsid w:val="00DC5242"/>
    <w:rsid w:val="00DD0CDD"/>
    <w:rsid w:val="00DD3136"/>
    <w:rsid w:val="00DD4A27"/>
    <w:rsid w:val="00DD68D9"/>
    <w:rsid w:val="00DD704C"/>
    <w:rsid w:val="00DD7CA4"/>
    <w:rsid w:val="00DE16D2"/>
    <w:rsid w:val="00DE384E"/>
    <w:rsid w:val="00DE6AE5"/>
    <w:rsid w:val="00DE6B78"/>
    <w:rsid w:val="00DE726E"/>
    <w:rsid w:val="00DF02B8"/>
    <w:rsid w:val="00DF07C0"/>
    <w:rsid w:val="00DF195D"/>
    <w:rsid w:val="00DF1EB7"/>
    <w:rsid w:val="00DF266C"/>
    <w:rsid w:val="00DF2D1C"/>
    <w:rsid w:val="00DF3587"/>
    <w:rsid w:val="00DF632E"/>
    <w:rsid w:val="00DF6592"/>
    <w:rsid w:val="00E00FFD"/>
    <w:rsid w:val="00E03F5C"/>
    <w:rsid w:val="00E050CE"/>
    <w:rsid w:val="00E06D8B"/>
    <w:rsid w:val="00E118C9"/>
    <w:rsid w:val="00E11999"/>
    <w:rsid w:val="00E13714"/>
    <w:rsid w:val="00E14C9D"/>
    <w:rsid w:val="00E16257"/>
    <w:rsid w:val="00E20850"/>
    <w:rsid w:val="00E2203B"/>
    <w:rsid w:val="00E253AE"/>
    <w:rsid w:val="00E27178"/>
    <w:rsid w:val="00E31D2B"/>
    <w:rsid w:val="00E37513"/>
    <w:rsid w:val="00E40B65"/>
    <w:rsid w:val="00E4406D"/>
    <w:rsid w:val="00E45DF8"/>
    <w:rsid w:val="00E46801"/>
    <w:rsid w:val="00E5057A"/>
    <w:rsid w:val="00E50FAB"/>
    <w:rsid w:val="00E510D2"/>
    <w:rsid w:val="00E51F5D"/>
    <w:rsid w:val="00E57490"/>
    <w:rsid w:val="00E60B70"/>
    <w:rsid w:val="00E628DD"/>
    <w:rsid w:val="00E637E3"/>
    <w:rsid w:val="00E63F26"/>
    <w:rsid w:val="00E678EE"/>
    <w:rsid w:val="00E70076"/>
    <w:rsid w:val="00E70AB9"/>
    <w:rsid w:val="00E731FB"/>
    <w:rsid w:val="00E7612B"/>
    <w:rsid w:val="00E81A77"/>
    <w:rsid w:val="00E833E1"/>
    <w:rsid w:val="00E84FDF"/>
    <w:rsid w:val="00E8732F"/>
    <w:rsid w:val="00E875B4"/>
    <w:rsid w:val="00E87849"/>
    <w:rsid w:val="00E90365"/>
    <w:rsid w:val="00E95A64"/>
    <w:rsid w:val="00E95E84"/>
    <w:rsid w:val="00E9621B"/>
    <w:rsid w:val="00E9628A"/>
    <w:rsid w:val="00E9633D"/>
    <w:rsid w:val="00E97779"/>
    <w:rsid w:val="00E97EBE"/>
    <w:rsid w:val="00E97FEB"/>
    <w:rsid w:val="00EA069E"/>
    <w:rsid w:val="00EA1798"/>
    <w:rsid w:val="00EA4731"/>
    <w:rsid w:val="00EA4BE4"/>
    <w:rsid w:val="00EA68D4"/>
    <w:rsid w:val="00EB2574"/>
    <w:rsid w:val="00EB26FD"/>
    <w:rsid w:val="00EB4A14"/>
    <w:rsid w:val="00EB50A5"/>
    <w:rsid w:val="00EB541D"/>
    <w:rsid w:val="00EB5A55"/>
    <w:rsid w:val="00EB6EE7"/>
    <w:rsid w:val="00EB72CE"/>
    <w:rsid w:val="00EC0607"/>
    <w:rsid w:val="00EC72A2"/>
    <w:rsid w:val="00EC79D9"/>
    <w:rsid w:val="00ED24CA"/>
    <w:rsid w:val="00ED28BD"/>
    <w:rsid w:val="00ED2BD2"/>
    <w:rsid w:val="00ED377C"/>
    <w:rsid w:val="00ED4E0D"/>
    <w:rsid w:val="00ED6BDA"/>
    <w:rsid w:val="00ED730A"/>
    <w:rsid w:val="00EE050D"/>
    <w:rsid w:val="00EE0C4D"/>
    <w:rsid w:val="00EE195A"/>
    <w:rsid w:val="00EE26AD"/>
    <w:rsid w:val="00EE5229"/>
    <w:rsid w:val="00EE53CC"/>
    <w:rsid w:val="00EE6081"/>
    <w:rsid w:val="00EE647B"/>
    <w:rsid w:val="00EE7B8F"/>
    <w:rsid w:val="00EF0006"/>
    <w:rsid w:val="00EF12D2"/>
    <w:rsid w:val="00EF17D9"/>
    <w:rsid w:val="00EF3DEF"/>
    <w:rsid w:val="00EF5AF2"/>
    <w:rsid w:val="00EF5F73"/>
    <w:rsid w:val="00EF68D2"/>
    <w:rsid w:val="00F0005A"/>
    <w:rsid w:val="00F04E29"/>
    <w:rsid w:val="00F05882"/>
    <w:rsid w:val="00F058DD"/>
    <w:rsid w:val="00F0710B"/>
    <w:rsid w:val="00F12109"/>
    <w:rsid w:val="00F16603"/>
    <w:rsid w:val="00F20932"/>
    <w:rsid w:val="00F21A2F"/>
    <w:rsid w:val="00F2283B"/>
    <w:rsid w:val="00F241A9"/>
    <w:rsid w:val="00F246BF"/>
    <w:rsid w:val="00F2508A"/>
    <w:rsid w:val="00F26470"/>
    <w:rsid w:val="00F275D1"/>
    <w:rsid w:val="00F27EBF"/>
    <w:rsid w:val="00F3041B"/>
    <w:rsid w:val="00F314D3"/>
    <w:rsid w:val="00F334A3"/>
    <w:rsid w:val="00F33AEF"/>
    <w:rsid w:val="00F354AE"/>
    <w:rsid w:val="00F3597D"/>
    <w:rsid w:val="00F36435"/>
    <w:rsid w:val="00F407C9"/>
    <w:rsid w:val="00F40C97"/>
    <w:rsid w:val="00F41304"/>
    <w:rsid w:val="00F42A44"/>
    <w:rsid w:val="00F42D18"/>
    <w:rsid w:val="00F45F6C"/>
    <w:rsid w:val="00F46046"/>
    <w:rsid w:val="00F46480"/>
    <w:rsid w:val="00F467CB"/>
    <w:rsid w:val="00F475D3"/>
    <w:rsid w:val="00F5298D"/>
    <w:rsid w:val="00F53699"/>
    <w:rsid w:val="00F56A68"/>
    <w:rsid w:val="00F579CC"/>
    <w:rsid w:val="00F60A37"/>
    <w:rsid w:val="00F60F8E"/>
    <w:rsid w:val="00F61D44"/>
    <w:rsid w:val="00F62FEF"/>
    <w:rsid w:val="00F63CB5"/>
    <w:rsid w:val="00F63D00"/>
    <w:rsid w:val="00F64625"/>
    <w:rsid w:val="00F650E6"/>
    <w:rsid w:val="00F654A6"/>
    <w:rsid w:val="00F728D2"/>
    <w:rsid w:val="00F72E8D"/>
    <w:rsid w:val="00F75A4C"/>
    <w:rsid w:val="00F77DDC"/>
    <w:rsid w:val="00F8137E"/>
    <w:rsid w:val="00F816D5"/>
    <w:rsid w:val="00F90D37"/>
    <w:rsid w:val="00FA1E58"/>
    <w:rsid w:val="00FA3500"/>
    <w:rsid w:val="00FA3D04"/>
    <w:rsid w:val="00FA497F"/>
    <w:rsid w:val="00FA593D"/>
    <w:rsid w:val="00FA69FD"/>
    <w:rsid w:val="00FB0E0C"/>
    <w:rsid w:val="00FB188A"/>
    <w:rsid w:val="00FB1F84"/>
    <w:rsid w:val="00FB376C"/>
    <w:rsid w:val="00FB53E2"/>
    <w:rsid w:val="00FB55B8"/>
    <w:rsid w:val="00FB7B62"/>
    <w:rsid w:val="00FC0870"/>
    <w:rsid w:val="00FC2779"/>
    <w:rsid w:val="00FC3533"/>
    <w:rsid w:val="00FC4B4C"/>
    <w:rsid w:val="00FD199A"/>
    <w:rsid w:val="00FD340F"/>
    <w:rsid w:val="00FD5CCA"/>
    <w:rsid w:val="00FD7465"/>
    <w:rsid w:val="00FE28DD"/>
    <w:rsid w:val="00FE290A"/>
    <w:rsid w:val="00FE2AAA"/>
    <w:rsid w:val="00FE30C8"/>
    <w:rsid w:val="00FE4953"/>
    <w:rsid w:val="00FE5085"/>
    <w:rsid w:val="00FE5A00"/>
    <w:rsid w:val="00FE5AA5"/>
    <w:rsid w:val="00FF1268"/>
    <w:rsid w:val="00FF1830"/>
    <w:rsid w:val="00FF1839"/>
    <w:rsid w:val="00FF24CE"/>
    <w:rsid w:val="00FF532D"/>
    <w:rsid w:val="00FF5477"/>
    <w:rsid w:val="1A38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s-CO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otnote reference"/>
    <w:basedOn w:val="5"/>
    <w:unhideWhenUsed/>
    <w:qFormat/>
    <w:uiPriority w:val="99"/>
    <w:rPr>
      <w:vertAlign w:val="superscript"/>
    </w:rPr>
  </w:style>
  <w:style w:type="character" w:styleId="8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footnote text"/>
    <w:basedOn w:val="1"/>
    <w:link w:val="19"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1">
    <w:name w:val="header"/>
    <w:basedOn w:val="1"/>
    <w:link w:val="14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12">
    <w:name w:val="footer"/>
    <w:basedOn w:val="1"/>
    <w:link w:val="15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table" w:styleId="13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Encabezado Car"/>
    <w:basedOn w:val="5"/>
    <w:link w:val="11"/>
    <w:qFormat/>
    <w:uiPriority w:val="99"/>
  </w:style>
  <w:style w:type="character" w:customStyle="1" w:styleId="15">
    <w:name w:val="Pie de página Car"/>
    <w:basedOn w:val="5"/>
    <w:link w:val="12"/>
    <w:qFormat/>
    <w:uiPriority w:val="99"/>
  </w:style>
  <w:style w:type="character" w:customStyle="1" w:styleId="16">
    <w:name w:val="Mención sin resolver1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Texto nota pie Car"/>
    <w:basedOn w:val="5"/>
    <w:link w:val="9"/>
    <w:qFormat/>
    <w:uiPriority w:val="99"/>
    <w:rPr>
      <w:sz w:val="20"/>
      <w:szCs w:val="20"/>
    </w:rPr>
  </w:style>
  <w:style w:type="character" w:customStyle="1" w:styleId="20">
    <w:name w:val="Título 1 Car"/>
    <w:basedOn w:val="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Título 2 Car"/>
    <w:basedOn w:val="5"/>
    <w:link w:val="3"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customStyle="1" w:styleId="22">
    <w:name w:val="Título 3 Car"/>
    <w:basedOn w:val="5"/>
    <w:link w:val="4"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table" w:customStyle="1" w:styleId="23">
    <w:name w:val="Grid Table 4 Accent 1"/>
    <w:basedOn w:val="6"/>
    <w:uiPriority w:val="49"/>
    <w:pPr>
      <w:spacing w:after="0" w:line="240" w:lineRule="auto"/>
    </w:pPr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40805E-D97D-4889-A234-5BEDFC5EF2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1405</Words>
  <Characters>7732</Characters>
  <Lines>64</Lines>
  <Paragraphs>18</Paragraphs>
  <TotalTime>2014</TotalTime>
  <ScaleCrop>false</ScaleCrop>
  <LinksUpToDate>false</LinksUpToDate>
  <CharactersWithSpaces>9119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2024-11-19T21:30:00Z</dcterms:created>
  <dc:creator>William Camilo  Baracaldo Godoy</dc:creator>
  <cp:lastModifiedBy>ANA MARIA OSPINO BARRIENTOS</cp:lastModifiedBy>
  <cp:lastPrinted>2026-06-05T16:32:00Z</cp:lastPrinted>
  <dcterms:modified xsi:type="dcterms:W3CDTF">2026-08-03T22:04:18Z</dcterms:modified>
  <cp:revision>1420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3082-12.1.0.28032</vt:lpwstr>
  </property>
  <property fmtid="{D5CDD505-2E9C-101B-9397-08002B2CF9AE}" pid="3" name="ICV">
    <vt:lpwstr>4045938E631E4457A2AD1223683557F6_13</vt:lpwstr>
  </property>
</Properties>
</file>