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body>
    <w:p w14:paraId="3DE084C8" w14:textId="77777777" w:rsidR="005D4011" w:rsidRDefault="005D4011" w:rsidP="00671940">
      <w:pPr>
        <w:pStyle w:val="Textoindependiente"/>
        <w:widowControl w:val="0"/>
        <w:tabs>
          <w:tab w:val="left" w:pos="7797"/>
        </w:tabs>
        <w:spacing w:line="276" w:lineRule="auto"/>
        <w:jc w:val="center"/>
        <w:rPr>
          <w:rFonts w:ascii="Verdana" w:hAnsi="Verdana" w:cstheme="minorHAnsi"/>
          <w:b/>
          <w:szCs w:val="22"/>
        </w:rPr>
      </w:pPr>
    </w:p>
    <w:p w14:paraId="0B03F19A" w14:textId="3A71E164" w:rsidR="00671940" w:rsidRPr="00671940" w:rsidRDefault="00671940" w:rsidP="00671940">
      <w:pPr>
        <w:pStyle w:val="Textoindependiente"/>
        <w:widowControl w:val="0"/>
        <w:tabs>
          <w:tab w:val="left" w:pos="7797"/>
        </w:tabs>
        <w:spacing w:line="276" w:lineRule="auto"/>
        <w:jc w:val="center"/>
        <w:rPr>
          <w:rFonts w:ascii="Verdana" w:hAnsi="Verdana" w:cstheme="minorHAnsi"/>
          <w:b/>
          <w:szCs w:val="22"/>
        </w:rPr>
      </w:pPr>
      <w:r w:rsidRPr="00671940">
        <w:rPr>
          <w:rFonts w:ascii="Verdana" w:hAnsi="Verdana" w:cstheme="minorHAnsi"/>
          <w:b/>
          <w:szCs w:val="22"/>
        </w:rPr>
        <w:t>DOCUMENTO TÉCNICO DE SOPORTE</w:t>
      </w:r>
    </w:p>
    <w:p w14:paraId="31584A62" w14:textId="77777777" w:rsidR="00671940" w:rsidRPr="00671940" w:rsidRDefault="00671940" w:rsidP="00671940">
      <w:pPr>
        <w:pStyle w:val="Textoindependiente"/>
        <w:widowControl w:val="0"/>
        <w:tabs>
          <w:tab w:val="left" w:pos="7797"/>
        </w:tabs>
        <w:spacing w:line="276" w:lineRule="auto"/>
        <w:jc w:val="center"/>
        <w:rPr>
          <w:rFonts w:ascii="Verdana" w:hAnsi="Verdana" w:cstheme="minorHAnsi"/>
          <w:b/>
          <w:szCs w:val="22"/>
        </w:rPr>
      </w:pPr>
    </w:p>
    <w:p w14:paraId="232A563D" w14:textId="77777777" w:rsidR="00671940" w:rsidRPr="00671940" w:rsidRDefault="00671940" w:rsidP="00671940">
      <w:pPr>
        <w:spacing w:line="276" w:lineRule="auto"/>
        <w:jc w:val="center"/>
        <w:rPr>
          <w:rFonts w:ascii="Verdana" w:hAnsi="Verdana" w:cstheme="minorHAnsi"/>
          <w:b/>
          <w:lang w:val="es-ES"/>
        </w:rPr>
      </w:pPr>
    </w:p>
    <w:p w14:paraId="2A3B2453" w14:textId="77777777" w:rsidR="00671940" w:rsidRPr="00671940" w:rsidRDefault="00671940" w:rsidP="00671940">
      <w:pPr>
        <w:spacing w:line="276" w:lineRule="auto"/>
        <w:jc w:val="center"/>
        <w:rPr>
          <w:rFonts w:ascii="Verdana" w:hAnsi="Verdana" w:cstheme="minorHAnsi"/>
          <w:b/>
          <w:lang w:val="es-ES"/>
        </w:rPr>
      </w:pPr>
    </w:p>
    <w:p w14:paraId="39ED468A" w14:textId="77777777" w:rsidR="00671940" w:rsidRPr="00671940" w:rsidRDefault="00671940" w:rsidP="00671940">
      <w:pPr>
        <w:spacing w:line="276" w:lineRule="auto"/>
        <w:jc w:val="center"/>
        <w:rPr>
          <w:rFonts w:ascii="Verdana" w:hAnsi="Verdana" w:cstheme="minorHAnsi"/>
          <w:b/>
          <w:lang w:val="es-ES"/>
        </w:rPr>
      </w:pPr>
    </w:p>
    <w:p w14:paraId="5EB7F36C" w14:textId="77777777" w:rsidR="00671940" w:rsidRPr="00671940" w:rsidRDefault="00671940" w:rsidP="00671940">
      <w:pPr>
        <w:spacing w:line="276" w:lineRule="auto"/>
        <w:jc w:val="center"/>
        <w:rPr>
          <w:rFonts w:ascii="Verdana" w:hAnsi="Verdana" w:cstheme="minorHAnsi"/>
          <w:b/>
          <w:lang w:val="es-ES"/>
        </w:rPr>
      </w:pPr>
    </w:p>
    <w:p w14:paraId="52026786" w14:textId="77777777" w:rsidR="00671940" w:rsidRPr="00671940" w:rsidRDefault="00671940" w:rsidP="00671940">
      <w:pPr>
        <w:spacing w:line="276" w:lineRule="auto"/>
        <w:jc w:val="center"/>
        <w:rPr>
          <w:rFonts w:ascii="Verdana" w:hAnsi="Verdana" w:cstheme="minorHAnsi"/>
          <w:b/>
          <w:lang w:val="es-ES"/>
        </w:rPr>
      </w:pPr>
    </w:p>
    <w:p w14:paraId="414A7218" w14:textId="77777777" w:rsidR="00671940" w:rsidRPr="00671940" w:rsidRDefault="00671940" w:rsidP="00671940">
      <w:pPr>
        <w:spacing w:line="276" w:lineRule="auto"/>
        <w:jc w:val="center"/>
        <w:rPr>
          <w:rFonts w:ascii="Verdana" w:hAnsi="Verdana" w:cstheme="minorHAnsi"/>
          <w:b/>
          <w:lang w:val="es-ES"/>
        </w:rPr>
      </w:pPr>
    </w:p>
    <w:p w14:paraId="0539EEF9" w14:textId="77777777" w:rsidR="003900C0" w:rsidRPr="003900C0" w:rsidRDefault="00671940" w:rsidP="00BE1213">
      <w:pPr>
        <w:jc w:val="center"/>
        <w:rPr>
          <w:rFonts w:ascii="Verdana" w:hAnsi="Verdana" w:cstheme="minorHAnsi"/>
          <w:b/>
          <w:lang w:val="es-ES"/>
        </w:rPr>
      </w:pPr>
      <w:r w:rsidRPr="00671940">
        <w:rPr>
          <w:rFonts w:ascii="Verdana" w:hAnsi="Verdana" w:cstheme="minorHAnsi"/>
          <w:b/>
          <w:lang w:val="es-ES"/>
        </w:rPr>
        <w:t xml:space="preserve">RESOLUCIÓN </w:t>
      </w:r>
      <w:r w:rsidR="003900C0" w:rsidRPr="003900C0">
        <w:rPr>
          <w:rFonts w:ascii="Verdana" w:hAnsi="Verdana" w:cstheme="minorHAnsi"/>
          <w:b/>
          <w:lang w:val="es-ES"/>
        </w:rPr>
        <w:t xml:space="preserve">“Por la cual se modifica el artículo 2 de la Resolución 1499 del 20 de octubre de 2025, en el sentido de liberar los efectos jurídicos de la protección temporal del polígono 8 ‘Distrito Regional de Manejo Integrado – DRMI Bajo Cauca </w:t>
      </w:r>
      <w:proofErr w:type="spellStart"/>
      <w:r w:rsidR="003900C0" w:rsidRPr="003900C0">
        <w:rPr>
          <w:rFonts w:ascii="Verdana" w:hAnsi="Verdana" w:cstheme="minorHAnsi"/>
          <w:b/>
          <w:lang w:val="es-ES"/>
        </w:rPr>
        <w:t>Nechí</w:t>
      </w:r>
      <w:proofErr w:type="spellEnd"/>
      <w:r w:rsidR="003900C0" w:rsidRPr="003900C0">
        <w:rPr>
          <w:rFonts w:ascii="Verdana" w:hAnsi="Verdana" w:cstheme="minorHAnsi"/>
          <w:b/>
          <w:lang w:val="es-ES"/>
        </w:rPr>
        <w:t>’.”</w:t>
      </w:r>
    </w:p>
    <w:p w14:paraId="6007EA91" w14:textId="1A918BEB" w:rsidR="00671940" w:rsidRPr="00671940" w:rsidRDefault="00671940" w:rsidP="003900C0">
      <w:pPr>
        <w:jc w:val="center"/>
        <w:rPr>
          <w:rFonts w:ascii="Verdana" w:hAnsi="Verdana" w:cstheme="minorHAnsi"/>
          <w:b/>
          <w:lang w:val="es-ES"/>
        </w:rPr>
      </w:pPr>
    </w:p>
    <w:p w14:paraId="2ABEB370" w14:textId="77777777" w:rsidR="00671940" w:rsidRPr="00671940" w:rsidRDefault="00671940" w:rsidP="00671940">
      <w:pPr>
        <w:spacing w:line="276" w:lineRule="auto"/>
        <w:jc w:val="center"/>
        <w:rPr>
          <w:rFonts w:ascii="Verdana" w:hAnsi="Verdana" w:cstheme="minorHAnsi"/>
          <w:b/>
          <w:lang w:val="es-ES"/>
        </w:rPr>
      </w:pPr>
    </w:p>
    <w:p w14:paraId="70F6A5B4" w14:textId="77777777" w:rsidR="00671940" w:rsidRPr="00671940" w:rsidRDefault="00671940" w:rsidP="00671940">
      <w:pPr>
        <w:spacing w:line="276" w:lineRule="auto"/>
        <w:jc w:val="center"/>
        <w:rPr>
          <w:rFonts w:ascii="Verdana" w:hAnsi="Verdana" w:cstheme="minorHAnsi"/>
          <w:b/>
          <w:lang w:val="es-ES"/>
        </w:rPr>
      </w:pPr>
    </w:p>
    <w:p w14:paraId="413FD850" w14:textId="77777777" w:rsidR="00671940" w:rsidRPr="00671940" w:rsidRDefault="00671940" w:rsidP="00671940">
      <w:pPr>
        <w:spacing w:line="276" w:lineRule="auto"/>
        <w:jc w:val="center"/>
        <w:rPr>
          <w:rFonts w:ascii="Verdana" w:hAnsi="Verdana" w:cstheme="minorHAnsi"/>
          <w:b/>
          <w:bCs/>
          <w:lang w:val="es-ES"/>
        </w:rPr>
      </w:pPr>
    </w:p>
    <w:p w14:paraId="495A3A85" w14:textId="77777777" w:rsidR="00671940" w:rsidRPr="00671940" w:rsidRDefault="00671940" w:rsidP="00671940">
      <w:pPr>
        <w:spacing w:line="276" w:lineRule="auto"/>
        <w:jc w:val="center"/>
        <w:rPr>
          <w:rFonts w:ascii="Verdana" w:hAnsi="Verdana" w:cstheme="minorHAnsi"/>
          <w:b/>
          <w:bCs/>
          <w:lang w:val="es-ES"/>
        </w:rPr>
      </w:pPr>
    </w:p>
    <w:p w14:paraId="4648D5EC" w14:textId="77777777" w:rsidR="00671940" w:rsidRPr="00671940" w:rsidRDefault="00671940" w:rsidP="00671940">
      <w:pPr>
        <w:spacing w:line="276" w:lineRule="auto"/>
        <w:rPr>
          <w:rFonts w:ascii="Verdana" w:hAnsi="Verdana" w:cstheme="minorHAnsi"/>
          <w:b/>
          <w:lang w:val="es-ES"/>
        </w:rPr>
      </w:pPr>
    </w:p>
    <w:p w14:paraId="73438E4E" w14:textId="77777777" w:rsidR="00671940" w:rsidRPr="00671940" w:rsidRDefault="00671940" w:rsidP="00671940">
      <w:pPr>
        <w:spacing w:line="276" w:lineRule="auto"/>
        <w:jc w:val="center"/>
        <w:rPr>
          <w:rFonts w:ascii="Verdana" w:hAnsi="Verdana" w:cstheme="minorHAnsi"/>
          <w:b/>
          <w:lang w:val="es-ES"/>
        </w:rPr>
      </w:pPr>
      <w:r w:rsidRPr="00671940">
        <w:rPr>
          <w:rFonts w:ascii="Verdana" w:hAnsi="Verdana" w:cstheme="minorHAnsi"/>
          <w:b/>
          <w:lang w:val="es-ES"/>
        </w:rPr>
        <w:t>DIRECCIÓN DE BOSQUES, BIODIVERSIDAD, Y SERVICIOS ECOSISTÉMICOS</w:t>
      </w:r>
    </w:p>
    <w:p w14:paraId="01B742CC" w14:textId="77777777" w:rsidR="00671940" w:rsidRPr="00671940" w:rsidRDefault="00671940" w:rsidP="00671940">
      <w:pPr>
        <w:spacing w:line="276" w:lineRule="auto"/>
        <w:jc w:val="center"/>
        <w:rPr>
          <w:rFonts w:ascii="Verdana" w:hAnsi="Verdana" w:cstheme="minorHAnsi"/>
          <w:b/>
          <w:bCs/>
          <w:lang w:val="es-ES"/>
        </w:rPr>
      </w:pPr>
      <w:r w:rsidRPr="00671940">
        <w:rPr>
          <w:rFonts w:ascii="Verdana" w:hAnsi="Verdana" w:cstheme="minorHAnsi"/>
          <w:b/>
          <w:bCs/>
          <w:lang w:val="es-ES"/>
        </w:rPr>
        <w:t>MINISTERIO DE AMBIENTE Y DESARROLLO SOSTENIBLE</w:t>
      </w:r>
    </w:p>
    <w:p w14:paraId="6E8A3458" w14:textId="77777777" w:rsidR="00671940" w:rsidRPr="00671940" w:rsidRDefault="00671940" w:rsidP="00671940">
      <w:pPr>
        <w:spacing w:line="276" w:lineRule="auto"/>
        <w:jc w:val="center"/>
        <w:rPr>
          <w:rFonts w:ascii="Verdana" w:hAnsi="Verdana" w:cstheme="minorHAnsi"/>
          <w:b/>
          <w:lang w:val="es-ES"/>
        </w:rPr>
      </w:pPr>
    </w:p>
    <w:p w14:paraId="47070291" w14:textId="77777777" w:rsidR="00671940" w:rsidRPr="00671940" w:rsidRDefault="00671940" w:rsidP="00671940">
      <w:pPr>
        <w:spacing w:line="276" w:lineRule="auto"/>
        <w:jc w:val="center"/>
        <w:rPr>
          <w:rFonts w:ascii="Verdana" w:hAnsi="Verdana" w:cstheme="minorHAnsi"/>
          <w:b/>
          <w:bCs/>
          <w:lang w:val="es-ES"/>
        </w:rPr>
      </w:pPr>
    </w:p>
    <w:p w14:paraId="72FA431F" w14:textId="77777777" w:rsidR="00671940" w:rsidRPr="00671940" w:rsidRDefault="00671940" w:rsidP="00671940">
      <w:pPr>
        <w:spacing w:line="276" w:lineRule="auto"/>
        <w:jc w:val="center"/>
        <w:rPr>
          <w:rFonts w:ascii="Verdana" w:hAnsi="Verdana" w:cstheme="minorHAnsi"/>
          <w:b/>
          <w:bCs/>
          <w:lang w:val="es-ES"/>
        </w:rPr>
      </w:pPr>
    </w:p>
    <w:p w14:paraId="05EE0349" w14:textId="77777777" w:rsidR="00671940" w:rsidRPr="00671940" w:rsidRDefault="00671940" w:rsidP="00671940">
      <w:pPr>
        <w:spacing w:line="276" w:lineRule="auto"/>
        <w:jc w:val="center"/>
        <w:rPr>
          <w:rFonts w:ascii="Verdana" w:hAnsi="Verdana" w:cstheme="minorHAnsi"/>
          <w:b/>
          <w:bCs/>
          <w:lang w:val="es-ES"/>
        </w:rPr>
      </w:pPr>
    </w:p>
    <w:p w14:paraId="1700C749" w14:textId="77777777" w:rsidR="00671940" w:rsidRPr="00671940" w:rsidRDefault="00671940" w:rsidP="00671940">
      <w:pPr>
        <w:spacing w:line="276" w:lineRule="auto"/>
        <w:jc w:val="center"/>
        <w:rPr>
          <w:rFonts w:ascii="Verdana" w:hAnsi="Verdana" w:cstheme="minorHAnsi"/>
          <w:b/>
          <w:lang w:val="es-ES"/>
        </w:rPr>
      </w:pPr>
    </w:p>
    <w:p w14:paraId="13EA051A" w14:textId="77777777" w:rsidR="00671940" w:rsidRPr="00671940" w:rsidRDefault="00671940" w:rsidP="00671940">
      <w:pPr>
        <w:spacing w:line="276" w:lineRule="auto"/>
        <w:jc w:val="center"/>
        <w:rPr>
          <w:rFonts w:ascii="Verdana" w:hAnsi="Verdana" w:cstheme="minorHAnsi"/>
          <w:b/>
          <w:lang w:val="es-ES"/>
        </w:rPr>
      </w:pPr>
      <w:r w:rsidRPr="00671940">
        <w:rPr>
          <w:rFonts w:ascii="Verdana" w:hAnsi="Verdana" w:cstheme="minorHAnsi"/>
          <w:b/>
          <w:lang w:val="es-ES"/>
        </w:rPr>
        <w:t>2026</w:t>
      </w:r>
    </w:p>
    <w:p w14:paraId="1A7107D9" w14:textId="77777777" w:rsidR="002A486F" w:rsidRPr="002A486F" w:rsidRDefault="002A486F" w:rsidP="002A486F"/>
    <w:p w14:paraId="6CA61673" w14:textId="77777777" w:rsidR="002A486F" w:rsidRPr="00671940" w:rsidRDefault="002A486F" w:rsidP="002A486F">
      <w:pPr>
        <w:pStyle w:val="Ttulo2"/>
        <w:jc w:val="both"/>
        <w:rPr>
          <w:rFonts w:ascii="Verdana" w:hAnsi="Verdana"/>
          <w:b/>
          <w:bCs/>
          <w:color w:val="1F1F1F"/>
          <w:sz w:val="22"/>
          <w:szCs w:val="22"/>
        </w:rPr>
      </w:pPr>
      <w:r w:rsidRPr="00671940">
        <w:rPr>
          <w:rFonts w:ascii="Verdana" w:hAnsi="Verdana"/>
          <w:b/>
          <w:bCs/>
          <w:color w:val="1F1F1F"/>
          <w:sz w:val="22"/>
          <w:szCs w:val="22"/>
        </w:rPr>
        <w:t>1. INTRODUCCIÓN Y OBJETO</w:t>
      </w:r>
    </w:p>
    <w:p w14:paraId="3AB83A48" w14:textId="7EA99E98" w:rsidR="002A486F" w:rsidRPr="002A486F" w:rsidRDefault="002A486F" w:rsidP="002A486F">
      <w:pPr>
        <w:pStyle w:val="NormalWeb"/>
        <w:spacing w:after="0" w:afterAutospacing="0"/>
        <w:jc w:val="both"/>
        <w:rPr>
          <w:rFonts w:ascii="Verdana" w:hAnsi="Verdana"/>
          <w:color w:val="1F1F1F"/>
          <w:sz w:val="22"/>
          <w:szCs w:val="22"/>
        </w:rPr>
      </w:pPr>
      <w:r w:rsidRPr="002A486F">
        <w:rPr>
          <w:rFonts w:ascii="Verdana" w:hAnsi="Verdana"/>
          <w:color w:val="1F1F1F"/>
          <w:sz w:val="22"/>
          <w:szCs w:val="22"/>
        </w:rPr>
        <w:t xml:space="preserve">El presente Documento Técnico de Soporte (DTS) </w:t>
      </w:r>
      <w:r w:rsidR="00CA7129">
        <w:rPr>
          <w:rFonts w:ascii="Verdana" w:hAnsi="Verdana"/>
          <w:color w:val="1F1F1F"/>
          <w:sz w:val="22"/>
          <w:szCs w:val="22"/>
        </w:rPr>
        <w:t xml:space="preserve">presenta </w:t>
      </w:r>
      <w:r w:rsidRPr="002A486F">
        <w:rPr>
          <w:rFonts w:ascii="Verdana" w:hAnsi="Verdana"/>
          <w:color w:val="1F1F1F"/>
          <w:sz w:val="22"/>
          <w:szCs w:val="22"/>
        </w:rPr>
        <w:t xml:space="preserve">los hallazgos técnicos del </w:t>
      </w:r>
      <w:r w:rsidRPr="002A486F">
        <w:rPr>
          <w:rFonts w:ascii="Verdana" w:hAnsi="Verdana"/>
          <w:color w:val="1F1F1F"/>
          <w:sz w:val="22"/>
          <w:szCs w:val="22"/>
          <w:bdr w:val="none" w:sz="0" w:space="0" w:color="auto" w:frame="1"/>
        </w:rPr>
        <w:t>Componente de Diagnóstico</w:t>
      </w:r>
      <w:r w:rsidRPr="002A486F">
        <w:rPr>
          <w:rFonts w:ascii="Verdana" w:hAnsi="Verdana"/>
          <w:color w:val="1F1F1F"/>
          <w:sz w:val="22"/>
          <w:szCs w:val="22"/>
        </w:rPr>
        <w:t xml:space="preserve"> y las directrices del </w:t>
      </w:r>
      <w:r w:rsidRPr="002A486F">
        <w:rPr>
          <w:rFonts w:ascii="Verdana" w:hAnsi="Verdana"/>
          <w:color w:val="1F1F1F"/>
          <w:sz w:val="22"/>
          <w:szCs w:val="22"/>
          <w:bdr w:val="none" w:sz="0" w:space="0" w:color="auto" w:frame="1"/>
        </w:rPr>
        <w:t>Componente de Ordenamiento</w:t>
      </w:r>
      <w:r w:rsidRPr="002A486F">
        <w:rPr>
          <w:rFonts w:ascii="Verdana" w:hAnsi="Verdana"/>
          <w:color w:val="1F1F1F"/>
          <w:sz w:val="22"/>
          <w:szCs w:val="22"/>
        </w:rPr>
        <w:t xml:space="preserve"> del </w:t>
      </w:r>
      <w:r>
        <w:rPr>
          <w:rFonts w:ascii="Verdana" w:hAnsi="Verdana"/>
          <w:color w:val="1F1F1F"/>
          <w:sz w:val="22"/>
          <w:szCs w:val="22"/>
        </w:rPr>
        <w:t xml:space="preserve">avance del </w:t>
      </w:r>
      <w:r w:rsidRPr="002A486F">
        <w:rPr>
          <w:rFonts w:ascii="Verdana" w:hAnsi="Verdana"/>
          <w:color w:val="1F1F1F"/>
          <w:sz w:val="22"/>
          <w:szCs w:val="22"/>
        </w:rPr>
        <w:t>Plan de Manejo del Distrito Regional de Manejo Integrado (DRMI) Bajo Cauca - Nechí, elaborado por la Corporación Autónoma Regional del Centro de Antioquia (CORANTIOQUIA)</w:t>
      </w:r>
      <w:r w:rsidR="00765727">
        <w:rPr>
          <w:rFonts w:ascii="Verdana" w:hAnsi="Verdana"/>
          <w:color w:val="1F1F1F"/>
          <w:sz w:val="22"/>
          <w:szCs w:val="22"/>
        </w:rPr>
        <w:t>.</w:t>
      </w:r>
    </w:p>
    <w:p w14:paraId="48A0A36A" w14:textId="54F5AA5C" w:rsidR="002A486F" w:rsidRDefault="002A486F" w:rsidP="002A486F">
      <w:pPr>
        <w:pStyle w:val="NormalWeb"/>
        <w:spacing w:after="0" w:afterAutospacing="0"/>
        <w:jc w:val="both"/>
        <w:rPr>
          <w:rFonts w:ascii="Verdana" w:hAnsi="Verdana"/>
          <w:color w:val="1F1F1F"/>
          <w:sz w:val="22"/>
          <w:szCs w:val="22"/>
        </w:rPr>
      </w:pPr>
      <w:r w:rsidRPr="002A486F">
        <w:rPr>
          <w:rFonts w:ascii="Verdana" w:hAnsi="Verdana"/>
          <w:color w:val="1F1F1F"/>
          <w:sz w:val="22"/>
          <w:szCs w:val="22"/>
        </w:rPr>
        <w:t xml:space="preserve">El análisis </w:t>
      </w:r>
      <w:r w:rsidR="00765727">
        <w:rPr>
          <w:rFonts w:ascii="Verdana" w:hAnsi="Verdana"/>
          <w:color w:val="1F1F1F"/>
          <w:sz w:val="22"/>
          <w:szCs w:val="22"/>
        </w:rPr>
        <w:t xml:space="preserve">proporciona </w:t>
      </w:r>
      <w:r w:rsidRPr="002A486F">
        <w:rPr>
          <w:rFonts w:ascii="Verdana" w:hAnsi="Verdana"/>
          <w:color w:val="1F1F1F"/>
          <w:sz w:val="22"/>
          <w:szCs w:val="22"/>
        </w:rPr>
        <w:t>una justificación técnica, biofísica y jurídica que sustent</w:t>
      </w:r>
      <w:r w:rsidR="00765727">
        <w:rPr>
          <w:rFonts w:ascii="Verdana" w:hAnsi="Verdana"/>
          <w:color w:val="1F1F1F"/>
          <w:sz w:val="22"/>
          <w:szCs w:val="22"/>
        </w:rPr>
        <w:t>a</w:t>
      </w:r>
      <w:r w:rsidRPr="002A486F">
        <w:rPr>
          <w:rFonts w:ascii="Verdana" w:hAnsi="Verdana"/>
          <w:color w:val="1F1F1F"/>
          <w:sz w:val="22"/>
          <w:szCs w:val="22"/>
        </w:rPr>
        <w:t xml:space="preserve"> la viabilidad de </w:t>
      </w:r>
      <w:r w:rsidRPr="002A486F">
        <w:rPr>
          <w:rFonts w:ascii="Verdana" w:hAnsi="Verdana"/>
          <w:color w:val="1F1F1F"/>
          <w:sz w:val="22"/>
          <w:szCs w:val="22"/>
          <w:bdr w:val="none" w:sz="0" w:space="0" w:color="auto" w:frame="1"/>
        </w:rPr>
        <w:t xml:space="preserve">levantar las restricciones impuestas sobre el Polígono 8 </w:t>
      </w:r>
      <w:r>
        <w:rPr>
          <w:rFonts w:ascii="Verdana" w:hAnsi="Verdana"/>
          <w:color w:val="1F1F1F"/>
          <w:sz w:val="22"/>
          <w:szCs w:val="22"/>
          <w:bdr w:val="none" w:sz="0" w:space="0" w:color="auto" w:frame="1"/>
        </w:rPr>
        <w:t>de</w:t>
      </w:r>
      <w:r w:rsidRPr="002A486F">
        <w:rPr>
          <w:rFonts w:ascii="Verdana" w:hAnsi="Verdana"/>
          <w:color w:val="1F1F1F"/>
          <w:sz w:val="22"/>
          <w:szCs w:val="22"/>
          <w:bdr w:val="none" w:sz="0" w:space="0" w:color="auto" w:frame="1"/>
        </w:rPr>
        <w:t xml:space="preserve"> la Resolución 1499 de 2025</w:t>
      </w:r>
      <w:r w:rsidRPr="002A486F">
        <w:rPr>
          <w:rFonts w:ascii="Verdana" w:hAnsi="Verdana"/>
          <w:color w:val="1F1F1F"/>
          <w:sz w:val="22"/>
          <w:szCs w:val="22"/>
        </w:rPr>
        <w:t xml:space="preserve"> del Ministerio de Ambiente y Desarrollo Sostenible. Para ello, se armonizan las realidades biofísicas y socioeconómicas del territorio con el régimen de usos y la zonificación preliminar del área protegida, bajo el marco normativo establecido por el </w:t>
      </w:r>
      <w:r w:rsidRPr="002A486F">
        <w:rPr>
          <w:rFonts w:ascii="Verdana" w:hAnsi="Verdana"/>
          <w:color w:val="1F1F1F"/>
          <w:sz w:val="22"/>
          <w:szCs w:val="22"/>
          <w:bdr w:val="none" w:sz="0" w:space="0" w:color="auto" w:frame="1"/>
        </w:rPr>
        <w:t>Acuerdo No. 675 del 22 de diciembre de 2023</w:t>
      </w:r>
      <w:r w:rsidRPr="002A486F">
        <w:rPr>
          <w:rFonts w:ascii="Verdana" w:hAnsi="Verdana"/>
          <w:color w:val="1F1F1F"/>
          <w:sz w:val="22"/>
          <w:szCs w:val="22"/>
        </w:rPr>
        <w:t xml:space="preserve"> del Consejo Directivo de CORANTIOQUIA, con especial énfasis en sus artículos 6, 7</w:t>
      </w:r>
      <w:r w:rsidR="00875068">
        <w:rPr>
          <w:rFonts w:ascii="Verdana" w:hAnsi="Verdana"/>
          <w:color w:val="1F1F1F"/>
          <w:sz w:val="22"/>
          <w:szCs w:val="22"/>
        </w:rPr>
        <w:t xml:space="preserve">, 8 </w:t>
      </w:r>
      <w:r w:rsidRPr="002A486F">
        <w:rPr>
          <w:rFonts w:ascii="Verdana" w:hAnsi="Verdana"/>
          <w:color w:val="1F1F1F"/>
          <w:sz w:val="22"/>
          <w:szCs w:val="22"/>
        </w:rPr>
        <w:t>y 11.</w:t>
      </w:r>
    </w:p>
    <w:p w14:paraId="04F1FCFA" w14:textId="77777777" w:rsidR="002A486F" w:rsidRPr="002A486F" w:rsidRDefault="002A486F" w:rsidP="002A486F">
      <w:pPr>
        <w:pStyle w:val="NormalWeb"/>
        <w:spacing w:after="0" w:afterAutospacing="0"/>
        <w:jc w:val="both"/>
        <w:rPr>
          <w:rFonts w:ascii="Verdana" w:hAnsi="Verdana"/>
          <w:color w:val="1F1F1F"/>
          <w:sz w:val="22"/>
          <w:szCs w:val="22"/>
        </w:rPr>
      </w:pPr>
    </w:p>
    <w:p w14:paraId="55A9E961" w14:textId="0A054B27" w:rsidR="002A486F" w:rsidRPr="00671940" w:rsidRDefault="002A486F" w:rsidP="002A486F">
      <w:pPr>
        <w:pStyle w:val="Ttulo2"/>
        <w:jc w:val="both"/>
        <w:rPr>
          <w:rFonts w:ascii="Verdana" w:hAnsi="Verdana"/>
          <w:b/>
          <w:bCs/>
          <w:color w:val="1F1F1F"/>
          <w:sz w:val="22"/>
          <w:szCs w:val="22"/>
        </w:rPr>
      </w:pPr>
      <w:r w:rsidRPr="00671940">
        <w:rPr>
          <w:rFonts w:ascii="Verdana" w:hAnsi="Verdana"/>
          <w:b/>
          <w:bCs/>
          <w:color w:val="1F1F1F"/>
          <w:sz w:val="22"/>
          <w:szCs w:val="22"/>
        </w:rPr>
        <w:t>2. MARCO NORMATIVO INSTITUCIONAL (ACUERDO 675 DE 2023)</w:t>
      </w:r>
    </w:p>
    <w:p w14:paraId="208E956A" w14:textId="7971C1D4" w:rsidR="00671940" w:rsidRPr="00671940" w:rsidRDefault="00671940" w:rsidP="00671940">
      <w:pPr>
        <w:spacing w:before="100" w:beforeAutospacing="1" w:after="0" w:line="240" w:lineRule="auto"/>
        <w:jc w:val="both"/>
        <w:rPr>
          <w:rFonts w:ascii="Verdana" w:eastAsia="Times New Roman" w:hAnsi="Verdana" w:cs="Times New Roman"/>
          <w:color w:val="1F1F1F"/>
          <w:kern w:val="0"/>
          <w:lang w:eastAsia="es-CO"/>
          <w14:ligatures w14:val="none"/>
        </w:rPr>
      </w:pPr>
      <w:r w:rsidRPr="00671940">
        <w:rPr>
          <w:rFonts w:ascii="Verdana" w:eastAsia="Times New Roman" w:hAnsi="Verdana" w:cs="Times New Roman"/>
          <w:color w:val="1F1F1F"/>
          <w:kern w:val="0"/>
          <w:lang w:eastAsia="es-CO"/>
          <w14:ligatures w14:val="none"/>
        </w:rPr>
        <w:t xml:space="preserve">El Acuerdo 675 de 2023 </w:t>
      </w:r>
      <w:r w:rsidR="00B70D55" w:rsidRPr="002A486F">
        <w:rPr>
          <w:rFonts w:ascii="Verdana" w:hAnsi="Verdana"/>
          <w:color w:val="1F1F1F"/>
        </w:rPr>
        <w:t xml:space="preserve">del Consejo Directivo </w:t>
      </w:r>
      <w:r w:rsidRPr="00671940">
        <w:rPr>
          <w:rFonts w:ascii="Verdana" w:eastAsia="Times New Roman" w:hAnsi="Verdana" w:cs="Times New Roman"/>
          <w:color w:val="1F1F1F"/>
          <w:kern w:val="0"/>
          <w:lang w:eastAsia="es-CO"/>
          <w14:ligatures w14:val="none"/>
        </w:rPr>
        <w:t>de CORANTIOQUIA fundamenta la declaratoria del Distrito Regional de Manejo Integrado (DRMI) Bajo Cauca - Nechí en la necesidad de proteger un complejo estratégico de ecosistemas que sustenta la biodiversidad y los servicios ambientales de la región. Los considerandos del acuerdo resaltan que el área alberga importantes remanentes de bosque húmedo tropical y una densa red de humedales y complejos cenagosos asociados a la cuenca del río Nechí. Estos ecosistemas no solo funcionan como hábitats críticos para numerosas especies de fauna y flora silvestres —muchas de ellas bajo categorías de amenaza o endemismo—, sino que también actúan como reguladores hidrológicos esenciales para el amortiguamiento de inundaciones y el abastecimiento de agua para las comunidades locales.</w:t>
      </w:r>
    </w:p>
    <w:p w14:paraId="1906C0F4" w14:textId="7864F5C4" w:rsidR="00671940" w:rsidRPr="00671940" w:rsidRDefault="00671940" w:rsidP="00671940">
      <w:pPr>
        <w:spacing w:before="100" w:beforeAutospacing="1" w:after="0" w:line="240" w:lineRule="auto"/>
        <w:jc w:val="both"/>
        <w:rPr>
          <w:rFonts w:ascii="Verdana" w:eastAsia="Times New Roman" w:hAnsi="Verdana" w:cs="Times New Roman"/>
          <w:color w:val="1F1F1F"/>
          <w:kern w:val="0"/>
          <w:lang w:eastAsia="es-CO"/>
          <w14:ligatures w14:val="none"/>
        </w:rPr>
      </w:pPr>
      <w:r w:rsidRPr="00671940">
        <w:rPr>
          <w:rFonts w:ascii="Verdana" w:eastAsia="Times New Roman" w:hAnsi="Verdana" w:cs="Times New Roman"/>
          <w:color w:val="1F1F1F"/>
          <w:kern w:val="0"/>
          <w:lang w:eastAsia="es-CO"/>
          <w14:ligatures w14:val="none"/>
        </w:rPr>
        <w:t xml:space="preserve">Asimismo, la argumentación jurídica y técnica del acuerdo enfatiza la urgencia de contrarrestar las fuertes presiones antrópicas históricas que amenazan la integridad ecológica del territorio, tales como la deforestación, la expansión no planificada de la frontera agropecuaria y la minería aluvial no regulada. </w:t>
      </w:r>
      <w:r>
        <w:rPr>
          <w:rFonts w:ascii="Verdana" w:eastAsia="Times New Roman" w:hAnsi="Verdana" w:cs="Times New Roman"/>
          <w:color w:val="1F1F1F"/>
          <w:kern w:val="0"/>
          <w:lang w:eastAsia="es-CO"/>
          <w14:ligatures w14:val="none"/>
        </w:rPr>
        <w:t xml:space="preserve">La ruta declaratoria implementada por </w:t>
      </w:r>
      <w:r w:rsidRPr="00671940">
        <w:rPr>
          <w:rFonts w:ascii="Verdana" w:eastAsia="Times New Roman" w:hAnsi="Verdana" w:cs="Times New Roman"/>
          <w:color w:val="1F1F1F"/>
          <w:kern w:val="0"/>
          <w:lang w:eastAsia="es-CO"/>
          <w14:ligatures w14:val="none"/>
        </w:rPr>
        <w:t>la corporación determinó que la figura de un DRMI es el mecanismo idóneo para detener los procesos de degradación del suelo y la sedimentación de los cuerpos de agua, permitiendo estructurar un modelo de gobernanza donde la conservación coexista con el desarrollo sostenible. De este modo, la declaratoria busca asegurar la conectividad ecológica estructural y el flujo continuo de servicios ecosistémicos esenciales, integrando activamente a las poblaciones locales en procesos de ordenamiento, reconversión productiva y formalización tradicional bajo un marco de sostenibilidad y resiliencia territorial.</w:t>
      </w:r>
    </w:p>
    <w:p w14:paraId="726B2034" w14:textId="098E9B44" w:rsidR="002A486F" w:rsidRPr="002A486F" w:rsidRDefault="002A486F" w:rsidP="002A486F">
      <w:pPr>
        <w:pStyle w:val="NormalWeb"/>
        <w:spacing w:after="0" w:afterAutospacing="0"/>
        <w:jc w:val="both"/>
        <w:rPr>
          <w:rFonts w:ascii="Verdana" w:hAnsi="Verdana"/>
          <w:color w:val="1F1F1F"/>
          <w:sz w:val="22"/>
          <w:szCs w:val="22"/>
        </w:rPr>
      </w:pPr>
      <w:r w:rsidRPr="002A486F">
        <w:rPr>
          <w:rFonts w:ascii="Verdana" w:hAnsi="Verdana"/>
          <w:color w:val="1F1F1F"/>
          <w:sz w:val="22"/>
          <w:szCs w:val="22"/>
        </w:rPr>
        <w:t>La declaratoria del DRMI Bajo Cauca - Nechí mediante el Acuerdo 675 de 2023</w:t>
      </w:r>
      <w:r>
        <w:rPr>
          <w:rFonts w:ascii="Verdana" w:hAnsi="Verdana"/>
          <w:color w:val="1F1F1F"/>
          <w:sz w:val="22"/>
          <w:szCs w:val="22"/>
        </w:rPr>
        <w:t xml:space="preserve"> de CORANTIOQUIA</w:t>
      </w:r>
      <w:r w:rsidRPr="002A486F">
        <w:rPr>
          <w:rFonts w:ascii="Verdana" w:hAnsi="Verdana"/>
          <w:color w:val="1F1F1F"/>
          <w:sz w:val="22"/>
          <w:szCs w:val="22"/>
        </w:rPr>
        <w:t xml:space="preserve"> define la hoja de ruta jurídica e institucional que debe respetarse y armonizarse con las decisiones del orden nacional. Los artículos </w:t>
      </w:r>
      <w:r>
        <w:rPr>
          <w:rFonts w:ascii="Verdana" w:hAnsi="Verdana"/>
          <w:color w:val="1F1F1F"/>
          <w:sz w:val="22"/>
          <w:szCs w:val="22"/>
        </w:rPr>
        <w:t>base</w:t>
      </w:r>
      <w:r w:rsidRPr="002A486F">
        <w:rPr>
          <w:rFonts w:ascii="Verdana" w:hAnsi="Verdana"/>
          <w:color w:val="1F1F1F"/>
          <w:sz w:val="22"/>
          <w:szCs w:val="22"/>
        </w:rPr>
        <w:t xml:space="preserve"> </w:t>
      </w:r>
      <w:r>
        <w:rPr>
          <w:rFonts w:ascii="Verdana" w:hAnsi="Verdana"/>
          <w:color w:val="1F1F1F"/>
          <w:sz w:val="22"/>
          <w:szCs w:val="22"/>
        </w:rPr>
        <w:t>que fundamentan</w:t>
      </w:r>
      <w:r w:rsidRPr="002A486F">
        <w:rPr>
          <w:rFonts w:ascii="Verdana" w:hAnsi="Verdana"/>
          <w:color w:val="1F1F1F"/>
          <w:sz w:val="22"/>
          <w:szCs w:val="22"/>
        </w:rPr>
        <w:t xml:space="preserve"> la viabilidad del levantamiento de restricciones en el Polígono 8</w:t>
      </w:r>
      <w:r w:rsidR="00671940">
        <w:rPr>
          <w:rFonts w:ascii="Verdana" w:hAnsi="Verdana"/>
          <w:color w:val="1F1F1F"/>
          <w:sz w:val="22"/>
          <w:szCs w:val="22"/>
        </w:rPr>
        <w:t>,</w:t>
      </w:r>
      <w:r w:rsidRPr="002A486F">
        <w:rPr>
          <w:rFonts w:ascii="Verdana" w:hAnsi="Verdana"/>
          <w:color w:val="1F1F1F"/>
          <w:sz w:val="22"/>
          <w:szCs w:val="22"/>
        </w:rPr>
        <w:t xml:space="preserve"> </w:t>
      </w:r>
      <w:r w:rsidR="00671940">
        <w:rPr>
          <w:rFonts w:ascii="Verdana" w:hAnsi="Verdana"/>
          <w:color w:val="1F1F1F"/>
          <w:sz w:val="22"/>
          <w:szCs w:val="22"/>
        </w:rPr>
        <w:t xml:space="preserve">dadas por la Resolución 1499 de 2025, </w:t>
      </w:r>
      <w:r w:rsidRPr="002A486F">
        <w:rPr>
          <w:rFonts w:ascii="Verdana" w:hAnsi="Verdana"/>
          <w:color w:val="1F1F1F"/>
          <w:sz w:val="22"/>
          <w:szCs w:val="22"/>
        </w:rPr>
        <w:t>son:</w:t>
      </w:r>
    </w:p>
    <w:p w14:paraId="12BF4F4C" w14:textId="2B4F0D01" w:rsidR="002A486F" w:rsidRDefault="002A486F" w:rsidP="002A486F">
      <w:pPr>
        <w:pStyle w:val="NormalWeb"/>
        <w:numPr>
          <w:ilvl w:val="0"/>
          <w:numId w:val="8"/>
        </w:numPr>
        <w:spacing w:after="0" w:afterAutospacing="0"/>
        <w:ind w:left="0"/>
        <w:jc w:val="both"/>
        <w:rPr>
          <w:rFonts w:ascii="Verdana" w:hAnsi="Verdana"/>
          <w:color w:val="1F1F1F"/>
          <w:sz w:val="22"/>
          <w:szCs w:val="22"/>
        </w:rPr>
      </w:pPr>
      <w:r w:rsidRPr="002A486F">
        <w:rPr>
          <w:rFonts w:ascii="Verdana" w:hAnsi="Verdana"/>
          <w:color w:val="1F1F1F"/>
          <w:sz w:val="22"/>
          <w:szCs w:val="22"/>
        </w:rPr>
        <w:t>En relación con las condiciones del plan de manejo en el área protegida</w:t>
      </w:r>
      <w:r>
        <w:rPr>
          <w:rFonts w:ascii="Verdana" w:hAnsi="Verdana"/>
          <w:color w:val="1F1F1F"/>
          <w:sz w:val="22"/>
          <w:szCs w:val="22"/>
        </w:rPr>
        <w:t xml:space="preserve"> el Artículo </w:t>
      </w:r>
      <w:r w:rsidR="00EE077D">
        <w:rPr>
          <w:rFonts w:ascii="Verdana" w:hAnsi="Verdana"/>
          <w:color w:val="1F1F1F"/>
          <w:sz w:val="22"/>
          <w:szCs w:val="22"/>
        </w:rPr>
        <w:t xml:space="preserve">6 </w:t>
      </w:r>
      <w:r>
        <w:rPr>
          <w:rFonts w:ascii="Verdana" w:hAnsi="Verdana"/>
          <w:color w:val="1F1F1F"/>
          <w:sz w:val="22"/>
          <w:szCs w:val="22"/>
        </w:rPr>
        <w:t>establece lo siguiente:</w:t>
      </w:r>
    </w:p>
    <w:p w14:paraId="1C3BC78E" w14:textId="3C6341B7" w:rsidR="002A486F" w:rsidRDefault="002A486F" w:rsidP="002A486F">
      <w:pPr>
        <w:pStyle w:val="NormalWeb"/>
        <w:spacing w:after="0" w:afterAutospacing="0"/>
        <w:jc w:val="both"/>
        <w:rPr>
          <w:rFonts w:ascii="Verdana" w:hAnsi="Verdana"/>
          <w:color w:val="1F1F1F"/>
          <w:sz w:val="22"/>
          <w:szCs w:val="22"/>
        </w:rPr>
      </w:pPr>
    </w:p>
    <w:p w14:paraId="2B13BFD7" w14:textId="77777777" w:rsidR="00EE077D" w:rsidRDefault="00EE077D" w:rsidP="00EE077D">
      <w:pPr>
        <w:jc w:val="both"/>
        <w:rPr>
          <w:rFonts w:ascii="Verdana" w:hAnsi="Verdana"/>
          <w:i/>
          <w:iCs/>
        </w:rPr>
      </w:pPr>
      <w:r>
        <w:rPr>
          <w:rFonts w:ascii="Verdana" w:hAnsi="Verdana"/>
          <w:i/>
          <w:iCs/>
        </w:rPr>
        <w:t xml:space="preserve">“(…) </w:t>
      </w:r>
    </w:p>
    <w:p w14:paraId="2EE4837C" w14:textId="71281DFF" w:rsidR="002A486F" w:rsidRPr="00EE077D" w:rsidRDefault="002A486F" w:rsidP="00EE077D">
      <w:pPr>
        <w:jc w:val="both"/>
        <w:rPr>
          <w:rFonts w:ascii="Verdana" w:hAnsi="Verdana"/>
          <w:i/>
          <w:iCs/>
        </w:rPr>
      </w:pPr>
      <w:r w:rsidRPr="00EE077D">
        <w:rPr>
          <w:rFonts w:ascii="Verdana" w:hAnsi="Verdana"/>
          <w:i/>
          <w:iCs/>
        </w:rPr>
        <w:t xml:space="preserve">ARTÍCULO 6. Plan de Manejo. Dentro del año siguiente a la publicación del </w:t>
      </w:r>
      <w:r w:rsidR="00EE077D">
        <w:rPr>
          <w:rFonts w:ascii="Verdana" w:hAnsi="Verdana"/>
          <w:i/>
          <w:iCs/>
        </w:rPr>
        <w:t xml:space="preserve"> </w:t>
      </w:r>
      <w:r w:rsidRPr="00EE077D">
        <w:rPr>
          <w:rFonts w:ascii="Verdana" w:hAnsi="Verdana"/>
          <w:i/>
          <w:iCs/>
        </w:rPr>
        <w:t>presente Acuerdo, la Corporación Autónoma Regional del Centro de Antioquia – CORANTIOQUIA, formulará el respectivo Plan de Manejo del Distrito Regional de Manejo Integrado Bajo Cauca - Nechí, de conformidad con lo establecido en el artículo 2.2.2.1.6.5 del Decreto 1076 de 2015, el cual contemplará el diagnóstico, la zonificación con su régimen de usos, y programas y proyectos orientados al mantenimiento de los objetos de conservación del área, bajo una construcción de manera participativa con los actores vinculados al DRMI.</w:t>
      </w:r>
    </w:p>
    <w:p w14:paraId="0F94FFE5" w14:textId="07E137F4" w:rsidR="002A486F" w:rsidRDefault="002A486F" w:rsidP="00EE077D">
      <w:pPr>
        <w:jc w:val="both"/>
        <w:rPr>
          <w:rFonts w:ascii="Verdana" w:hAnsi="Verdana"/>
          <w:i/>
          <w:iCs/>
        </w:rPr>
      </w:pPr>
      <w:r w:rsidRPr="00EE077D">
        <w:rPr>
          <w:rFonts w:ascii="Verdana" w:hAnsi="Verdana"/>
          <w:i/>
          <w:iCs/>
        </w:rPr>
        <w:t>…</w:t>
      </w:r>
    </w:p>
    <w:p w14:paraId="662C3333" w14:textId="68D17CD0" w:rsidR="00875068" w:rsidRPr="00EE077D" w:rsidRDefault="00875068" w:rsidP="00EE077D">
      <w:pPr>
        <w:jc w:val="both"/>
        <w:rPr>
          <w:rFonts w:ascii="Verdana" w:hAnsi="Verdana"/>
          <w:i/>
          <w:iCs/>
        </w:rPr>
      </w:pPr>
      <w:r w:rsidRPr="00875068">
        <w:rPr>
          <w:rFonts w:ascii="Verdana" w:hAnsi="Verdana"/>
          <w:i/>
          <w:iCs/>
        </w:rPr>
        <w:t>PARÁGRAFO 2. Los proyectos obras o actividades que cuenten con concesiones, permisos, autorizaciones o licencias ambientales al interior del área del Distrito Regional de Manejo Integrado Bajo Cauca – Nechí, podrán ser objeto de obligaciones o condiciones adicionales para compatibilizarlos con la zonificación del plan de manejo una vez sea adoptado.</w:t>
      </w:r>
    </w:p>
    <w:p w14:paraId="769213FB" w14:textId="33B8B726" w:rsidR="002A486F" w:rsidRPr="00EE077D" w:rsidRDefault="002A486F" w:rsidP="00EE077D">
      <w:pPr>
        <w:jc w:val="both"/>
        <w:rPr>
          <w:rFonts w:ascii="Verdana" w:hAnsi="Verdana"/>
          <w:i/>
          <w:iCs/>
        </w:rPr>
      </w:pPr>
      <w:r w:rsidRPr="00EE077D">
        <w:rPr>
          <w:rFonts w:ascii="Verdana" w:hAnsi="Verdana"/>
          <w:i/>
          <w:iCs/>
        </w:rPr>
        <w:t xml:space="preserve">PARÁGRAFO 3. Hasta tanto se adopte el plan de manejo del área declarada, la evaluación de las solicitudes de concesiones, permisos, autorizaciones, licencias ambientales y demás instrumentos de control y manejo ambiental que se encuentren en trámite, y las que se presenten a partir de la entrada en vigencia de este acuerdo, se realizarán conforme a la normatividad ambiental vigente, en armonía con los objetivos específicos de conservación del área DRMI Bajo Cauca-Nechí establecidos en el artículo 4 del presente Acuerdo, de conformidad con los siguientes criterios orientadores: </w:t>
      </w:r>
    </w:p>
    <w:p w14:paraId="5E56AEF6" w14:textId="07848E75" w:rsidR="002A486F" w:rsidRPr="00EE077D" w:rsidRDefault="002A486F" w:rsidP="00EE077D">
      <w:pPr>
        <w:jc w:val="both"/>
        <w:rPr>
          <w:rFonts w:ascii="Verdana" w:hAnsi="Verdana"/>
          <w:i/>
          <w:iCs/>
        </w:rPr>
      </w:pPr>
      <w:r w:rsidRPr="00EE077D">
        <w:rPr>
          <w:rFonts w:ascii="Verdana" w:hAnsi="Verdana"/>
          <w:i/>
          <w:iCs/>
        </w:rPr>
        <w:t xml:space="preserve">• Verificar que los proyectos obras o actividades no afecten la conservación y protección de los ecosistemas del área DRMI Bajo Cauca-Nechí, y que no impidan la conectividad del mismo y/o aumenten su fragmentación en el área declarada. </w:t>
      </w:r>
    </w:p>
    <w:p w14:paraId="1E8A256D" w14:textId="29466B6F" w:rsidR="002A486F" w:rsidRPr="00EE077D" w:rsidRDefault="002A486F" w:rsidP="00EE077D">
      <w:pPr>
        <w:jc w:val="both"/>
        <w:rPr>
          <w:rFonts w:ascii="Verdana" w:hAnsi="Verdana"/>
          <w:i/>
          <w:iCs/>
        </w:rPr>
      </w:pPr>
      <w:r w:rsidRPr="00EE077D">
        <w:rPr>
          <w:rFonts w:ascii="Verdana" w:hAnsi="Verdana"/>
          <w:i/>
          <w:iCs/>
        </w:rPr>
        <w:t>• Verificar que los proyectos obras o actividades no afecten el recurso hídrico y su biota asociada, y que con el desarrollo de los mismos se mantenga la conectividad fluvial y migratoria de las comunidades hidrobiológicas.</w:t>
      </w:r>
    </w:p>
    <w:p w14:paraId="1C5AB6C9" w14:textId="79D8D168" w:rsidR="002A486F" w:rsidRPr="00EE077D" w:rsidRDefault="002A486F" w:rsidP="00EE077D">
      <w:pPr>
        <w:jc w:val="both"/>
        <w:rPr>
          <w:rFonts w:ascii="Verdana" w:hAnsi="Verdana"/>
          <w:i/>
          <w:iCs/>
        </w:rPr>
      </w:pPr>
      <w:r w:rsidRPr="00EE077D">
        <w:rPr>
          <w:rFonts w:ascii="Verdana" w:hAnsi="Verdana"/>
          <w:i/>
          <w:iCs/>
        </w:rPr>
        <w:t>• Verificar que los proyectos obras o actividades no intervengan áreas que se encuentren en procesos de restauración y recuperación de la cobertura vegetal, con el fin de se permita mejorar las condiciones del hábitat de las especies representativas y características del área DRMI Bajo Cauca</w:t>
      </w:r>
      <w:r w:rsidR="00CA7129">
        <w:rPr>
          <w:rFonts w:ascii="Verdana" w:hAnsi="Verdana"/>
          <w:i/>
          <w:iCs/>
        </w:rPr>
        <w:t xml:space="preserve"> </w:t>
      </w:r>
      <w:r w:rsidRPr="00EE077D">
        <w:rPr>
          <w:rFonts w:ascii="Verdana" w:hAnsi="Verdana"/>
          <w:i/>
          <w:iCs/>
        </w:rPr>
        <w:t xml:space="preserve">Nechí. </w:t>
      </w:r>
    </w:p>
    <w:p w14:paraId="52FA64B8" w14:textId="24E6CD60" w:rsidR="002A486F" w:rsidRPr="00EE077D" w:rsidRDefault="002A486F" w:rsidP="00EE077D">
      <w:pPr>
        <w:jc w:val="both"/>
        <w:rPr>
          <w:rFonts w:ascii="Verdana" w:hAnsi="Verdana"/>
          <w:i/>
          <w:iCs/>
        </w:rPr>
      </w:pPr>
      <w:r w:rsidRPr="00EE077D">
        <w:rPr>
          <w:rFonts w:ascii="Verdana" w:hAnsi="Verdana"/>
          <w:i/>
          <w:iCs/>
        </w:rPr>
        <w:t xml:space="preserve">• Verificar que los proyectos obras o actividades a desarrollar permitan la provisión de bienes y servicios ambientales, con el fin de que se garantice la sostenibilidad ambiental del área DRMI Bajo Cauca-Nechí. </w:t>
      </w:r>
    </w:p>
    <w:p w14:paraId="17702991" w14:textId="4561A53B" w:rsidR="002A486F" w:rsidRPr="00EE077D" w:rsidRDefault="002A486F" w:rsidP="00EE077D">
      <w:pPr>
        <w:jc w:val="both"/>
        <w:rPr>
          <w:rFonts w:ascii="Verdana" w:hAnsi="Verdana"/>
          <w:i/>
          <w:iCs/>
        </w:rPr>
      </w:pPr>
      <w:r w:rsidRPr="00EE077D">
        <w:rPr>
          <w:rFonts w:ascii="Verdana" w:hAnsi="Verdana"/>
          <w:i/>
          <w:iCs/>
        </w:rPr>
        <w:t xml:space="preserve">• Verificar que los proyectos obras o actividades a desarrollar realicen un uso sostenible de los bosques y su biodiversidad asociada. </w:t>
      </w:r>
    </w:p>
    <w:p w14:paraId="7C7D0724" w14:textId="6387DA1A" w:rsidR="007A51C0" w:rsidRDefault="002A486F" w:rsidP="00EE077D">
      <w:pPr>
        <w:jc w:val="both"/>
        <w:rPr>
          <w:rFonts w:ascii="Verdana" w:hAnsi="Verdana"/>
          <w:i/>
          <w:iCs/>
        </w:rPr>
      </w:pPr>
      <w:r w:rsidRPr="00EE077D">
        <w:rPr>
          <w:rFonts w:ascii="Verdana" w:hAnsi="Verdana"/>
          <w:i/>
          <w:iCs/>
        </w:rPr>
        <w:t>• Verificar que los proyectos obras o actividades a desarrollar, no intervengan la valoración social y ecológica de las manifestaciones culturales y antropogénicas asociadas con la conservación de los bosques y/o elementos de su biodiversidad asociada por parte de las comunidades de la zona</w:t>
      </w:r>
      <w:r w:rsidR="007A51C0">
        <w:rPr>
          <w:rFonts w:ascii="Verdana" w:hAnsi="Verdana"/>
          <w:i/>
          <w:iCs/>
        </w:rPr>
        <w:t>.</w:t>
      </w:r>
      <w:r w:rsidRPr="00EE077D">
        <w:rPr>
          <w:rFonts w:ascii="Verdana" w:hAnsi="Verdana"/>
          <w:i/>
          <w:iCs/>
        </w:rPr>
        <w:t xml:space="preserve"> </w:t>
      </w:r>
    </w:p>
    <w:p w14:paraId="1D5FA8BE" w14:textId="0362B316" w:rsidR="002A486F" w:rsidRPr="00EE077D" w:rsidRDefault="002A486F" w:rsidP="00EE077D">
      <w:pPr>
        <w:jc w:val="both"/>
        <w:rPr>
          <w:rFonts w:ascii="Verdana" w:hAnsi="Verdana"/>
          <w:i/>
          <w:iCs/>
        </w:rPr>
      </w:pPr>
      <w:r w:rsidRPr="00EE077D">
        <w:rPr>
          <w:rFonts w:ascii="Verdana" w:hAnsi="Verdana"/>
          <w:i/>
          <w:iCs/>
        </w:rPr>
        <w:t>(…)”</w:t>
      </w:r>
    </w:p>
    <w:p w14:paraId="76945539" w14:textId="1976E090" w:rsidR="007A51C0" w:rsidRPr="007A51C0" w:rsidRDefault="007A51C0" w:rsidP="007A51C0">
      <w:pPr>
        <w:pStyle w:val="NormalWeb"/>
        <w:numPr>
          <w:ilvl w:val="0"/>
          <w:numId w:val="8"/>
        </w:numPr>
        <w:spacing w:after="0" w:afterAutospacing="0"/>
        <w:ind w:left="0"/>
        <w:jc w:val="both"/>
        <w:rPr>
          <w:rFonts w:ascii="Verdana" w:hAnsi="Verdana"/>
          <w:color w:val="1F1F1F"/>
          <w:sz w:val="22"/>
          <w:szCs w:val="22"/>
        </w:rPr>
      </w:pPr>
      <w:r w:rsidRPr="007A51C0">
        <w:rPr>
          <w:rFonts w:ascii="Verdana" w:hAnsi="Verdana"/>
          <w:color w:val="1F1F1F"/>
          <w:sz w:val="22"/>
          <w:szCs w:val="22"/>
        </w:rPr>
        <w:t>Respecto de las condiciones del licenciamiento ambiental en el área protegida el Acuerdo 675 de 2023 por el cual se declaró la categoría de protección ambiental, estableció lo siguiente:</w:t>
      </w:r>
    </w:p>
    <w:p w14:paraId="33966BD6" w14:textId="77777777" w:rsidR="007A51C0" w:rsidRPr="007A51C0" w:rsidRDefault="007A51C0" w:rsidP="007A51C0">
      <w:pPr>
        <w:pStyle w:val="NormalWeb"/>
        <w:spacing w:after="0"/>
        <w:jc w:val="both"/>
        <w:rPr>
          <w:rFonts w:ascii="Verdana" w:hAnsi="Verdana"/>
          <w:i/>
          <w:iCs/>
          <w:color w:val="1F1F1F"/>
          <w:sz w:val="22"/>
          <w:szCs w:val="22"/>
        </w:rPr>
      </w:pPr>
      <w:r w:rsidRPr="007A51C0">
        <w:rPr>
          <w:rFonts w:ascii="Verdana" w:hAnsi="Verdana"/>
          <w:i/>
          <w:iCs/>
          <w:color w:val="1F1F1F"/>
          <w:sz w:val="22"/>
          <w:szCs w:val="22"/>
        </w:rPr>
        <w:t>“(...)</w:t>
      </w:r>
    </w:p>
    <w:p w14:paraId="712DC1E7" w14:textId="5C42F616" w:rsidR="007A51C0" w:rsidRPr="007A51C0" w:rsidRDefault="007A51C0" w:rsidP="007A51C0">
      <w:pPr>
        <w:pStyle w:val="NormalWeb"/>
        <w:spacing w:after="0"/>
        <w:jc w:val="both"/>
        <w:rPr>
          <w:rFonts w:ascii="Verdana" w:hAnsi="Verdana"/>
          <w:i/>
          <w:iCs/>
          <w:color w:val="1F1F1F"/>
          <w:sz w:val="22"/>
          <w:szCs w:val="22"/>
        </w:rPr>
      </w:pPr>
      <w:r w:rsidRPr="007A51C0">
        <w:rPr>
          <w:rFonts w:ascii="Verdana" w:hAnsi="Verdana"/>
          <w:i/>
          <w:iCs/>
          <w:color w:val="1F1F1F"/>
          <w:sz w:val="22"/>
          <w:szCs w:val="22"/>
        </w:rPr>
        <w:t xml:space="preserve">ARTÍCULO 7. Actividades Sujetas a Licenciamiento Ambiental. Los proyectos, obras o actividades que a la entrada en vigencia del presente Acuerdo no cuenten con licencia ambiental o demás instrumentos de manejo y control ambiental, especialmente los relativos a minería e hidrocarburos, quedarán sujetos a las restricciones que en virtud de los alcances del Distrito de Manejo Integrado que se declara, puedan llegar a determinarse por parte de la Corporación Autónoma Regional del Centro de Antioquia – CORANTIOQUIA. </w:t>
      </w:r>
    </w:p>
    <w:p w14:paraId="35867C7E" w14:textId="2BBCA13D" w:rsidR="007A51C0" w:rsidRDefault="007A51C0" w:rsidP="007A51C0">
      <w:pPr>
        <w:pStyle w:val="NormalWeb"/>
        <w:spacing w:after="0"/>
        <w:jc w:val="both"/>
        <w:rPr>
          <w:rFonts w:ascii="Verdana" w:hAnsi="Verdana"/>
          <w:i/>
          <w:iCs/>
          <w:color w:val="1F1F1F"/>
          <w:sz w:val="22"/>
          <w:szCs w:val="22"/>
        </w:rPr>
      </w:pPr>
      <w:r w:rsidRPr="007A51C0">
        <w:rPr>
          <w:rFonts w:ascii="Verdana" w:hAnsi="Verdana"/>
          <w:i/>
          <w:iCs/>
          <w:color w:val="1F1F1F"/>
          <w:sz w:val="22"/>
          <w:szCs w:val="22"/>
        </w:rPr>
        <w:t xml:space="preserve">PARÁGRAFO 1. Para los casos de los proyectos de formalización minera identificados en el documento técnico jurídico, se deberán evaluar a la luz del parágrafo 3 del artículo 6º de la presente providencia, dentro de su instrumento ambiental, para determinar la pertinencia o no de la actividad. </w:t>
      </w:r>
    </w:p>
    <w:p w14:paraId="7E825FDF" w14:textId="54846374" w:rsidR="00875068" w:rsidRDefault="00875068" w:rsidP="007A51C0">
      <w:pPr>
        <w:pStyle w:val="NormalWeb"/>
        <w:spacing w:after="0"/>
        <w:jc w:val="both"/>
        <w:rPr>
          <w:rFonts w:ascii="Verdana" w:hAnsi="Verdana"/>
          <w:i/>
          <w:iCs/>
          <w:color w:val="1F1F1F"/>
          <w:sz w:val="22"/>
          <w:szCs w:val="22"/>
        </w:rPr>
      </w:pPr>
      <w:r w:rsidRPr="00875068">
        <w:rPr>
          <w:rFonts w:ascii="Verdana" w:hAnsi="Verdana"/>
          <w:i/>
          <w:iCs/>
          <w:color w:val="1F1F1F"/>
          <w:sz w:val="22"/>
          <w:szCs w:val="22"/>
        </w:rPr>
        <w:t>PARÁGRAFO 2. Los proyectos, obras o actividades que actualmente cuenten con licencia ambiental y se superpongan con el área declarada como Distrito Regional de Manejo Integrado Bajo Cauca - Nechí, serán objeto de estricto control y seguimiento por parte de la Corporación Autónoma Regional del Centro de Antioquia - CORANTIOQUIA, hasta tanto se establezcan las restricciones que defina el Plan de Manejo del área protegida, en el cual quedará determinada la zonificación y usos.</w:t>
      </w:r>
    </w:p>
    <w:p w14:paraId="3544336E" w14:textId="47918ACC" w:rsidR="007A51C0" w:rsidRPr="007A51C0" w:rsidRDefault="007A51C0" w:rsidP="007A51C0">
      <w:pPr>
        <w:pStyle w:val="NormalWeb"/>
        <w:spacing w:after="0"/>
        <w:jc w:val="both"/>
        <w:rPr>
          <w:rFonts w:ascii="Verdana" w:hAnsi="Verdana"/>
          <w:i/>
          <w:iCs/>
          <w:color w:val="1F1F1F"/>
          <w:sz w:val="22"/>
          <w:szCs w:val="22"/>
        </w:rPr>
      </w:pPr>
      <w:r w:rsidRPr="007A51C0">
        <w:rPr>
          <w:rFonts w:ascii="Verdana" w:hAnsi="Verdana"/>
          <w:i/>
          <w:iCs/>
          <w:color w:val="1F1F1F"/>
          <w:sz w:val="22"/>
          <w:szCs w:val="22"/>
        </w:rPr>
        <w:t>(…)”</w:t>
      </w:r>
    </w:p>
    <w:p w14:paraId="63643944" w14:textId="73CFDE23" w:rsidR="00875068" w:rsidRDefault="00875068" w:rsidP="007A51C0">
      <w:pPr>
        <w:pStyle w:val="NormalWeb"/>
        <w:numPr>
          <w:ilvl w:val="0"/>
          <w:numId w:val="8"/>
        </w:numPr>
        <w:spacing w:after="0" w:afterAutospacing="0"/>
        <w:ind w:left="0"/>
        <w:jc w:val="both"/>
        <w:rPr>
          <w:rFonts w:ascii="Verdana" w:hAnsi="Verdana"/>
          <w:color w:val="1F1F1F"/>
          <w:sz w:val="22"/>
          <w:szCs w:val="22"/>
        </w:rPr>
      </w:pPr>
      <w:r>
        <w:rPr>
          <w:rFonts w:ascii="Verdana" w:hAnsi="Verdana"/>
          <w:color w:val="1F1F1F"/>
          <w:sz w:val="22"/>
          <w:szCs w:val="22"/>
        </w:rPr>
        <w:t>En lo que respecta a las determinantes ambientales del área, el Acuerdo dispone lo siguiente:</w:t>
      </w:r>
    </w:p>
    <w:p w14:paraId="1DCBCB99" w14:textId="77777777" w:rsidR="00875068" w:rsidRDefault="00875068" w:rsidP="00875068">
      <w:pPr>
        <w:autoSpaceDE w:val="0"/>
        <w:autoSpaceDN w:val="0"/>
        <w:adjustRightInd w:val="0"/>
        <w:spacing w:after="0" w:line="240" w:lineRule="auto"/>
        <w:jc w:val="both"/>
        <w:rPr>
          <w:rFonts w:ascii="Arial" w:hAnsi="Arial" w:cs="Arial"/>
          <w:i/>
          <w:iCs/>
          <w:color w:val="0D0D0D"/>
          <w:kern w:val="0"/>
          <w:sz w:val="23"/>
          <w:szCs w:val="23"/>
        </w:rPr>
      </w:pPr>
    </w:p>
    <w:p w14:paraId="1345E8E7" w14:textId="59C39E68" w:rsidR="00875068" w:rsidRDefault="00875068" w:rsidP="00875068">
      <w:pPr>
        <w:autoSpaceDE w:val="0"/>
        <w:autoSpaceDN w:val="0"/>
        <w:adjustRightInd w:val="0"/>
        <w:spacing w:after="0" w:line="240" w:lineRule="auto"/>
        <w:jc w:val="both"/>
        <w:rPr>
          <w:rFonts w:ascii="Verdana" w:eastAsia="Times New Roman" w:hAnsi="Verdana" w:cs="Times New Roman"/>
          <w:i/>
          <w:iCs/>
          <w:color w:val="1F1F1F"/>
          <w:kern w:val="0"/>
          <w:lang w:eastAsia="es-CO"/>
          <w14:ligatures w14:val="none"/>
        </w:rPr>
      </w:pPr>
      <w:r w:rsidRPr="00875068">
        <w:rPr>
          <w:rFonts w:ascii="Verdana" w:eastAsia="Times New Roman" w:hAnsi="Verdana" w:cs="Times New Roman"/>
          <w:i/>
          <w:iCs/>
          <w:color w:val="1F1F1F"/>
          <w:kern w:val="0"/>
          <w:lang w:eastAsia="es-CO"/>
          <w14:ligatures w14:val="none"/>
        </w:rPr>
        <w:t>“(…)</w:t>
      </w:r>
    </w:p>
    <w:p w14:paraId="40A0F0AB" w14:textId="77777777" w:rsidR="00875068" w:rsidRPr="00875068" w:rsidRDefault="00875068" w:rsidP="00875068">
      <w:pPr>
        <w:autoSpaceDE w:val="0"/>
        <w:autoSpaceDN w:val="0"/>
        <w:adjustRightInd w:val="0"/>
        <w:spacing w:after="0" w:line="240" w:lineRule="auto"/>
        <w:jc w:val="both"/>
        <w:rPr>
          <w:rFonts w:ascii="Verdana" w:eastAsia="Times New Roman" w:hAnsi="Verdana" w:cs="Times New Roman"/>
          <w:i/>
          <w:iCs/>
          <w:color w:val="1F1F1F"/>
          <w:kern w:val="0"/>
          <w:lang w:eastAsia="es-CO"/>
          <w14:ligatures w14:val="none"/>
        </w:rPr>
      </w:pPr>
    </w:p>
    <w:p w14:paraId="5EF5BAC0" w14:textId="6B7E0D65" w:rsidR="00875068" w:rsidRPr="00875068" w:rsidRDefault="00875068" w:rsidP="00875068">
      <w:pPr>
        <w:autoSpaceDE w:val="0"/>
        <w:autoSpaceDN w:val="0"/>
        <w:adjustRightInd w:val="0"/>
        <w:spacing w:after="0" w:line="240" w:lineRule="auto"/>
        <w:jc w:val="both"/>
        <w:rPr>
          <w:rFonts w:ascii="Verdana" w:eastAsia="Times New Roman" w:hAnsi="Verdana" w:cs="Times New Roman"/>
          <w:i/>
          <w:iCs/>
          <w:color w:val="1F1F1F"/>
          <w:kern w:val="0"/>
          <w:lang w:eastAsia="es-CO"/>
          <w14:ligatures w14:val="none"/>
        </w:rPr>
      </w:pPr>
      <w:r w:rsidRPr="00875068">
        <w:rPr>
          <w:rFonts w:ascii="Verdana" w:eastAsia="Times New Roman" w:hAnsi="Verdana" w:cs="Times New Roman"/>
          <w:i/>
          <w:iCs/>
          <w:color w:val="1F1F1F"/>
          <w:kern w:val="0"/>
          <w:lang w:eastAsia="es-CO"/>
          <w14:ligatures w14:val="none"/>
        </w:rPr>
        <w:t xml:space="preserve">ARTICULO 8. Determinantes Ambientales. La declaratoria, reserva, delimitación y alinderación realizada mediante el presente Acuerdo, se constituye en determinante ambiental, y por lo tanto, norma de superior jerarquía que no puede ser desconocida, contrariada o modificada en la elaboración, revisión y ajuste y/o modificación de los Esquemas de Ordenamiento Territorial, Planes Básicos de Ordenamiento Territorial y Planes de Ordenamiento Territorial de los municipio de Anorí, Cáceres y Zaragoza, de conformidad con lo dispuesto en el artículo 2.2.2.1.2.10 del Decreto 1076 de 2015 y el artículo 10 numeral 1 inciso b) de la Ley 388 de 1997. </w:t>
      </w:r>
    </w:p>
    <w:p w14:paraId="5DD4C304" w14:textId="77777777" w:rsidR="00875068" w:rsidRPr="00875068" w:rsidRDefault="00875068" w:rsidP="00875068">
      <w:pPr>
        <w:autoSpaceDE w:val="0"/>
        <w:autoSpaceDN w:val="0"/>
        <w:adjustRightInd w:val="0"/>
        <w:spacing w:after="0" w:line="240" w:lineRule="auto"/>
        <w:jc w:val="both"/>
        <w:rPr>
          <w:rFonts w:ascii="Verdana" w:eastAsia="Times New Roman" w:hAnsi="Verdana" w:cs="Times New Roman"/>
          <w:i/>
          <w:iCs/>
          <w:color w:val="1F1F1F"/>
          <w:kern w:val="0"/>
          <w:lang w:eastAsia="es-CO"/>
          <w14:ligatures w14:val="none"/>
        </w:rPr>
      </w:pPr>
    </w:p>
    <w:p w14:paraId="140A4214" w14:textId="77777777" w:rsidR="00875068" w:rsidRPr="00875068" w:rsidRDefault="00875068" w:rsidP="00875068">
      <w:pPr>
        <w:autoSpaceDE w:val="0"/>
        <w:autoSpaceDN w:val="0"/>
        <w:adjustRightInd w:val="0"/>
        <w:spacing w:after="0" w:line="240" w:lineRule="auto"/>
        <w:jc w:val="both"/>
        <w:rPr>
          <w:rFonts w:ascii="Verdana" w:eastAsia="Times New Roman" w:hAnsi="Verdana" w:cs="Times New Roman"/>
          <w:i/>
          <w:iCs/>
          <w:color w:val="1F1F1F"/>
          <w:kern w:val="0"/>
          <w:lang w:eastAsia="es-CO"/>
          <w14:ligatures w14:val="none"/>
        </w:rPr>
      </w:pPr>
      <w:r w:rsidRPr="00875068">
        <w:rPr>
          <w:rFonts w:ascii="Verdana" w:eastAsia="Times New Roman" w:hAnsi="Verdana" w:cs="Times New Roman"/>
          <w:i/>
          <w:iCs/>
          <w:color w:val="1F1F1F"/>
          <w:kern w:val="0"/>
          <w:lang w:eastAsia="es-CO"/>
          <w14:ligatures w14:val="none"/>
        </w:rPr>
        <w:t xml:space="preserve">PARÁGRAFO 1. Los Entes Territoriales no podrán regular el uso del suelo al interior del área declarada como Distrito Regional de Manejo Integrado Bajo Cauca - Nechí, debiendo respetar en todas sus partes la presente declaratoria, lo establecido en el plan de manejo que se expida, y armonizar los procesos de ordenamiento territorial municipal que se adelanten en el exterior del área protegida, con la protección de ésta. </w:t>
      </w:r>
    </w:p>
    <w:p w14:paraId="759C1AB4" w14:textId="40E32584" w:rsidR="00875068" w:rsidRDefault="00875068" w:rsidP="00875068">
      <w:pPr>
        <w:pStyle w:val="NormalWeb"/>
        <w:spacing w:after="0" w:afterAutospacing="0"/>
        <w:jc w:val="both"/>
        <w:rPr>
          <w:rFonts w:ascii="Verdana" w:hAnsi="Verdana"/>
          <w:i/>
          <w:iCs/>
          <w:color w:val="1F1F1F"/>
          <w:sz w:val="22"/>
          <w:szCs w:val="22"/>
        </w:rPr>
      </w:pPr>
      <w:r w:rsidRPr="00875068">
        <w:rPr>
          <w:rFonts w:ascii="Verdana" w:hAnsi="Verdana"/>
          <w:i/>
          <w:iCs/>
          <w:color w:val="1F1F1F"/>
          <w:sz w:val="22"/>
          <w:szCs w:val="22"/>
        </w:rPr>
        <w:t>PARÁGRAFO 2. Dado que el ordenamiento territorial de la superficie de territorio circunvecina y colindante al Distrito Regional de Manejo Integrado Bajo Cauca - Nechí, debe cumplir una función amortiguadora para dicha área, el ordenamiento territorial que se adopte por los municipios de Anorí, Cáceres y Zaragoza, deberán orientarse a atenuar y prevenir las perturbaciones sobre la misma; contribuir a subsanar alteraciones que se presenten por efecto de las presiones en dicha área, armonizar la ocupación y transformación del territorio con los objetivos de conservación de la misma y a aportar a la conservación de los elementos biofísicos, culturales, servicios ambientales y procesos ecológicos relacionados con el área a declarar, de conformidad con lo dispuesto en el artículo 2.2.2.1.3.10 del Decreto Único Reglamentario del Sector Ambiente y Desarrollo Sostenible 1076 de 2015.</w:t>
      </w:r>
    </w:p>
    <w:p w14:paraId="65231A35" w14:textId="220CA285" w:rsidR="00875068" w:rsidRPr="00875068" w:rsidRDefault="00875068" w:rsidP="00875068">
      <w:pPr>
        <w:pStyle w:val="NormalWeb"/>
        <w:spacing w:after="0" w:afterAutospacing="0"/>
        <w:jc w:val="both"/>
        <w:rPr>
          <w:rFonts w:ascii="Verdana" w:hAnsi="Verdana"/>
          <w:i/>
          <w:iCs/>
          <w:color w:val="1F1F1F"/>
          <w:sz w:val="22"/>
          <w:szCs w:val="22"/>
        </w:rPr>
      </w:pPr>
      <w:r>
        <w:rPr>
          <w:rFonts w:ascii="Verdana" w:hAnsi="Verdana"/>
          <w:i/>
          <w:iCs/>
          <w:color w:val="1F1F1F"/>
          <w:sz w:val="22"/>
          <w:szCs w:val="22"/>
        </w:rPr>
        <w:t>(…)”</w:t>
      </w:r>
    </w:p>
    <w:p w14:paraId="0424C075" w14:textId="23508753" w:rsidR="007A51C0" w:rsidRPr="007A51C0" w:rsidRDefault="007A51C0" w:rsidP="007A51C0">
      <w:pPr>
        <w:pStyle w:val="NormalWeb"/>
        <w:numPr>
          <w:ilvl w:val="0"/>
          <w:numId w:val="8"/>
        </w:numPr>
        <w:spacing w:after="0" w:afterAutospacing="0"/>
        <w:ind w:left="0"/>
        <w:jc w:val="both"/>
        <w:rPr>
          <w:rFonts w:ascii="Verdana" w:hAnsi="Verdana"/>
          <w:color w:val="1F1F1F"/>
          <w:sz w:val="22"/>
          <w:szCs w:val="22"/>
        </w:rPr>
      </w:pPr>
      <w:r>
        <w:rPr>
          <w:rFonts w:ascii="Verdana" w:hAnsi="Verdana"/>
          <w:color w:val="1F1F1F"/>
          <w:sz w:val="22"/>
          <w:szCs w:val="22"/>
          <w:bdr w:val="none" w:sz="0" w:space="0" w:color="auto" w:frame="1"/>
        </w:rPr>
        <w:t xml:space="preserve">En lo que compete a </w:t>
      </w:r>
      <w:r w:rsidRPr="007A51C0">
        <w:rPr>
          <w:rFonts w:ascii="Verdana" w:hAnsi="Verdana"/>
          <w:color w:val="1F1F1F"/>
          <w:sz w:val="22"/>
          <w:szCs w:val="22"/>
          <w:bdr w:val="none" w:sz="0" w:space="0" w:color="auto" w:frame="1"/>
        </w:rPr>
        <w:t xml:space="preserve">las condiciones de sustracción en el área protegida </w:t>
      </w:r>
      <w:r>
        <w:rPr>
          <w:rFonts w:ascii="Verdana" w:hAnsi="Verdana"/>
          <w:color w:val="1F1F1F"/>
          <w:sz w:val="22"/>
          <w:szCs w:val="22"/>
          <w:bdr w:val="none" w:sz="0" w:space="0" w:color="auto" w:frame="1"/>
        </w:rPr>
        <w:t>el Acuerdo señala:</w:t>
      </w:r>
    </w:p>
    <w:p w14:paraId="6B745FF1" w14:textId="2E82B2FE" w:rsidR="007A51C0" w:rsidRPr="007A51C0" w:rsidRDefault="007A51C0" w:rsidP="007A51C0">
      <w:pPr>
        <w:pStyle w:val="NormalWeb"/>
        <w:spacing w:after="0"/>
        <w:jc w:val="both"/>
        <w:rPr>
          <w:rFonts w:ascii="Verdana" w:hAnsi="Verdana"/>
          <w:i/>
          <w:iCs/>
          <w:color w:val="1F1F1F"/>
          <w:sz w:val="22"/>
          <w:szCs w:val="22"/>
          <w:bdr w:val="none" w:sz="0" w:space="0" w:color="auto" w:frame="1"/>
        </w:rPr>
      </w:pPr>
      <w:r w:rsidRPr="007A51C0">
        <w:rPr>
          <w:rFonts w:ascii="Verdana" w:hAnsi="Verdana"/>
          <w:i/>
          <w:iCs/>
          <w:color w:val="1F1F1F"/>
          <w:sz w:val="22"/>
          <w:szCs w:val="22"/>
          <w:bdr w:val="none" w:sz="0" w:space="0" w:color="auto" w:frame="1"/>
        </w:rPr>
        <w:t xml:space="preserve"> “(...)</w:t>
      </w:r>
    </w:p>
    <w:p w14:paraId="15C527B8" w14:textId="77777777" w:rsidR="007A51C0" w:rsidRDefault="007A51C0" w:rsidP="007A51C0">
      <w:pPr>
        <w:pStyle w:val="NormalWeb"/>
        <w:spacing w:after="0"/>
        <w:jc w:val="both"/>
        <w:rPr>
          <w:rFonts w:ascii="Verdana" w:hAnsi="Verdana"/>
          <w:i/>
          <w:iCs/>
          <w:color w:val="1F1F1F"/>
          <w:sz w:val="22"/>
          <w:szCs w:val="22"/>
          <w:bdr w:val="none" w:sz="0" w:space="0" w:color="auto" w:frame="1"/>
        </w:rPr>
      </w:pPr>
      <w:r w:rsidRPr="007A51C0">
        <w:rPr>
          <w:rFonts w:ascii="Verdana" w:hAnsi="Verdana"/>
          <w:i/>
          <w:iCs/>
          <w:color w:val="1F1F1F"/>
          <w:sz w:val="22"/>
          <w:szCs w:val="22"/>
          <w:bdr w:val="none" w:sz="0" w:space="0" w:color="auto" w:frame="1"/>
        </w:rPr>
        <w:t xml:space="preserve">ARTÍCULO 11. Sustracción. Si por motivos de utilidad pública o interés social, se proyectan desarrollar usos y actividades no permitidas al interior del Distrito Regional de Manejo Integrado Bajo Cauca – Nechí, se deberá adelantar el trámite de sustracción de área de conformidad con la normatividad vigente, y el Acuerdo del consejo directivo de CORANTIOQUIA No.180- ACU2003-578 del 16 de marzo de 2016, o la norma que lo modifique o derogue. </w:t>
      </w:r>
    </w:p>
    <w:p w14:paraId="0FDD6CFE" w14:textId="4C0C7A85" w:rsidR="007A51C0" w:rsidRPr="007A51C0" w:rsidRDefault="007A51C0" w:rsidP="007A51C0">
      <w:pPr>
        <w:pStyle w:val="NormalWeb"/>
        <w:spacing w:after="0"/>
        <w:jc w:val="both"/>
        <w:rPr>
          <w:rFonts w:ascii="Verdana" w:hAnsi="Verdana"/>
          <w:i/>
          <w:iCs/>
          <w:color w:val="1F1F1F"/>
          <w:sz w:val="22"/>
          <w:szCs w:val="22"/>
          <w:bdr w:val="none" w:sz="0" w:space="0" w:color="auto" w:frame="1"/>
        </w:rPr>
      </w:pPr>
      <w:r w:rsidRPr="007A51C0">
        <w:rPr>
          <w:rFonts w:ascii="Verdana" w:hAnsi="Verdana"/>
          <w:i/>
          <w:iCs/>
          <w:color w:val="1F1F1F"/>
          <w:sz w:val="22"/>
          <w:szCs w:val="22"/>
          <w:bdr w:val="none" w:sz="0" w:space="0" w:color="auto" w:frame="1"/>
        </w:rPr>
        <w:t>(…)”</w:t>
      </w:r>
    </w:p>
    <w:p w14:paraId="07F1311D" w14:textId="77777777" w:rsidR="007A51C0" w:rsidRPr="002A486F" w:rsidRDefault="007A51C0" w:rsidP="007A51C0">
      <w:pPr>
        <w:pStyle w:val="NormalWeb"/>
        <w:spacing w:after="0" w:afterAutospacing="0"/>
        <w:jc w:val="both"/>
        <w:rPr>
          <w:rFonts w:ascii="Verdana" w:hAnsi="Verdana"/>
          <w:color w:val="1F1F1F"/>
          <w:sz w:val="22"/>
          <w:szCs w:val="22"/>
        </w:rPr>
      </w:pPr>
    </w:p>
    <w:p w14:paraId="6B1F48EE" w14:textId="6BA35831" w:rsidR="00A23228" w:rsidRDefault="002A486F" w:rsidP="00A23228">
      <w:pPr>
        <w:pStyle w:val="Ttulo2"/>
        <w:jc w:val="both"/>
        <w:rPr>
          <w:rFonts w:ascii="Verdana" w:hAnsi="Verdana"/>
          <w:b/>
          <w:bCs/>
          <w:color w:val="1F1F1F"/>
          <w:sz w:val="22"/>
          <w:szCs w:val="22"/>
        </w:rPr>
      </w:pPr>
      <w:r w:rsidRPr="00671940">
        <w:rPr>
          <w:rFonts w:ascii="Verdana" w:hAnsi="Verdana"/>
          <w:b/>
          <w:bCs/>
          <w:color w:val="1F1F1F"/>
          <w:sz w:val="22"/>
          <w:szCs w:val="22"/>
        </w:rPr>
        <w:t xml:space="preserve">3. </w:t>
      </w:r>
      <w:r w:rsidR="0001473B">
        <w:rPr>
          <w:rFonts w:ascii="Verdana" w:hAnsi="Verdana"/>
          <w:b/>
          <w:bCs/>
          <w:color w:val="1F1F1F"/>
          <w:sz w:val="22"/>
          <w:szCs w:val="22"/>
        </w:rPr>
        <w:t>CONTEXTO</w:t>
      </w:r>
      <w:r w:rsidRPr="00671940">
        <w:rPr>
          <w:rFonts w:ascii="Verdana" w:hAnsi="Verdana"/>
          <w:b/>
          <w:bCs/>
          <w:color w:val="1F1F1F"/>
          <w:sz w:val="22"/>
          <w:szCs w:val="22"/>
        </w:rPr>
        <w:t xml:space="preserve"> BIOFÍSICO Y SOCIOECONÓMICO</w:t>
      </w:r>
      <w:r w:rsidR="001B2CB1" w:rsidRPr="00671940">
        <w:rPr>
          <w:rFonts w:ascii="Verdana" w:hAnsi="Verdana"/>
          <w:b/>
          <w:bCs/>
          <w:color w:val="1F1F1F"/>
          <w:sz w:val="22"/>
          <w:szCs w:val="22"/>
        </w:rPr>
        <w:t xml:space="preserve"> </w:t>
      </w:r>
      <w:r w:rsidR="0001473B">
        <w:rPr>
          <w:rFonts w:ascii="Verdana" w:hAnsi="Verdana"/>
          <w:b/>
          <w:bCs/>
          <w:color w:val="1F1F1F"/>
          <w:sz w:val="22"/>
          <w:szCs w:val="22"/>
        </w:rPr>
        <w:t>DEL DRMI BAJO CAUCA NECHÍ</w:t>
      </w:r>
    </w:p>
    <w:p w14:paraId="747B3F71" w14:textId="373DC4C4" w:rsidR="00A23228" w:rsidRDefault="00A23228" w:rsidP="00A23228"/>
    <w:p w14:paraId="57B270A3" w14:textId="39426F90" w:rsidR="00A23228" w:rsidRPr="00130FD1" w:rsidRDefault="00A23228" w:rsidP="00130FD1">
      <w:pPr>
        <w:jc w:val="both"/>
        <w:rPr>
          <w:rFonts w:ascii="Verdana" w:hAnsi="Verdana"/>
        </w:rPr>
      </w:pPr>
      <w:r w:rsidRPr="00130FD1">
        <w:rPr>
          <w:rFonts w:ascii="Verdana" w:hAnsi="Verdana"/>
        </w:rPr>
        <w:t>El Distrito Regional de Manejo Integrado Bajo Cauca – Nechí fue declarado mediante el Acuerdo 675 de CORANTIOQUIA, con una extensión total de 75.</w:t>
      </w:r>
      <w:r w:rsidR="00130FD1" w:rsidRPr="00130FD1">
        <w:rPr>
          <w:rFonts w:ascii="Verdana" w:hAnsi="Verdana"/>
        </w:rPr>
        <w:t>759</w:t>
      </w:r>
      <w:r w:rsidRPr="00130FD1">
        <w:rPr>
          <w:rFonts w:ascii="Verdana" w:hAnsi="Verdana"/>
        </w:rPr>
        <w:t>,</w:t>
      </w:r>
      <w:r w:rsidR="00130FD1" w:rsidRPr="00130FD1">
        <w:rPr>
          <w:rFonts w:ascii="Verdana" w:hAnsi="Verdana"/>
        </w:rPr>
        <w:t>95</w:t>
      </w:r>
      <w:r w:rsidRPr="00130FD1">
        <w:rPr>
          <w:rFonts w:ascii="Verdana" w:hAnsi="Verdana"/>
        </w:rPr>
        <w:t xml:space="preserve"> hectáreas </w:t>
      </w:r>
      <w:r w:rsidR="00130FD1" w:rsidRPr="00130FD1">
        <w:rPr>
          <w:rFonts w:ascii="Verdana" w:hAnsi="Verdana"/>
        </w:rPr>
        <w:t xml:space="preserve">bajo el </w:t>
      </w:r>
      <w:r w:rsidR="00130FD1" w:rsidRPr="00130FD1">
        <w:rPr>
          <w:rFonts w:ascii="Verdana" w:hAnsi="Verdana" w:cs="Arial"/>
          <w:lang w:val="es-ES"/>
        </w:rPr>
        <w:t>sistema de referencia horizontal MAGNA-SIRGAS Origen Nacional</w:t>
      </w:r>
      <w:r w:rsidR="00130FD1" w:rsidRPr="00130FD1">
        <w:rPr>
          <w:rFonts w:ascii="Verdana" w:hAnsi="Verdana"/>
        </w:rPr>
        <w:t xml:space="preserve">, </w:t>
      </w:r>
      <w:r w:rsidRPr="00130FD1">
        <w:rPr>
          <w:rFonts w:ascii="Verdana" w:hAnsi="Verdana"/>
        </w:rPr>
        <w:t xml:space="preserve">que se distribuyen en jurisdicción de los municipios de Cáceres, Anorí y Zaragoza, en el departamento de Antioquia. </w:t>
      </w:r>
      <w:r w:rsidR="00437E57">
        <w:rPr>
          <w:rFonts w:ascii="Verdana" w:hAnsi="Verdana"/>
        </w:rPr>
        <w:t xml:space="preserve">Estos </w:t>
      </w:r>
      <w:r w:rsidR="00130FD1" w:rsidRPr="00437E57">
        <w:rPr>
          <w:rFonts w:ascii="Verdana" w:hAnsi="Verdana"/>
        </w:rPr>
        <w:t>territorios articulan ecosistemas estratégicos con una fuerte presencia de comunidades campesinas, afrodescendientes e indígena</w:t>
      </w:r>
      <w:r w:rsidR="00437E57">
        <w:rPr>
          <w:rFonts w:ascii="Verdana" w:hAnsi="Verdana"/>
        </w:rPr>
        <w:t xml:space="preserve">s, </w:t>
      </w:r>
      <w:r w:rsidR="00130FD1" w:rsidRPr="00437E57">
        <w:rPr>
          <w:rFonts w:ascii="Verdana" w:hAnsi="Verdana"/>
        </w:rPr>
        <w:t>los cuales representan no solo unidades geográficas, sino también espacios de vida, producción y organización comunitaria.</w:t>
      </w:r>
    </w:p>
    <w:p w14:paraId="03E6E6C3" w14:textId="098F3CDC" w:rsidR="00A23228" w:rsidRDefault="00A23228" w:rsidP="00A23228">
      <w:pPr>
        <w:pStyle w:val="NormalWeb"/>
        <w:spacing w:after="0" w:afterAutospacing="0"/>
        <w:jc w:val="center"/>
        <w:rPr>
          <w:rFonts w:ascii="Verdana" w:hAnsi="Verdana"/>
          <w:color w:val="1F1F1F"/>
          <w:sz w:val="22"/>
          <w:szCs w:val="22"/>
        </w:rPr>
      </w:pPr>
      <w:r w:rsidRPr="00A23228">
        <w:rPr>
          <w:rFonts w:ascii="Verdana" w:hAnsi="Verdana"/>
          <w:noProof/>
          <w:color w:val="1F1F1F"/>
          <w:sz w:val="22"/>
          <w:szCs w:val="22"/>
        </w:rPr>
        <w:drawing>
          <wp:inline distT="0" distB="0" distL="0" distR="0" wp14:anchorId="571E6EC8" wp14:editId="37BD138A">
            <wp:extent cx="5612130" cy="4039870"/>
            <wp:effectExtent l="0" t="0" r="7620" b="0"/>
            <wp:docPr id="23" name="Imagen 23" descr="Map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5612130" cy="4039870"/>
                    </a:xfrm>
                    <a:prstGeom prst="rect">
                      <a:avLst/>
                    </a:prstGeom>
                  </pic:spPr>
                </pic:pic>
              </a:graphicData>
            </a:graphic>
          </wp:inline>
        </w:drawing>
      </w:r>
    </w:p>
    <w:p w14:paraId="3B73327E" w14:textId="5A71C379" w:rsidR="006245F9" w:rsidRDefault="006245F9" w:rsidP="006245F9">
      <w:pPr>
        <w:pStyle w:val="NormalWeb"/>
        <w:spacing w:before="0" w:beforeAutospacing="0" w:after="0" w:afterAutospacing="0"/>
        <w:jc w:val="center"/>
        <w:rPr>
          <w:rFonts w:ascii="Verdana" w:hAnsi="Verdana"/>
          <w:color w:val="1F1F1F"/>
          <w:sz w:val="20"/>
          <w:szCs w:val="20"/>
        </w:rPr>
      </w:pPr>
      <w:r w:rsidRPr="006245F9">
        <w:rPr>
          <w:rFonts w:ascii="Verdana" w:hAnsi="Verdana"/>
          <w:color w:val="1F1F1F"/>
          <w:sz w:val="20"/>
          <w:szCs w:val="20"/>
        </w:rPr>
        <w:t>Polígono 8 DRMI Bajo Cauca Nechí - Resolución 1499 de 2025</w:t>
      </w:r>
    </w:p>
    <w:p w14:paraId="5964CC47" w14:textId="735C9D31" w:rsidR="006245F9" w:rsidRPr="006245F9" w:rsidRDefault="006245F9" w:rsidP="006245F9">
      <w:pPr>
        <w:pStyle w:val="NormalWeb"/>
        <w:spacing w:before="0" w:beforeAutospacing="0" w:after="0" w:afterAutospacing="0"/>
        <w:rPr>
          <w:rFonts w:ascii="Verdana" w:hAnsi="Verdana"/>
          <w:color w:val="1F1F1F"/>
          <w:sz w:val="20"/>
          <w:szCs w:val="20"/>
        </w:rPr>
      </w:pPr>
      <w:r>
        <w:rPr>
          <w:rFonts w:ascii="Verdana" w:hAnsi="Verdana"/>
          <w:color w:val="1F1F1F"/>
          <w:sz w:val="20"/>
          <w:szCs w:val="20"/>
        </w:rPr>
        <w:t>Fuente: Dirección de Bosques, Biodiversidad y Servicios Ecosistémicos – Ministerio de Ambiente y Desarrollo Sostenible</w:t>
      </w:r>
      <w:r w:rsidR="001F5517">
        <w:rPr>
          <w:rFonts w:ascii="Verdana" w:hAnsi="Verdana"/>
          <w:color w:val="1F1F1F"/>
          <w:sz w:val="20"/>
          <w:szCs w:val="20"/>
        </w:rPr>
        <w:t>.</w:t>
      </w:r>
    </w:p>
    <w:p w14:paraId="0685C458" w14:textId="120A97EE" w:rsidR="00F43F24" w:rsidRPr="00C64CF3" w:rsidRDefault="00C64CF3" w:rsidP="00C64CF3">
      <w:pPr>
        <w:pStyle w:val="NormalWeb"/>
        <w:spacing w:after="0" w:afterAutospacing="0"/>
        <w:jc w:val="both"/>
        <w:rPr>
          <w:rFonts w:ascii="Verdana" w:hAnsi="Verdana"/>
          <w:color w:val="1F1F1F"/>
          <w:sz w:val="22"/>
          <w:szCs w:val="22"/>
        </w:rPr>
      </w:pPr>
      <w:r w:rsidRPr="002A486F">
        <w:rPr>
          <w:rFonts w:ascii="Verdana" w:hAnsi="Verdana"/>
          <w:color w:val="1F1F1F"/>
          <w:sz w:val="22"/>
          <w:szCs w:val="22"/>
        </w:rPr>
        <w:t>El diagnóstico preliminar del DRMI expone una realidad compleja caracterizada por una alta presión antrópica histórica, combinada con valores ecosistémicos críticos que requieren un manejo diferenciado</w:t>
      </w:r>
    </w:p>
    <w:p w14:paraId="7FD65796" w14:textId="1A6C2861" w:rsidR="00CA7129" w:rsidRPr="00CA7129" w:rsidRDefault="00CA7129" w:rsidP="00C64CF3">
      <w:pPr>
        <w:spacing w:before="100" w:beforeAutospacing="1" w:after="100" w:afterAutospacing="1" w:line="240" w:lineRule="auto"/>
        <w:jc w:val="both"/>
        <w:rPr>
          <w:rFonts w:ascii="Verdana" w:eastAsia="Times New Roman" w:hAnsi="Verdana" w:cs="Times New Roman"/>
          <w:color w:val="1F1F1F"/>
          <w:kern w:val="0"/>
          <w:lang w:eastAsia="es-CO"/>
          <w14:ligatures w14:val="none"/>
        </w:rPr>
      </w:pPr>
      <w:r w:rsidRPr="00CA7129">
        <w:rPr>
          <w:rFonts w:ascii="Verdana" w:eastAsia="Times New Roman" w:hAnsi="Verdana" w:cs="Times New Roman"/>
          <w:color w:val="1F1F1F"/>
          <w:kern w:val="0"/>
          <w:lang w:eastAsia="es-CO"/>
          <w14:ligatures w14:val="none"/>
        </w:rPr>
        <w:t xml:space="preserve">El componente de diagnóstico del Plan de Manejo del Distrito Regional de Manejo Integrado (DRMI) Bajo Cauca - Nechí </w:t>
      </w:r>
      <w:r w:rsidR="00F43F24" w:rsidRPr="00C64CF3">
        <w:rPr>
          <w:rFonts w:ascii="Verdana" w:eastAsia="Times New Roman" w:hAnsi="Verdana" w:cs="Times New Roman"/>
          <w:color w:val="1F1F1F"/>
          <w:kern w:val="0"/>
          <w:lang w:eastAsia="es-CO"/>
          <w14:ligatures w14:val="none"/>
        </w:rPr>
        <w:t>muestra</w:t>
      </w:r>
      <w:r w:rsidRPr="00CA7129">
        <w:rPr>
          <w:rFonts w:ascii="Verdana" w:eastAsia="Times New Roman" w:hAnsi="Verdana" w:cs="Times New Roman"/>
          <w:color w:val="1F1F1F"/>
          <w:kern w:val="0"/>
          <w:lang w:eastAsia="es-CO"/>
          <w14:ligatures w14:val="none"/>
        </w:rPr>
        <w:t xml:space="preserve"> un análisis multidimensional detallado sobre el estado biofísico, socioeconómico y de gobernanza de</w:t>
      </w:r>
      <w:r w:rsidR="00F43F24" w:rsidRPr="00C64CF3">
        <w:rPr>
          <w:rFonts w:ascii="Verdana" w:eastAsia="Times New Roman" w:hAnsi="Verdana" w:cs="Times New Roman"/>
          <w:color w:val="1F1F1F"/>
          <w:kern w:val="0"/>
          <w:lang w:eastAsia="es-CO"/>
          <w14:ligatures w14:val="none"/>
        </w:rPr>
        <w:t>l</w:t>
      </w:r>
      <w:r w:rsidRPr="00CA7129">
        <w:rPr>
          <w:rFonts w:ascii="Verdana" w:eastAsia="Times New Roman" w:hAnsi="Verdana" w:cs="Times New Roman"/>
          <w:color w:val="1F1F1F"/>
          <w:kern w:val="0"/>
          <w:lang w:eastAsia="es-CO"/>
          <w14:ligatures w14:val="none"/>
        </w:rPr>
        <w:t xml:space="preserve"> área protegida. </w:t>
      </w:r>
      <w:r w:rsidR="00F43F24" w:rsidRPr="00C64CF3">
        <w:rPr>
          <w:rFonts w:ascii="Verdana" w:eastAsia="Times New Roman" w:hAnsi="Verdana" w:cs="Times New Roman"/>
          <w:color w:val="1F1F1F"/>
          <w:kern w:val="0"/>
          <w:lang w:eastAsia="es-CO"/>
          <w14:ligatures w14:val="none"/>
        </w:rPr>
        <w:t>En el área se</w:t>
      </w:r>
      <w:r w:rsidRPr="00CA7129">
        <w:rPr>
          <w:rFonts w:ascii="Verdana" w:eastAsia="Times New Roman" w:hAnsi="Verdana" w:cs="Times New Roman"/>
          <w:color w:val="1F1F1F"/>
          <w:kern w:val="0"/>
          <w:lang w:eastAsia="es-CO"/>
          <w14:ligatures w14:val="none"/>
        </w:rPr>
        <w:t xml:space="preserve"> identifican las principales dinámicas ecológicas y las presiones antrópicas que condicionan la estabilidad del territorio. E</w:t>
      </w:r>
      <w:r w:rsidR="00F43F24" w:rsidRPr="00C64CF3">
        <w:rPr>
          <w:rFonts w:ascii="Verdana" w:eastAsia="Times New Roman" w:hAnsi="Verdana" w:cs="Times New Roman"/>
          <w:color w:val="1F1F1F"/>
          <w:kern w:val="0"/>
          <w:lang w:eastAsia="es-CO"/>
          <w14:ligatures w14:val="none"/>
        </w:rPr>
        <w:t>l</w:t>
      </w:r>
      <w:r w:rsidRPr="00CA7129">
        <w:rPr>
          <w:rFonts w:ascii="Verdana" w:eastAsia="Times New Roman" w:hAnsi="Verdana" w:cs="Times New Roman"/>
          <w:color w:val="1F1F1F"/>
          <w:kern w:val="0"/>
          <w:lang w:eastAsia="es-CO"/>
          <w14:ligatures w14:val="none"/>
        </w:rPr>
        <w:t xml:space="preserve"> diagnóstico preliminar, </w:t>
      </w:r>
      <w:r w:rsidR="00F43F24" w:rsidRPr="00C64CF3">
        <w:rPr>
          <w:rFonts w:ascii="Verdana" w:eastAsia="Times New Roman" w:hAnsi="Verdana" w:cs="Times New Roman"/>
          <w:color w:val="1F1F1F"/>
          <w:kern w:val="0"/>
          <w:lang w:eastAsia="es-CO"/>
          <w14:ligatures w14:val="none"/>
        </w:rPr>
        <w:t>adelantado</w:t>
      </w:r>
      <w:r w:rsidRPr="00CA7129">
        <w:rPr>
          <w:rFonts w:ascii="Verdana" w:eastAsia="Times New Roman" w:hAnsi="Verdana" w:cs="Times New Roman"/>
          <w:color w:val="1F1F1F"/>
          <w:kern w:val="0"/>
          <w:lang w:eastAsia="es-CO"/>
          <w14:ligatures w14:val="none"/>
        </w:rPr>
        <w:t xml:space="preserve"> por la Corporación Interuniversitaria de Servicios en convenio con CORANTIOQUIA, </w:t>
      </w:r>
      <w:r w:rsidR="00F43F24" w:rsidRPr="00C64CF3">
        <w:rPr>
          <w:rFonts w:ascii="Verdana" w:eastAsia="Times New Roman" w:hAnsi="Verdana" w:cs="Times New Roman"/>
          <w:color w:val="1F1F1F"/>
          <w:kern w:val="0"/>
          <w:lang w:eastAsia="es-CO"/>
          <w14:ligatures w14:val="none"/>
        </w:rPr>
        <w:t xml:space="preserve">es una </w:t>
      </w:r>
      <w:r w:rsidRPr="00CA7129">
        <w:rPr>
          <w:rFonts w:ascii="Verdana" w:eastAsia="Times New Roman" w:hAnsi="Verdana" w:cs="Times New Roman"/>
          <w:color w:val="1F1F1F"/>
          <w:kern w:val="0"/>
          <w:lang w:eastAsia="es-CO"/>
          <w14:ligatures w14:val="none"/>
        </w:rPr>
        <w:t>línea base ambiental indispensable para orientar las futuras decisiones de ordenamiento y manejo sostenible de los recursos naturales en la región.</w:t>
      </w:r>
    </w:p>
    <w:p w14:paraId="5CEB0EF3" w14:textId="392C176A" w:rsidR="00CA7129" w:rsidRPr="00CA7129" w:rsidRDefault="00CA7129" w:rsidP="00C64CF3">
      <w:pPr>
        <w:spacing w:before="100" w:beforeAutospacing="1" w:after="100" w:afterAutospacing="1" w:line="240" w:lineRule="auto"/>
        <w:jc w:val="both"/>
        <w:rPr>
          <w:rFonts w:ascii="Verdana" w:eastAsia="Times New Roman" w:hAnsi="Verdana" w:cs="Times New Roman"/>
          <w:color w:val="1F1F1F"/>
          <w:kern w:val="0"/>
          <w:lang w:eastAsia="es-CO"/>
          <w14:ligatures w14:val="none"/>
        </w:rPr>
      </w:pPr>
      <w:r w:rsidRPr="00CA7129">
        <w:rPr>
          <w:rFonts w:ascii="Verdana" w:eastAsia="Times New Roman" w:hAnsi="Verdana" w:cs="Times New Roman"/>
          <w:color w:val="1F1F1F"/>
          <w:kern w:val="0"/>
          <w:lang w:eastAsia="es-CO"/>
          <w14:ligatures w14:val="none"/>
        </w:rPr>
        <w:t xml:space="preserve">En el ámbito biofísico, </w:t>
      </w:r>
      <w:r w:rsidR="00310BAA" w:rsidRPr="00C64CF3">
        <w:rPr>
          <w:rFonts w:ascii="Verdana" w:eastAsia="Times New Roman" w:hAnsi="Verdana" w:cs="Times New Roman"/>
          <w:color w:val="1F1F1F"/>
          <w:kern w:val="0"/>
          <w:lang w:eastAsia="es-CO"/>
          <w14:ligatures w14:val="none"/>
        </w:rPr>
        <w:t>se</w:t>
      </w:r>
      <w:r w:rsidRPr="00CA7129">
        <w:rPr>
          <w:rFonts w:ascii="Verdana" w:eastAsia="Times New Roman" w:hAnsi="Verdana" w:cs="Times New Roman"/>
          <w:color w:val="1F1F1F"/>
          <w:kern w:val="0"/>
          <w:lang w:eastAsia="es-CO"/>
          <w14:ligatures w14:val="none"/>
        </w:rPr>
        <w:t xml:space="preserve"> resalta una marcada fragilidad hidro-sedimentológica y ecosistémica, concentrada especialmente en las dinámicas de las cuencas del río Nechí. La caracterización geosférica expone que, si bien existen zonas bajas y terrazas con una calidad agrológica apta para ciertos aprovechamientos productivos controlados, la estabilidad del suelo y las fuentes hídricas enfrentan amenazas socionaturales críticas. De acuerdo con la evaluación técnica, las presiones por minería extractiva aluvial y la expansión no planificada de la frontera agropecuaria han elevado los niveles de sedimentación y degradación de las matrices boscosas, catalogando a sectores estratégicos del río Nechí bajo una prioridad de atención muy alta debido a su vulnerabilidad ambiental.</w:t>
      </w:r>
    </w:p>
    <w:p w14:paraId="0C4FF9CA" w14:textId="51FBAAA5" w:rsidR="00B833D7" w:rsidRPr="00B833D7" w:rsidRDefault="00B833D7" w:rsidP="00B833D7">
      <w:pPr>
        <w:pStyle w:val="Default"/>
        <w:jc w:val="both"/>
        <w:rPr>
          <w:rFonts w:ascii="Verdana" w:eastAsia="Times New Roman" w:hAnsi="Verdana" w:cs="Times New Roman"/>
          <w:color w:val="1F1F1F"/>
          <w:sz w:val="22"/>
          <w:szCs w:val="22"/>
          <w:lang w:eastAsia="es-CO"/>
          <w14:ligatures w14:val="none"/>
        </w:rPr>
      </w:pPr>
      <w:r w:rsidRPr="00B833D7">
        <w:rPr>
          <w:rFonts w:ascii="Verdana" w:eastAsia="Times New Roman" w:hAnsi="Verdana" w:cs="Times New Roman"/>
          <w:color w:val="1F1F1F"/>
          <w:sz w:val="22"/>
          <w:szCs w:val="22"/>
          <w:lang w:eastAsia="es-CO"/>
          <w14:ligatures w14:val="none"/>
        </w:rPr>
        <w:t xml:space="preserve">En lo que respecta a las licencias mineras y el riesgo de superposición que se presenta con el DRMI, el diagnóstico adelantado por CORANTIOQUIA presenta el siguiente análisis: </w:t>
      </w:r>
    </w:p>
    <w:p w14:paraId="3ECE6BE2" w14:textId="77777777" w:rsidR="00B833D7" w:rsidRPr="00B833D7" w:rsidRDefault="00B833D7" w:rsidP="00B833D7">
      <w:pPr>
        <w:pStyle w:val="Default"/>
        <w:jc w:val="both"/>
        <w:rPr>
          <w:rFonts w:ascii="Verdana" w:eastAsia="Times New Roman" w:hAnsi="Verdana" w:cs="Times New Roman"/>
          <w:color w:val="1F1F1F"/>
          <w:sz w:val="22"/>
          <w:szCs w:val="22"/>
          <w:lang w:eastAsia="es-CO"/>
          <w14:ligatures w14:val="none"/>
        </w:rPr>
      </w:pPr>
    </w:p>
    <w:p w14:paraId="63F0DA9E" w14:textId="0AAC7AE5" w:rsidR="00B833D7" w:rsidRPr="00B833D7" w:rsidRDefault="00B833D7" w:rsidP="00B833D7">
      <w:pPr>
        <w:pStyle w:val="Default"/>
        <w:jc w:val="both"/>
        <w:rPr>
          <w:rFonts w:ascii="Verdana" w:eastAsia="Times New Roman" w:hAnsi="Verdana" w:cs="Times New Roman"/>
          <w:i/>
          <w:iCs/>
          <w:color w:val="1F1F1F"/>
          <w:sz w:val="22"/>
          <w:szCs w:val="22"/>
          <w:lang w:eastAsia="es-CO"/>
          <w14:ligatures w14:val="none"/>
        </w:rPr>
      </w:pPr>
      <w:r w:rsidRPr="00B833D7">
        <w:rPr>
          <w:rFonts w:ascii="Verdana" w:eastAsia="Times New Roman" w:hAnsi="Verdana" w:cs="Times New Roman"/>
          <w:i/>
          <w:iCs/>
          <w:color w:val="1F1F1F"/>
          <w:sz w:val="22"/>
          <w:szCs w:val="22"/>
          <w:lang w:eastAsia="es-CO"/>
          <w14:ligatures w14:val="none"/>
        </w:rPr>
        <w:t xml:space="preserve">“De conformidad con la información obtenida del Catastro Minero Colombiano y la verificación cartográfica realizada por el componente SIG (Figura 64), se identificaron quince (15) títulos mineros vigentes con superposición total o parcial sobre el área del Distrito Regional de Manejo Integrado Bajo Cauca – Nechí, así como cuatro (4) subcontratos de formalización minera derivados de títulos principales. La totalidad de los títulos se encuentran en etapa de explotación y tienen como mineral principal el oro, lo que evidencia la vocación aurífera del territorio y la presión extractiva que se ejerce sobre el área protegida. </w:t>
      </w:r>
    </w:p>
    <w:p w14:paraId="15F35193" w14:textId="77777777" w:rsidR="00B833D7" w:rsidRPr="00B833D7" w:rsidRDefault="00B833D7" w:rsidP="00B833D7">
      <w:pPr>
        <w:pStyle w:val="Default"/>
        <w:jc w:val="both"/>
        <w:rPr>
          <w:rFonts w:ascii="Verdana" w:eastAsia="Times New Roman" w:hAnsi="Verdana" w:cs="Times New Roman"/>
          <w:i/>
          <w:iCs/>
          <w:color w:val="1F1F1F"/>
          <w:sz w:val="22"/>
          <w:szCs w:val="22"/>
          <w:lang w:eastAsia="es-CO"/>
          <w14:ligatures w14:val="none"/>
        </w:rPr>
      </w:pPr>
    </w:p>
    <w:p w14:paraId="29FFDCC1" w14:textId="328D3897" w:rsidR="00B833D7" w:rsidRPr="00B833D7" w:rsidRDefault="00B833D7" w:rsidP="00B833D7">
      <w:pPr>
        <w:jc w:val="both"/>
        <w:rPr>
          <w:rFonts w:ascii="Verdana" w:hAnsi="Verdana"/>
          <w:i/>
          <w:iCs/>
        </w:rPr>
      </w:pPr>
      <w:r w:rsidRPr="00B833D7">
        <w:rPr>
          <w:rFonts w:ascii="Verdana" w:hAnsi="Verdana"/>
          <w:i/>
          <w:iCs/>
        </w:rPr>
        <w:t xml:space="preserve">En cuanto a la distribución por modalidad, diez (10) de los títulos corresponden a Contratos de Concesión otorgados bajo la Ley 685 de 2001 (Código de Minas), un (1) título corresponde a un Permiso minero, y cuatro (4) títulos corresponden a Reconocimientos de Propiedad Privada. Estos últimos, identificados con los códigos R220C11, R220D11, R220E11 y R220F11, se encuentran a nombre de World Mining Corporation, abarcan conjuntamente un área aproximada de 3.657,53 hectáreas y se localizan en jurisdicción de los municipios de Anorí, Cáceres y Zaragoza, constituyendo los títulos de mayor extensión dentro del DRMI. </w:t>
      </w:r>
    </w:p>
    <w:p w14:paraId="20584451" w14:textId="77777777" w:rsidR="00B833D7" w:rsidRPr="00B833D7" w:rsidRDefault="00B833D7" w:rsidP="007E0A45">
      <w:pPr>
        <w:spacing w:after="0"/>
        <w:jc w:val="both"/>
        <w:rPr>
          <w:rFonts w:ascii="Verdana" w:hAnsi="Verdana"/>
          <w:i/>
          <w:iCs/>
        </w:rPr>
      </w:pPr>
      <w:r w:rsidRPr="00B833D7">
        <w:rPr>
          <w:rFonts w:ascii="Verdana" w:hAnsi="Verdana"/>
          <w:i/>
          <w:iCs/>
        </w:rPr>
        <w:t xml:space="preserve">Respecto a la clasificación por tamaño, ocho (8) títulos se clasifican como minería mediana, dos (2) como pequeña minería, y los cinco (5) restantes no cuentan con clasificación registrada en el sistema o corresponden a las modalidades de Permiso y Reconocimiento de Propiedad Privada. El área total amparada por los títulos vigentes asciende aproximadamente a 10.201,62 hectáreas, lo que representa cerca del 13,5% de la extensión total del DRMI (75.802,79 ha), una cifra que resulta significativa para la planificación del régimen de usos y la zonificación ambiental del área protegida. </w:t>
      </w:r>
    </w:p>
    <w:p w14:paraId="57C4AD88" w14:textId="754189B3" w:rsidR="00B833D7" w:rsidRPr="00B833D7" w:rsidRDefault="00B833D7" w:rsidP="007E0A45">
      <w:pPr>
        <w:pStyle w:val="Default"/>
        <w:jc w:val="both"/>
        <w:rPr>
          <w:rFonts w:ascii="Verdana" w:eastAsia="Times New Roman" w:hAnsi="Verdana" w:cs="Times New Roman"/>
          <w:i/>
          <w:iCs/>
          <w:color w:val="1F1F1F"/>
          <w:sz w:val="22"/>
          <w:szCs w:val="22"/>
          <w:lang w:eastAsia="es-CO"/>
          <w14:ligatures w14:val="none"/>
        </w:rPr>
      </w:pPr>
    </w:p>
    <w:p w14:paraId="157701E8" w14:textId="6E4C93A8" w:rsidR="00B833D7" w:rsidRPr="00B833D7" w:rsidRDefault="00B833D7" w:rsidP="007E0A45">
      <w:pPr>
        <w:pStyle w:val="Default"/>
        <w:jc w:val="both"/>
        <w:rPr>
          <w:rFonts w:ascii="Verdana" w:eastAsia="Times New Roman" w:hAnsi="Verdana" w:cs="Times New Roman"/>
          <w:i/>
          <w:iCs/>
          <w:color w:val="1F1F1F"/>
          <w:sz w:val="22"/>
          <w:szCs w:val="22"/>
          <w:lang w:eastAsia="es-CO"/>
          <w14:ligatures w14:val="none"/>
        </w:rPr>
      </w:pPr>
      <w:r w:rsidRPr="00B833D7">
        <w:rPr>
          <w:rFonts w:ascii="Verdana" w:eastAsia="Times New Roman" w:hAnsi="Verdana" w:cs="Times New Roman"/>
          <w:i/>
          <w:iCs/>
          <w:color w:val="1F1F1F"/>
          <w:sz w:val="22"/>
          <w:szCs w:val="22"/>
          <w:lang w:eastAsia="es-CO"/>
          <w14:ligatures w14:val="none"/>
        </w:rPr>
        <w:t xml:space="preserve">En términos de localización municipal, la mayor concentración de títulos se presenta en el municipio de Cáceres, donde se registran la totalidad de los contratos de concesión y el permiso minero, seguido de las áreas limítrofes entre Cáceres, Anorí y Zaragoza, donde se ubican los reconocimientos de propiedad privada. Esta concentración coincide con las zonas históricas de actividad aurífera aluvial y de veta en la cuenca del río Nechí y sus tributarios. </w:t>
      </w:r>
    </w:p>
    <w:p w14:paraId="0AC98926" w14:textId="77777777" w:rsidR="00B833D7" w:rsidRPr="00B833D7" w:rsidRDefault="00B833D7" w:rsidP="00B833D7">
      <w:pPr>
        <w:pStyle w:val="Default"/>
        <w:jc w:val="both"/>
        <w:rPr>
          <w:rFonts w:ascii="Verdana" w:eastAsia="Times New Roman" w:hAnsi="Verdana" w:cs="Times New Roman"/>
          <w:i/>
          <w:iCs/>
          <w:color w:val="1F1F1F"/>
          <w:sz w:val="22"/>
          <w:szCs w:val="22"/>
          <w:lang w:eastAsia="es-CO"/>
          <w14:ligatures w14:val="none"/>
        </w:rPr>
      </w:pPr>
    </w:p>
    <w:p w14:paraId="1190D968" w14:textId="77777777" w:rsidR="00B833D7" w:rsidRPr="00B833D7" w:rsidRDefault="00B833D7" w:rsidP="00B833D7">
      <w:pPr>
        <w:pStyle w:val="Default"/>
        <w:jc w:val="both"/>
        <w:rPr>
          <w:rFonts w:ascii="Verdana" w:eastAsia="Times New Roman" w:hAnsi="Verdana" w:cs="Times New Roman"/>
          <w:i/>
          <w:iCs/>
          <w:color w:val="1F1F1F"/>
          <w:sz w:val="22"/>
          <w:szCs w:val="22"/>
          <w:lang w:eastAsia="es-CO"/>
          <w14:ligatures w14:val="none"/>
        </w:rPr>
      </w:pPr>
      <w:r w:rsidRPr="00B833D7">
        <w:rPr>
          <w:rFonts w:ascii="Verdana" w:eastAsia="Times New Roman" w:hAnsi="Verdana" w:cs="Times New Roman"/>
          <w:i/>
          <w:iCs/>
          <w:color w:val="1F1F1F"/>
          <w:sz w:val="22"/>
          <w:szCs w:val="22"/>
          <w:lang w:eastAsia="es-CO"/>
          <w14:ligatures w14:val="none"/>
        </w:rPr>
        <w:t xml:space="preserve">Los cuatro (4) subcontratos de formalización minera identificados, con códigos SF_94, SF_96, SF_99 y SF_120, se localizan igualmente en jurisdicción de Cáceres, comprenden un área conjunta de aproximadamente 50,67 hectáreas y fueron suscritos entre 2019 y su vigencia se extiende hasta el periodo 2023-2024. Estos subcontratos se derivan de títulos principales vigentes y se orientan a la formalización de pequeños mineros en el territorio. </w:t>
      </w:r>
    </w:p>
    <w:p w14:paraId="5909D4E5" w14:textId="73DE14A2" w:rsidR="00B833D7" w:rsidRDefault="00B833D7" w:rsidP="00B833D7">
      <w:pPr>
        <w:spacing w:before="100" w:beforeAutospacing="1" w:after="100" w:afterAutospacing="1" w:line="240" w:lineRule="auto"/>
        <w:jc w:val="both"/>
        <w:rPr>
          <w:rFonts w:ascii="Verdana" w:eastAsia="Times New Roman" w:hAnsi="Verdana" w:cs="Times New Roman"/>
          <w:i/>
          <w:iCs/>
          <w:color w:val="1F1F1F"/>
          <w:kern w:val="0"/>
          <w:lang w:eastAsia="es-CO"/>
          <w14:ligatures w14:val="none"/>
        </w:rPr>
      </w:pPr>
      <w:r w:rsidRPr="00B833D7">
        <w:rPr>
          <w:rFonts w:ascii="Verdana" w:eastAsia="Times New Roman" w:hAnsi="Verdana" w:cs="Times New Roman"/>
          <w:i/>
          <w:iCs/>
          <w:color w:val="1F1F1F"/>
          <w:kern w:val="0"/>
          <w:lang w:eastAsia="es-CO"/>
          <w14:ligatures w14:val="none"/>
        </w:rPr>
        <w:t>En relación con la temporalidad, los títulos presentan fechas de otorgamiento que oscilan entre 1990 y 2013, con vigencias que se extienden en algunos casos hasta 2051, lo que implica que la actividad minera formal en el DRMI continuará por un horizonte temporal prolongado. Este aspecto resulta determinante para la formulación del régimen de usos del Plan de Manejo, en la medida en que el artículo 34 de la Ley 685 de 2001 y el artículo 2.2.2.1.3.10 del Decreto 1076 de 2015 establecen las condiciones bajo las cuales las actividades mineras preexistentes pueden desarrollarse al interior de áreas protegidas, sujetas a las restricciones y condicionamientos que defina la autoridad ambiental en el plan de manejo respectivo.”</w:t>
      </w:r>
    </w:p>
    <w:p w14:paraId="1AB006DD" w14:textId="5AC14B7B" w:rsidR="007E0A45" w:rsidRDefault="007E0A45" w:rsidP="007E0A45">
      <w:pPr>
        <w:spacing w:before="100" w:beforeAutospacing="1" w:after="100" w:afterAutospacing="1" w:line="240" w:lineRule="auto"/>
        <w:jc w:val="center"/>
        <w:rPr>
          <w:rFonts w:ascii="Verdana" w:eastAsia="Times New Roman" w:hAnsi="Verdana" w:cs="Times New Roman"/>
          <w:i/>
          <w:iCs/>
          <w:color w:val="1F1F1F"/>
          <w:kern w:val="0"/>
          <w:lang w:eastAsia="es-CO"/>
          <w14:ligatures w14:val="none"/>
        </w:rPr>
      </w:pPr>
      <w:r w:rsidRPr="007E0A45">
        <w:rPr>
          <w:rFonts w:ascii="Verdana" w:eastAsia="Times New Roman" w:hAnsi="Verdana" w:cs="Times New Roman"/>
          <w:i/>
          <w:iCs/>
          <w:noProof/>
          <w:color w:val="1F1F1F"/>
          <w:kern w:val="0"/>
          <w:lang w:eastAsia="es-CO"/>
          <w14:ligatures w14:val="none"/>
        </w:rPr>
        <w:drawing>
          <wp:inline distT="0" distB="0" distL="0" distR="0" wp14:anchorId="542CE791" wp14:editId="05738DBB">
            <wp:extent cx="4561199" cy="6400800"/>
            <wp:effectExtent l="0" t="0" r="0" b="0"/>
            <wp:docPr id="19" name="Imagen 19" descr="Map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4633922" cy="6502853"/>
                    </a:xfrm>
                    <a:prstGeom prst="rect">
                      <a:avLst/>
                    </a:prstGeom>
                  </pic:spPr>
                </pic:pic>
              </a:graphicData>
            </a:graphic>
          </wp:inline>
        </w:drawing>
      </w:r>
    </w:p>
    <w:p w14:paraId="7E7912C4" w14:textId="77777777" w:rsidR="002B6B6B" w:rsidRDefault="002B6B6B" w:rsidP="002B6B6B">
      <w:pPr>
        <w:spacing w:after="0" w:line="240" w:lineRule="auto"/>
        <w:jc w:val="center"/>
        <w:rPr>
          <w:rFonts w:ascii="Verdana" w:eastAsia="Times New Roman" w:hAnsi="Verdana" w:cs="Times New Roman"/>
          <w:i/>
          <w:iCs/>
          <w:color w:val="1F1F1F"/>
          <w:kern w:val="0"/>
          <w:sz w:val="20"/>
          <w:szCs w:val="20"/>
          <w:lang w:eastAsia="es-CO"/>
          <w14:ligatures w14:val="none"/>
        </w:rPr>
      </w:pPr>
      <w:r w:rsidRPr="007E0A45">
        <w:rPr>
          <w:rFonts w:ascii="Verdana" w:hAnsi="Verdana"/>
          <w:sz w:val="20"/>
          <w:szCs w:val="20"/>
        </w:rPr>
        <w:t>Mapa de títulos mineros en el DRMI Bajo Cauca Nechí</w:t>
      </w:r>
    </w:p>
    <w:p w14:paraId="44799F20" w14:textId="1190E39F" w:rsidR="007E0A45" w:rsidRPr="002B6B6B" w:rsidRDefault="007E0A45" w:rsidP="002B6B6B">
      <w:pPr>
        <w:spacing w:after="0" w:line="240" w:lineRule="auto"/>
        <w:rPr>
          <w:rFonts w:ascii="Verdana" w:eastAsia="Times New Roman" w:hAnsi="Verdana" w:cs="Times New Roman"/>
          <w:i/>
          <w:iCs/>
          <w:color w:val="1F1F1F"/>
          <w:kern w:val="0"/>
          <w:sz w:val="20"/>
          <w:szCs w:val="20"/>
          <w:lang w:eastAsia="es-CO"/>
          <w14:ligatures w14:val="none"/>
        </w:rPr>
      </w:pPr>
      <w:r w:rsidRPr="008A28AE">
        <w:rPr>
          <w:rFonts w:ascii="Verdana" w:eastAsia="Times New Roman" w:hAnsi="Verdana" w:cs="Times New Roman"/>
          <w:color w:val="1F1F1F"/>
          <w:kern w:val="0"/>
          <w:sz w:val="20"/>
          <w:szCs w:val="20"/>
          <w:lang w:eastAsia="es-CO"/>
          <w14:ligatures w14:val="none"/>
        </w:rPr>
        <w:t xml:space="preserve">Fuente: Documento Componente </w:t>
      </w:r>
      <w:r>
        <w:rPr>
          <w:rFonts w:ascii="Verdana" w:eastAsia="Times New Roman" w:hAnsi="Verdana" w:cs="Times New Roman"/>
          <w:color w:val="1F1F1F"/>
          <w:kern w:val="0"/>
          <w:sz w:val="20"/>
          <w:szCs w:val="20"/>
          <w:lang w:eastAsia="es-CO"/>
          <w14:ligatures w14:val="none"/>
        </w:rPr>
        <w:t>Diagnóstico</w:t>
      </w:r>
      <w:r w:rsidRPr="008A28AE">
        <w:rPr>
          <w:rFonts w:ascii="Verdana" w:eastAsia="Times New Roman" w:hAnsi="Verdana" w:cs="Times New Roman"/>
          <w:color w:val="1F1F1F"/>
          <w:kern w:val="0"/>
          <w:sz w:val="20"/>
          <w:szCs w:val="20"/>
          <w:lang w:eastAsia="es-CO"/>
          <w14:ligatures w14:val="none"/>
        </w:rPr>
        <w:t xml:space="preserve"> Plan de Manejo DRMI bajo Cauca Nechí </w:t>
      </w:r>
      <w:r>
        <w:rPr>
          <w:rFonts w:ascii="Verdana" w:eastAsia="Times New Roman" w:hAnsi="Verdana" w:cs="Times New Roman"/>
          <w:color w:val="1F1F1F"/>
          <w:kern w:val="0"/>
          <w:sz w:val="20"/>
          <w:szCs w:val="20"/>
          <w:lang w:eastAsia="es-CO"/>
          <w14:ligatures w14:val="none"/>
        </w:rPr>
        <w:t>–</w:t>
      </w:r>
      <w:r w:rsidRPr="008A28AE">
        <w:rPr>
          <w:rFonts w:ascii="Verdana" w:eastAsia="Times New Roman" w:hAnsi="Verdana" w:cs="Times New Roman"/>
          <w:color w:val="1F1F1F"/>
          <w:kern w:val="0"/>
          <w:sz w:val="20"/>
          <w:szCs w:val="20"/>
          <w:lang w:eastAsia="es-CO"/>
          <w14:ligatures w14:val="none"/>
        </w:rPr>
        <w:t xml:space="preserve"> CORANTIOQUIA</w:t>
      </w:r>
      <w:r>
        <w:rPr>
          <w:rFonts w:ascii="Verdana" w:eastAsia="Times New Roman" w:hAnsi="Verdana" w:cs="Times New Roman"/>
          <w:color w:val="1F1F1F"/>
          <w:kern w:val="0"/>
          <w:sz w:val="20"/>
          <w:szCs w:val="20"/>
          <w:lang w:eastAsia="es-CO"/>
          <w14:ligatures w14:val="none"/>
        </w:rPr>
        <w:t>.</w:t>
      </w:r>
    </w:p>
    <w:p w14:paraId="5DD0029F" w14:textId="77777777" w:rsidR="007E0A45" w:rsidRPr="007E0A45" w:rsidRDefault="007E0A45" w:rsidP="007E0A45">
      <w:pPr>
        <w:spacing w:after="0" w:line="240" w:lineRule="auto"/>
        <w:jc w:val="both"/>
        <w:rPr>
          <w:rFonts w:ascii="Verdana" w:eastAsia="Times New Roman" w:hAnsi="Verdana" w:cs="Times New Roman"/>
          <w:color w:val="1F1F1F"/>
          <w:kern w:val="0"/>
          <w:sz w:val="20"/>
          <w:szCs w:val="20"/>
          <w:lang w:eastAsia="es-CO"/>
          <w14:ligatures w14:val="none"/>
        </w:rPr>
      </w:pPr>
    </w:p>
    <w:p w14:paraId="40A96B0D" w14:textId="04675C63" w:rsidR="00CA7129" w:rsidRPr="00CA7129" w:rsidRDefault="00CA7129" w:rsidP="007E0A45">
      <w:pPr>
        <w:spacing w:after="100" w:afterAutospacing="1" w:line="240" w:lineRule="auto"/>
        <w:jc w:val="both"/>
        <w:rPr>
          <w:rFonts w:ascii="Verdana" w:eastAsia="Times New Roman" w:hAnsi="Verdana" w:cs="Times New Roman"/>
          <w:color w:val="1F1F1F"/>
          <w:kern w:val="0"/>
          <w:lang w:eastAsia="es-CO"/>
          <w14:ligatures w14:val="none"/>
        </w:rPr>
      </w:pPr>
      <w:r w:rsidRPr="00CA7129">
        <w:rPr>
          <w:rFonts w:ascii="Verdana" w:eastAsia="Times New Roman" w:hAnsi="Verdana" w:cs="Times New Roman"/>
          <w:color w:val="1F1F1F"/>
          <w:kern w:val="0"/>
          <w:lang w:eastAsia="es-CO"/>
          <w14:ligatures w14:val="none"/>
        </w:rPr>
        <w:t>En cuanto al componente socioeconómico, el diagnóstico evidencia una profunda relación de interdependencia entre las comunidades locales y los servicios ecosistémicos del DRMI. Actores clave como los campesinos, los productores agropecuarios y los pescadores registran niveles de dependencia catalogados entre medios y altos respecto al suelo, la biodiversidad y el recurso hídrico para asegurar su sustento diario. El documento subraya el riesgo inminente que representa la degradación del bosque y de los cuerpos de agua, advirtiendo que los hogares rurales que dependen del uso doméstico de los recursos forestales y de la pesca artesanal verían seriamente afectada su seguridad alimentaria e ingresos si persisten las tendencias actuales de deforestación.</w:t>
      </w:r>
      <w:r w:rsidR="00C64CF3" w:rsidRPr="00C64CF3">
        <w:rPr>
          <w:rFonts w:ascii="Verdana" w:eastAsia="Times New Roman" w:hAnsi="Verdana" w:cs="Times New Roman"/>
          <w:color w:val="1F1F1F"/>
          <w:kern w:val="0"/>
          <w:lang w:eastAsia="es-CO"/>
          <w14:ligatures w14:val="none"/>
        </w:rPr>
        <w:t xml:space="preserve"> Esto justifica que el Plan de Manejo privilegie instrumentos de incentivo (como Pago por Servicios Ecosistémicos - PSA y sistemas silvopastoriles) en lugar de un esquema puramente prohibitivo que exacerbe la vulnerabilidad social y económica.</w:t>
      </w:r>
    </w:p>
    <w:p w14:paraId="287A6C02" w14:textId="1D6BB385" w:rsidR="0001473B" w:rsidRDefault="00CA7129" w:rsidP="00C64CF3">
      <w:pPr>
        <w:spacing w:before="100" w:beforeAutospacing="1" w:after="100" w:afterAutospacing="1" w:line="240" w:lineRule="auto"/>
        <w:jc w:val="both"/>
        <w:rPr>
          <w:rFonts w:ascii="Verdana" w:eastAsia="Times New Roman" w:hAnsi="Verdana" w:cs="Times New Roman"/>
          <w:color w:val="1F1F1F"/>
          <w:kern w:val="0"/>
          <w:lang w:eastAsia="es-CO"/>
          <w14:ligatures w14:val="none"/>
        </w:rPr>
      </w:pPr>
      <w:r w:rsidRPr="00CA7129">
        <w:rPr>
          <w:rFonts w:ascii="Verdana" w:eastAsia="Times New Roman" w:hAnsi="Verdana" w:cs="Times New Roman"/>
          <w:color w:val="1F1F1F"/>
          <w:kern w:val="0"/>
          <w:lang w:eastAsia="es-CO"/>
          <w14:ligatures w14:val="none"/>
        </w:rPr>
        <w:t>Finalmente, el análisis de gobernanza y la línea base de indicadores revelan un panorama institucional complejo, caracterizado por un bajo control territorial y niveles moderados de participación social. Los indicadores socioeconómicos del sector rural muestran ingresos históricamente bajos y una escasa diversificación económica, factores que empujan a la población hacia actividades informales o de alto impacto ecológico</w:t>
      </w:r>
      <w:r w:rsidR="00C64CF3">
        <w:rPr>
          <w:rFonts w:ascii="Verdana" w:eastAsia="Times New Roman" w:hAnsi="Verdana" w:cs="Times New Roman"/>
          <w:color w:val="1F1F1F"/>
          <w:kern w:val="0"/>
          <w:lang w:eastAsia="es-CO"/>
          <w14:ligatures w14:val="none"/>
        </w:rPr>
        <w:t>.</w:t>
      </w:r>
    </w:p>
    <w:p w14:paraId="47D2AEA3" w14:textId="77777777" w:rsidR="001F5517" w:rsidRPr="00C64CF3" w:rsidRDefault="001F5517" w:rsidP="00C64CF3">
      <w:pPr>
        <w:spacing w:before="100" w:beforeAutospacing="1" w:after="100" w:afterAutospacing="1" w:line="240" w:lineRule="auto"/>
        <w:jc w:val="both"/>
        <w:rPr>
          <w:rFonts w:ascii="Verdana" w:eastAsia="Times New Roman" w:hAnsi="Verdana" w:cs="Times New Roman"/>
          <w:color w:val="1F1F1F"/>
          <w:kern w:val="0"/>
          <w:lang w:eastAsia="es-CO"/>
          <w14:ligatures w14:val="none"/>
        </w:rPr>
      </w:pPr>
    </w:p>
    <w:p w14:paraId="300CAA0A" w14:textId="1F55913E" w:rsidR="002A486F" w:rsidRDefault="002A486F" w:rsidP="002A486F">
      <w:pPr>
        <w:pStyle w:val="Ttulo2"/>
        <w:jc w:val="both"/>
        <w:rPr>
          <w:rFonts w:ascii="Verdana" w:hAnsi="Verdana"/>
          <w:b/>
          <w:bCs/>
          <w:color w:val="1F1F1F"/>
          <w:sz w:val="22"/>
          <w:szCs w:val="22"/>
        </w:rPr>
      </w:pPr>
      <w:r w:rsidRPr="0001473B">
        <w:rPr>
          <w:rFonts w:ascii="Verdana" w:hAnsi="Verdana"/>
          <w:b/>
          <w:bCs/>
          <w:color w:val="1F1F1F"/>
          <w:sz w:val="22"/>
          <w:szCs w:val="22"/>
        </w:rPr>
        <w:t xml:space="preserve">4. </w:t>
      </w:r>
      <w:r w:rsidR="0001473B" w:rsidRPr="0001473B">
        <w:rPr>
          <w:rFonts w:ascii="Verdana" w:hAnsi="Verdana"/>
          <w:b/>
          <w:bCs/>
          <w:color w:val="1F1F1F"/>
          <w:sz w:val="22"/>
          <w:szCs w:val="22"/>
        </w:rPr>
        <w:t>CONTEXTO</w:t>
      </w:r>
      <w:r w:rsidRPr="0001473B">
        <w:rPr>
          <w:rFonts w:ascii="Verdana" w:hAnsi="Verdana"/>
          <w:b/>
          <w:bCs/>
          <w:color w:val="1F1F1F"/>
          <w:sz w:val="22"/>
          <w:szCs w:val="22"/>
        </w:rPr>
        <w:t xml:space="preserve"> DE ORDENAMIENTO Y ZONIFICACIÓN AMBIENTAL PRELIMINAR</w:t>
      </w:r>
      <w:r w:rsidR="0001473B" w:rsidRPr="0001473B">
        <w:rPr>
          <w:rFonts w:ascii="Verdana" w:hAnsi="Verdana"/>
          <w:b/>
          <w:bCs/>
          <w:color w:val="1F1F1F"/>
          <w:sz w:val="22"/>
          <w:szCs w:val="22"/>
        </w:rPr>
        <w:t xml:space="preserve"> DEL DRMI BAJO CAUCA </w:t>
      </w:r>
      <w:r w:rsidR="00BD68F4">
        <w:rPr>
          <w:rFonts w:ascii="Verdana" w:hAnsi="Verdana"/>
          <w:b/>
          <w:bCs/>
          <w:color w:val="1F1F1F"/>
          <w:sz w:val="22"/>
          <w:szCs w:val="22"/>
        </w:rPr>
        <w:t>–</w:t>
      </w:r>
      <w:r w:rsidR="0001473B" w:rsidRPr="0001473B">
        <w:rPr>
          <w:rFonts w:ascii="Verdana" w:hAnsi="Verdana"/>
          <w:b/>
          <w:bCs/>
          <w:color w:val="1F1F1F"/>
          <w:sz w:val="22"/>
          <w:szCs w:val="22"/>
        </w:rPr>
        <w:t xml:space="preserve"> NECHÍ</w:t>
      </w:r>
    </w:p>
    <w:p w14:paraId="7BB94153" w14:textId="77777777" w:rsidR="00BD68F4" w:rsidRPr="00BD68F4" w:rsidRDefault="00BD68F4" w:rsidP="00BD68F4"/>
    <w:p w14:paraId="6EDF33D3" w14:textId="7B67039E" w:rsidR="0098188F" w:rsidRDefault="001D25F3" w:rsidP="0098188F">
      <w:pPr>
        <w:spacing w:after="0" w:line="240" w:lineRule="auto"/>
        <w:jc w:val="both"/>
        <w:rPr>
          <w:rFonts w:ascii="Verdana" w:eastAsia="Times New Roman" w:hAnsi="Verdana" w:cs="Times New Roman"/>
          <w:color w:val="1F1F1F"/>
          <w:kern w:val="0"/>
          <w:lang w:eastAsia="es-CO"/>
          <w14:ligatures w14:val="none"/>
        </w:rPr>
      </w:pPr>
      <w:r w:rsidRPr="001D25F3">
        <w:rPr>
          <w:rFonts w:ascii="Verdana" w:eastAsia="Times New Roman" w:hAnsi="Verdana" w:cs="Times New Roman"/>
          <w:color w:val="1F1F1F"/>
          <w:kern w:val="0"/>
          <w:lang w:eastAsia="es-CO"/>
          <w14:ligatures w14:val="none"/>
        </w:rPr>
        <w:t>El componente de ordenamiento del Plan de Manejo del Distrito Regional de Manejo Integrado (DRMI) Bajo Cauca - Nechí define el marco estratégico, metodológico y normativo para espacializar las determinantes ambientales y orientar el uso sostenible del territorio. E</w:t>
      </w:r>
      <w:r w:rsidR="0059076B">
        <w:rPr>
          <w:rFonts w:ascii="Verdana" w:eastAsia="Times New Roman" w:hAnsi="Verdana" w:cs="Times New Roman"/>
          <w:color w:val="1F1F1F"/>
          <w:kern w:val="0"/>
          <w:lang w:eastAsia="es-CO"/>
          <w14:ligatures w14:val="none"/>
        </w:rPr>
        <w:t>l componente</w:t>
      </w:r>
      <w:r w:rsidRPr="001D25F3">
        <w:rPr>
          <w:rFonts w:ascii="Verdana" w:eastAsia="Times New Roman" w:hAnsi="Verdana" w:cs="Times New Roman"/>
          <w:color w:val="1F1F1F"/>
          <w:kern w:val="0"/>
          <w:lang w:eastAsia="es-CO"/>
          <w14:ligatures w14:val="none"/>
        </w:rPr>
        <w:t>, estructurado sobre el marco legal</w:t>
      </w:r>
      <w:r w:rsidR="0059076B">
        <w:rPr>
          <w:rFonts w:ascii="Verdana" w:eastAsia="Times New Roman" w:hAnsi="Verdana" w:cs="Times New Roman"/>
          <w:color w:val="1F1F1F"/>
          <w:kern w:val="0"/>
          <w:lang w:eastAsia="es-CO"/>
          <w14:ligatures w14:val="none"/>
        </w:rPr>
        <w:t xml:space="preserve"> </w:t>
      </w:r>
      <w:r w:rsidRPr="001D25F3">
        <w:rPr>
          <w:rFonts w:ascii="Verdana" w:eastAsia="Times New Roman" w:hAnsi="Verdana" w:cs="Times New Roman"/>
          <w:color w:val="1F1F1F"/>
          <w:kern w:val="0"/>
          <w:lang w:eastAsia="es-CO"/>
          <w14:ligatures w14:val="none"/>
        </w:rPr>
        <w:t xml:space="preserve">del Acuerdo 675 de 2023 de CORANTIOQUIA, tiene como eje central la </w:t>
      </w:r>
      <w:r w:rsidR="0059076B">
        <w:rPr>
          <w:rFonts w:ascii="Verdana" w:eastAsia="Times New Roman" w:hAnsi="Verdana" w:cs="Times New Roman"/>
          <w:color w:val="1F1F1F"/>
          <w:kern w:val="0"/>
          <w:lang w:eastAsia="es-CO"/>
          <w14:ligatures w14:val="none"/>
        </w:rPr>
        <w:t>definición</w:t>
      </w:r>
      <w:r w:rsidRPr="001D25F3">
        <w:rPr>
          <w:rFonts w:ascii="Verdana" w:eastAsia="Times New Roman" w:hAnsi="Verdana" w:cs="Times New Roman"/>
          <w:color w:val="1F1F1F"/>
          <w:kern w:val="0"/>
          <w:lang w:eastAsia="es-CO"/>
          <w14:ligatures w14:val="none"/>
        </w:rPr>
        <w:t xml:space="preserve"> de la zonificación ambiental a través de la integración de variables ecológicas y socioeconómicas, complementado con un régimen de usos y un análisis prospectivo frente a los desafíos del cambio climático.</w:t>
      </w:r>
    </w:p>
    <w:p w14:paraId="3A02BBD6" w14:textId="77777777" w:rsidR="0098188F" w:rsidRPr="001D25F3" w:rsidRDefault="0098188F" w:rsidP="0098188F">
      <w:pPr>
        <w:spacing w:after="0" w:line="240" w:lineRule="auto"/>
        <w:jc w:val="both"/>
        <w:rPr>
          <w:rFonts w:ascii="Verdana" w:eastAsia="Times New Roman" w:hAnsi="Verdana" w:cs="Times New Roman"/>
          <w:color w:val="1F1F1F"/>
          <w:kern w:val="0"/>
          <w:lang w:eastAsia="es-CO"/>
          <w14:ligatures w14:val="none"/>
        </w:rPr>
      </w:pPr>
    </w:p>
    <w:p w14:paraId="77531621" w14:textId="30B1C227" w:rsidR="0098188F" w:rsidRPr="0098188F" w:rsidRDefault="0098188F" w:rsidP="0098188F">
      <w:pPr>
        <w:pStyle w:val="Default"/>
        <w:jc w:val="both"/>
        <w:rPr>
          <w:rFonts w:ascii="Verdana" w:hAnsi="Verdana"/>
          <w:i/>
          <w:iCs/>
          <w:sz w:val="22"/>
          <w:szCs w:val="22"/>
        </w:rPr>
      </w:pPr>
      <w:r w:rsidRPr="0098188F">
        <w:rPr>
          <w:rFonts w:ascii="Verdana" w:eastAsia="Times New Roman" w:hAnsi="Verdana" w:cs="Times New Roman"/>
          <w:color w:val="1F1F1F"/>
          <w:sz w:val="22"/>
          <w:szCs w:val="22"/>
          <w:lang w:eastAsia="es-CO"/>
          <w14:ligatures w14:val="none"/>
        </w:rPr>
        <w:t xml:space="preserve">Es importante señalar que, de acuerdo con lo señalado en el componente de Ordenamiento </w:t>
      </w:r>
      <w:r w:rsidRPr="0098188F">
        <w:rPr>
          <w:rFonts w:ascii="Verdana" w:eastAsia="Times New Roman" w:hAnsi="Verdana" w:cs="Times New Roman"/>
          <w:i/>
          <w:iCs/>
          <w:color w:val="1F1F1F"/>
          <w:sz w:val="22"/>
          <w:szCs w:val="22"/>
          <w:lang w:eastAsia="es-CO"/>
          <w14:ligatures w14:val="none"/>
        </w:rPr>
        <w:t>“</w:t>
      </w:r>
      <w:r w:rsidRPr="0098188F">
        <w:rPr>
          <w:rFonts w:ascii="Verdana" w:hAnsi="Verdana"/>
          <w:i/>
          <w:iCs/>
          <w:sz w:val="22"/>
          <w:szCs w:val="22"/>
        </w:rPr>
        <w:t xml:space="preserve">El Plan de Manejo del DRMI Bajo Cauca – Nechí, en su condición de determinante ambiental de superior jerarquía (artículo 10, Ley 388 de 1997), se articula con los instrumentos de ordenamiento territorial de los municipios de Cáceres, Tarazá, Anorí y Zaragoza, y con los demás instrumentos de planificación ambiental vigentes en la jurisdicción de CORANTIOQUIA. Los municipios están obligados a incorporar en sus Planes de Ordenamiento Territorial (POT, PBOT o EOT) las normas de uso, manejo y restricción derivadas de la zonificación ambiental del DRMI, las cuales prevalecen sobre cualquier disposición municipal contraria. </w:t>
      </w:r>
    </w:p>
    <w:p w14:paraId="5E9AC5D7" w14:textId="56665380" w:rsidR="0098188F" w:rsidRPr="0098188F" w:rsidRDefault="0098188F" w:rsidP="0098188F">
      <w:pPr>
        <w:spacing w:before="100" w:beforeAutospacing="1" w:after="0" w:line="240" w:lineRule="auto"/>
        <w:jc w:val="both"/>
        <w:rPr>
          <w:rFonts w:ascii="Verdana" w:eastAsia="Times New Roman" w:hAnsi="Verdana" w:cs="Times New Roman"/>
          <w:i/>
          <w:iCs/>
          <w:color w:val="1F1F1F"/>
          <w:kern w:val="0"/>
          <w:lang w:eastAsia="es-CO"/>
          <w14:ligatures w14:val="none"/>
        </w:rPr>
      </w:pPr>
      <w:r w:rsidRPr="0098188F">
        <w:rPr>
          <w:rFonts w:ascii="Verdana" w:hAnsi="Verdana" w:cs="Arial"/>
          <w:i/>
          <w:iCs/>
          <w:color w:val="000000"/>
          <w:kern w:val="0"/>
        </w:rPr>
        <w:t>La interpretación del presente marco normativo se rige por los principios constitucionales de protección ambiental (artículos 8, 79 y 80 CP), el principio de precaución (artículo 1, Ley 99 de 1993), el principio de rigor subsidiario (artículo 63, Ley 99 de 1993) que permite a las autoridades ambientales regionales adoptar estándares de protección más exigentes que los nacionales, y el principio de armonía regional (artículo 63, Ley 99 de 1993). Ante cualquier conflicto normativo, prevalece la norma que ofrezca mayor protección al ambiente y a los ecosistemas del DRMI.</w:t>
      </w:r>
      <w:r>
        <w:rPr>
          <w:rFonts w:ascii="Verdana" w:hAnsi="Verdana" w:cs="Arial"/>
          <w:i/>
          <w:iCs/>
          <w:color w:val="000000"/>
          <w:kern w:val="0"/>
        </w:rPr>
        <w:t>”</w:t>
      </w:r>
    </w:p>
    <w:p w14:paraId="7820FE41" w14:textId="79410C9A" w:rsidR="001D25F3" w:rsidRDefault="001D25F3" w:rsidP="0059076B">
      <w:pPr>
        <w:spacing w:before="100" w:beforeAutospacing="1" w:after="0" w:line="240" w:lineRule="auto"/>
        <w:jc w:val="both"/>
        <w:rPr>
          <w:rFonts w:ascii="Verdana" w:eastAsia="Times New Roman" w:hAnsi="Verdana" w:cs="Times New Roman"/>
          <w:color w:val="1F1F1F"/>
          <w:kern w:val="0"/>
          <w:lang w:eastAsia="es-CO"/>
          <w14:ligatures w14:val="none"/>
        </w:rPr>
      </w:pPr>
      <w:r w:rsidRPr="001D25F3">
        <w:rPr>
          <w:rFonts w:ascii="Verdana" w:eastAsia="Times New Roman" w:hAnsi="Verdana" w:cs="Times New Roman"/>
          <w:color w:val="1F1F1F"/>
          <w:kern w:val="0"/>
          <w:lang w:eastAsia="es-CO"/>
          <w14:ligatures w14:val="none"/>
        </w:rPr>
        <w:t>La metodología de zonificación</w:t>
      </w:r>
      <w:r w:rsidR="00445034">
        <w:rPr>
          <w:rFonts w:ascii="Verdana" w:eastAsia="Times New Roman" w:hAnsi="Verdana" w:cs="Times New Roman"/>
          <w:color w:val="1F1F1F"/>
          <w:kern w:val="0"/>
          <w:lang w:eastAsia="es-CO"/>
          <w14:ligatures w14:val="none"/>
        </w:rPr>
        <w:t xml:space="preserve"> es</w:t>
      </w:r>
      <w:r w:rsidRPr="001D25F3">
        <w:rPr>
          <w:rFonts w:ascii="Verdana" w:eastAsia="Times New Roman" w:hAnsi="Verdana" w:cs="Times New Roman"/>
          <w:color w:val="1F1F1F"/>
          <w:kern w:val="0"/>
          <w:lang w:eastAsia="es-CO"/>
          <w14:ligatures w14:val="none"/>
        </w:rPr>
        <w:t xml:space="preserve"> uno de los pilares del componente</w:t>
      </w:r>
      <w:r w:rsidR="00445034">
        <w:rPr>
          <w:rFonts w:ascii="Verdana" w:eastAsia="Times New Roman" w:hAnsi="Verdana" w:cs="Times New Roman"/>
          <w:color w:val="1F1F1F"/>
          <w:kern w:val="0"/>
          <w:lang w:eastAsia="es-CO"/>
          <w14:ligatures w14:val="none"/>
        </w:rPr>
        <w:t xml:space="preserve"> de Ordenamiento</w:t>
      </w:r>
      <w:r w:rsidRPr="001D25F3">
        <w:rPr>
          <w:rFonts w:ascii="Verdana" w:eastAsia="Times New Roman" w:hAnsi="Verdana" w:cs="Times New Roman"/>
          <w:color w:val="1F1F1F"/>
          <w:kern w:val="0"/>
          <w:lang w:eastAsia="es-CO"/>
          <w14:ligatures w14:val="none"/>
        </w:rPr>
        <w:t xml:space="preserve">, describe el proceso técnico y cartográfico mediante el cual se integraron las variables biofísicas para modelar el territorio. A través de </w:t>
      </w:r>
      <w:r w:rsidR="00445034">
        <w:rPr>
          <w:rFonts w:ascii="Verdana" w:eastAsia="Times New Roman" w:hAnsi="Verdana" w:cs="Times New Roman"/>
          <w:color w:val="1F1F1F"/>
          <w:kern w:val="0"/>
          <w:lang w:eastAsia="es-CO"/>
          <w14:ligatures w14:val="none"/>
        </w:rPr>
        <w:t>dicho</w:t>
      </w:r>
      <w:r w:rsidRPr="001D25F3">
        <w:rPr>
          <w:rFonts w:ascii="Verdana" w:eastAsia="Times New Roman" w:hAnsi="Verdana" w:cs="Times New Roman"/>
          <w:color w:val="1F1F1F"/>
          <w:kern w:val="0"/>
          <w:lang w:eastAsia="es-CO"/>
          <w14:ligatures w14:val="none"/>
        </w:rPr>
        <w:t xml:space="preserve"> análisis, el área protegida se segmenta de forma preliminar en cuatro zonas fundamentales: Preservación, Restauración, Uso Sostenible y Uso Público. Cada una de estas zonas cuenta con un régimen de usos rigurosamente delimitado que clasifica las actividades en permitidas, condiciona</w:t>
      </w:r>
      <w:r w:rsidR="00445034">
        <w:rPr>
          <w:rFonts w:ascii="Verdana" w:eastAsia="Times New Roman" w:hAnsi="Verdana" w:cs="Times New Roman"/>
          <w:color w:val="1F1F1F"/>
          <w:kern w:val="0"/>
          <w:lang w:eastAsia="es-CO"/>
          <w14:ligatures w14:val="none"/>
        </w:rPr>
        <w:t>das</w:t>
      </w:r>
      <w:r w:rsidRPr="001D25F3">
        <w:rPr>
          <w:rFonts w:ascii="Verdana" w:eastAsia="Times New Roman" w:hAnsi="Verdana" w:cs="Times New Roman"/>
          <w:color w:val="1F1F1F"/>
          <w:kern w:val="0"/>
          <w:lang w:eastAsia="es-CO"/>
          <w14:ligatures w14:val="none"/>
        </w:rPr>
        <w:t xml:space="preserve"> y restringidas, asegurando un equilibrio entre la conservación de los ecosistemas estratégicos —como los complejos cenagosos y los remanentes boscosos— y el desarrollo socioeconómico de las comunidades locales asentadas en la región.</w:t>
      </w:r>
    </w:p>
    <w:p w14:paraId="4F8D65BB" w14:textId="77777777" w:rsidR="00E978DB" w:rsidRDefault="00E978DB" w:rsidP="00E978DB">
      <w:pPr>
        <w:spacing w:after="0" w:line="240" w:lineRule="auto"/>
        <w:jc w:val="both"/>
        <w:rPr>
          <w:rFonts w:ascii="Verdana" w:eastAsia="Times New Roman" w:hAnsi="Verdana" w:cs="Times New Roman"/>
          <w:color w:val="1F1F1F"/>
          <w:kern w:val="0"/>
          <w:lang w:eastAsia="es-CO"/>
          <w14:ligatures w14:val="none"/>
        </w:rPr>
      </w:pPr>
    </w:p>
    <w:p w14:paraId="5B39C504" w14:textId="08DCE5F8" w:rsidR="00E978DB" w:rsidRDefault="00E978DB" w:rsidP="00BD68F4">
      <w:pPr>
        <w:pStyle w:val="Default"/>
        <w:jc w:val="both"/>
        <w:rPr>
          <w:rFonts w:ascii="Verdana" w:hAnsi="Verdana"/>
          <w:i/>
          <w:iCs/>
        </w:rPr>
      </w:pPr>
      <w:r w:rsidRPr="00E978DB">
        <w:rPr>
          <w:rFonts w:ascii="Verdana" w:eastAsia="Times New Roman" w:hAnsi="Verdana" w:cs="Times New Roman"/>
          <w:color w:val="1F1F1F"/>
          <w:sz w:val="22"/>
          <w:szCs w:val="22"/>
          <w:lang w:eastAsia="es-CO"/>
          <w14:ligatures w14:val="none"/>
        </w:rPr>
        <w:t>El documento del componente de Ordenamiento señala que</w:t>
      </w:r>
      <w:r w:rsidRPr="00E978DB">
        <w:rPr>
          <w:rFonts w:ascii="Verdana" w:eastAsia="Times New Roman" w:hAnsi="Verdana" w:cs="Times New Roman"/>
          <w:i/>
          <w:iCs/>
          <w:color w:val="1F1F1F"/>
          <w:sz w:val="22"/>
          <w:szCs w:val="22"/>
          <w:lang w:eastAsia="es-CO"/>
          <w14:ligatures w14:val="none"/>
        </w:rPr>
        <w:t xml:space="preserve"> “</w:t>
      </w:r>
      <w:r w:rsidRPr="00E978DB">
        <w:rPr>
          <w:rFonts w:ascii="Verdana" w:hAnsi="Verdana"/>
          <w:i/>
          <w:iCs/>
          <w:sz w:val="22"/>
          <w:szCs w:val="22"/>
        </w:rPr>
        <w:t>La zonificación ambiental definitiva del DRMI Bajo Cauca Nechí abarca un área total de 75.759,96 ha, distribuidas en cinco categorías de manejo. La zona de Preservación concentra la mayor proporción del territorio con 56.080,82 ha (74,0%), lo cual refleja la presencia predominante de coberturas naturales conservadas, complejos cenagosos con función reguladora y franjas de protección hídrica dentro del distrito. Le sigue la subzona de Aprovechamiento Sostenible con 9.620,25 ha (12,7%), correspondiente a las áreas donde las condiciones de amenaza alta por inundación y movimientos en masa restringen el establecimiento de infraestructura, pero permiten el desarrollo de actividades de bajo impacto. La subzona de Desarrollo Sostenible ocupa 6.525,05 ha (8,6%), integrando los suelos con vocación productiva, la clase agrológica IV, las áreas de influencia de los centros poblados y las coberturas residuales que completan la cobertura del DRMI. La zona de Restauración representa 1.778,04 ha (2,3%) del área total, abarcando las rondas hídricas con coberturas intervenidas, los corredores de conectividad degradados y los humedales en proceso de recuperación que requieren acciones activas de restauración ecológica. Finalmente, la zona General de Uso Público ocupa 1.755,79 ha (2,3%), correspondiente a la franja de 15 metros a cada lado de las vías tipo 1, 2 y 3, destinada al acceso, tránsito, educación ambiental y señalización interpretativa dentro del área protegida.</w:t>
      </w:r>
      <w:r w:rsidRPr="00E978DB">
        <w:rPr>
          <w:rFonts w:ascii="Verdana" w:hAnsi="Verdana"/>
          <w:i/>
          <w:iCs/>
        </w:rPr>
        <w:t>”</w:t>
      </w:r>
    </w:p>
    <w:p w14:paraId="48AB37DB" w14:textId="77777777" w:rsidR="001F5517" w:rsidRDefault="001F5517" w:rsidP="001F5517">
      <w:pPr>
        <w:rPr>
          <w:rFonts w:ascii="Verdana" w:hAnsi="Verdana"/>
          <w:sz w:val="20"/>
          <w:szCs w:val="20"/>
        </w:rPr>
      </w:pPr>
    </w:p>
    <w:p w14:paraId="6ADB10F2" w14:textId="327B8BB4" w:rsidR="00E978DB" w:rsidRPr="00E978DB" w:rsidRDefault="00E978DB" w:rsidP="00E978DB">
      <w:pPr>
        <w:jc w:val="center"/>
        <w:rPr>
          <w:rFonts w:ascii="Verdana" w:hAnsi="Verdana" w:cs="Arial"/>
          <w:i/>
          <w:iCs/>
          <w:color w:val="000000"/>
          <w:kern w:val="0"/>
        </w:rPr>
      </w:pPr>
      <w:r w:rsidRPr="00E978DB">
        <w:rPr>
          <w:rFonts w:ascii="Verdana" w:hAnsi="Verdana"/>
          <w:sz w:val="20"/>
          <w:szCs w:val="20"/>
        </w:rPr>
        <w:t>Zonificación del DRMI Bajo Cauca – Nechí</w:t>
      </w:r>
    </w:p>
    <w:p w14:paraId="58A8A511" w14:textId="5F1719D7" w:rsidR="00E978DB" w:rsidRPr="00E978DB" w:rsidRDefault="00E978DB" w:rsidP="001F5517">
      <w:pPr>
        <w:spacing w:after="0"/>
        <w:jc w:val="both"/>
        <w:rPr>
          <w:rFonts w:ascii="Verdana" w:hAnsi="Verdana" w:cs="Arial"/>
          <w:i/>
          <w:iCs/>
          <w:color w:val="000000"/>
          <w:kern w:val="0"/>
        </w:rPr>
      </w:pPr>
      <w:r w:rsidRPr="00E978DB">
        <w:rPr>
          <w:rFonts w:ascii="Verdana" w:hAnsi="Verdana" w:cs="Arial"/>
          <w:i/>
          <w:iCs/>
          <w:noProof/>
          <w:color w:val="000000"/>
          <w:kern w:val="0"/>
        </w:rPr>
        <w:drawing>
          <wp:inline distT="0" distB="0" distL="0" distR="0" wp14:anchorId="1F4D7F8C" wp14:editId="2A13B404">
            <wp:extent cx="5612130" cy="1543685"/>
            <wp:effectExtent l="0" t="0" r="7620" b="0"/>
            <wp:docPr id="1" name="Imagen 1" descr="Tabl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5612130" cy="1543685"/>
                    </a:xfrm>
                    <a:prstGeom prst="rect">
                      <a:avLst/>
                    </a:prstGeom>
                  </pic:spPr>
                </pic:pic>
              </a:graphicData>
            </a:graphic>
          </wp:inline>
        </w:drawing>
      </w:r>
    </w:p>
    <w:p w14:paraId="39038504" w14:textId="7558CBFC" w:rsidR="008A28AE" w:rsidRPr="008A28AE" w:rsidRDefault="008A28AE" w:rsidP="001F5517">
      <w:pPr>
        <w:spacing w:before="100" w:beforeAutospacing="1" w:after="0" w:line="240" w:lineRule="auto"/>
        <w:jc w:val="both"/>
        <w:rPr>
          <w:rFonts w:ascii="Verdana" w:eastAsia="Times New Roman" w:hAnsi="Verdana" w:cs="Times New Roman"/>
          <w:color w:val="1F1F1F"/>
          <w:kern w:val="0"/>
          <w:sz w:val="20"/>
          <w:szCs w:val="20"/>
          <w:lang w:eastAsia="es-CO"/>
          <w14:ligatures w14:val="none"/>
        </w:rPr>
      </w:pPr>
      <w:r w:rsidRPr="008A28AE">
        <w:rPr>
          <w:rFonts w:ascii="Verdana" w:eastAsia="Times New Roman" w:hAnsi="Verdana" w:cs="Times New Roman"/>
          <w:color w:val="1F1F1F"/>
          <w:kern w:val="0"/>
          <w:sz w:val="20"/>
          <w:szCs w:val="20"/>
          <w:lang w:eastAsia="es-CO"/>
          <w14:ligatures w14:val="none"/>
        </w:rPr>
        <w:t>Fuente: Documento de avance Componente Ordenamiento Plan de Manejo DRMI bajo Cauca Nechí - CORANTIOQUIA</w:t>
      </w:r>
    </w:p>
    <w:p w14:paraId="5283F106" w14:textId="155BBC48" w:rsidR="008A28AE" w:rsidRDefault="008A28AE" w:rsidP="008A28AE">
      <w:pPr>
        <w:spacing w:before="100" w:beforeAutospacing="1" w:after="0" w:line="240" w:lineRule="auto"/>
        <w:jc w:val="center"/>
        <w:rPr>
          <w:rFonts w:ascii="Verdana" w:eastAsia="Times New Roman" w:hAnsi="Verdana" w:cs="Times New Roman"/>
          <w:color w:val="1F1F1F"/>
          <w:kern w:val="0"/>
          <w:lang w:eastAsia="es-CO"/>
          <w14:ligatures w14:val="none"/>
        </w:rPr>
      </w:pPr>
      <w:r w:rsidRPr="008A28AE">
        <w:rPr>
          <w:rFonts w:ascii="Verdana" w:eastAsia="Times New Roman" w:hAnsi="Verdana" w:cs="Times New Roman"/>
          <w:noProof/>
          <w:color w:val="1F1F1F"/>
          <w:kern w:val="0"/>
          <w:lang w:eastAsia="es-CO"/>
          <w14:ligatures w14:val="none"/>
        </w:rPr>
        <w:drawing>
          <wp:inline distT="0" distB="0" distL="0" distR="0" wp14:anchorId="21E72B4D" wp14:editId="66FBCA2C">
            <wp:extent cx="4399301" cy="6219825"/>
            <wp:effectExtent l="0" t="0" r="1270" b="0"/>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428557" cy="6261188"/>
                    </a:xfrm>
                    <a:prstGeom prst="rect">
                      <a:avLst/>
                    </a:prstGeom>
                    <a:noFill/>
                    <a:ln>
                      <a:noFill/>
                    </a:ln>
                  </pic:spPr>
                </pic:pic>
              </a:graphicData>
            </a:graphic>
          </wp:inline>
        </w:drawing>
      </w:r>
    </w:p>
    <w:p w14:paraId="4ECF7E08" w14:textId="77777777" w:rsidR="001F5517" w:rsidRDefault="001F5517" w:rsidP="008A28AE">
      <w:pPr>
        <w:spacing w:after="0" w:line="240" w:lineRule="auto"/>
        <w:jc w:val="center"/>
        <w:rPr>
          <w:rFonts w:ascii="Verdana" w:hAnsi="Verdana"/>
          <w:sz w:val="20"/>
          <w:szCs w:val="20"/>
        </w:rPr>
      </w:pPr>
    </w:p>
    <w:p w14:paraId="7B52CB0D" w14:textId="6487F504" w:rsidR="008A28AE" w:rsidRDefault="008A28AE" w:rsidP="008A28AE">
      <w:pPr>
        <w:spacing w:after="0" w:line="240" w:lineRule="auto"/>
        <w:jc w:val="center"/>
        <w:rPr>
          <w:rFonts w:ascii="Verdana" w:hAnsi="Verdana"/>
          <w:sz w:val="20"/>
          <w:szCs w:val="20"/>
        </w:rPr>
      </w:pPr>
      <w:r w:rsidRPr="008A28AE">
        <w:rPr>
          <w:rFonts w:ascii="Verdana" w:hAnsi="Verdana"/>
          <w:sz w:val="20"/>
          <w:szCs w:val="20"/>
        </w:rPr>
        <w:t>Mapa de zonificación del DRMI Bajo Cauca – Nechí</w:t>
      </w:r>
    </w:p>
    <w:p w14:paraId="3A4FFC66" w14:textId="29929E90" w:rsidR="008A28AE" w:rsidRDefault="008A28AE" w:rsidP="008A28AE">
      <w:pPr>
        <w:spacing w:after="0" w:line="240" w:lineRule="auto"/>
        <w:jc w:val="center"/>
        <w:rPr>
          <w:rFonts w:ascii="Verdana" w:hAnsi="Verdana"/>
          <w:sz w:val="20"/>
          <w:szCs w:val="20"/>
        </w:rPr>
      </w:pPr>
      <w:r w:rsidRPr="008A28AE">
        <w:rPr>
          <w:rFonts w:ascii="Verdana" w:eastAsia="Times New Roman" w:hAnsi="Verdana" w:cs="Times New Roman"/>
          <w:color w:val="1F1F1F"/>
          <w:kern w:val="0"/>
          <w:sz w:val="20"/>
          <w:szCs w:val="20"/>
          <w:lang w:eastAsia="es-CO"/>
          <w14:ligatures w14:val="none"/>
        </w:rPr>
        <w:t>Fuente: Documento de avance Componente Ordenamiento Plan de Manejo DRMI bajo Cauca Nechí - CORANTIOQUIA</w:t>
      </w:r>
    </w:p>
    <w:p w14:paraId="02E3F947" w14:textId="77777777" w:rsidR="008A28AE" w:rsidRPr="008A28AE" w:rsidRDefault="008A28AE" w:rsidP="008A28AE">
      <w:pPr>
        <w:spacing w:before="100" w:beforeAutospacing="1" w:after="0" w:line="240" w:lineRule="auto"/>
        <w:jc w:val="center"/>
        <w:rPr>
          <w:rFonts w:ascii="Verdana" w:eastAsia="Times New Roman" w:hAnsi="Verdana" w:cs="Times New Roman"/>
          <w:color w:val="1F1F1F"/>
          <w:kern w:val="0"/>
          <w:lang w:eastAsia="es-CO"/>
          <w14:ligatures w14:val="none"/>
        </w:rPr>
      </w:pPr>
    </w:p>
    <w:p w14:paraId="57D18652" w14:textId="4DDA7054" w:rsidR="00BD68F4" w:rsidRDefault="00BD68F4" w:rsidP="00E978DB">
      <w:pPr>
        <w:spacing w:before="100" w:beforeAutospacing="1" w:after="0" w:line="240" w:lineRule="auto"/>
        <w:jc w:val="both"/>
        <w:rPr>
          <w:rFonts w:ascii="Verdana" w:eastAsia="Times New Roman" w:hAnsi="Verdana" w:cs="Times New Roman"/>
          <w:color w:val="1F1F1F"/>
          <w:kern w:val="0"/>
          <w:lang w:eastAsia="es-CO"/>
          <w14:ligatures w14:val="none"/>
        </w:rPr>
      </w:pPr>
      <w:r>
        <w:rPr>
          <w:rFonts w:ascii="Verdana" w:eastAsia="Times New Roman" w:hAnsi="Verdana" w:cs="Times New Roman"/>
          <w:color w:val="1F1F1F"/>
          <w:kern w:val="0"/>
          <w:lang w:eastAsia="es-CO"/>
          <w14:ligatures w14:val="none"/>
        </w:rPr>
        <w:t>El régimen de usos para el área protegida</w:t>
      </w:r>
      <w:r w:rsidR="00605D1D">
        <w:rPr>
          <w:rFonts w:ascii="Verdana" w:eastAsia="Times New Roman" w:hAnsi="Verdana" w:cs="Times New Roman"/>
          <w:color w:val="1F1F1F"/>
          <w:kern w:val="0"/>
          <w:lang w:eastAsia="es-CO"/>
          <w14:ligatures w14:val="none"/>
        </w:rPr>
        <w:t xml:space="preserve"> se diferencia entre actividades permitidas y condicionadas para cada una de las zonas identificadas, las cuales se presentan en las siguientes tablas extraídas del documento preliminar del componente de Ordenamiento.</w:t>
      </w:r>
    </w:p>
    <w:p w14:paraId="501432C9" w14:textId="05E7043D" w:rsidR="00990AB0" w:rsidRDefault="00990AB0" w:rsidP="00E978DB">
      <w:pPr>
        <w:spacing w:before="100" w:beforeAutospacing="1" w:after="0" w:line="240" w:lineRule="auto"/>
        <w:jc w:val="both"/>
        <w:rPr>
          <w:rFonts w:ascii="Verdana" w:eastAsia="Times New Roman" w:hAnsi="Verdana" w:cs="Times New Roman"/>
          <w:color w:val="1F1F1F"/>
          <w:kern w:val="0"/>
          <w:lang w:eastAsia="es-CO"/>
          <w14:ligatures w14:val="none"/>
        </w:rPr>
      </w:pPr>
      <w:r>
        <w:rPr>
          <w:rFonts w:ascii="Verdana" w:eastAsia="Times New Roman" w:hAnsi="Verdana" w:cs="Times New Roman"/>
          <w:color w:val="1F1F1F"/>
          <w:kern w:val="0"/>
          <w:lang w:eastAsia="es-CO"/>
          <w14:ligatures w14:val="none"/>
        </w:rPr>
        <w:t>Zona de preservación:</w:t>
      </w:r>
    </w:p>
    <w:p w14:paraId="17A09541" w14:textId="31543D16" w:rsidR="00605D1D" w:rsidRPr="00605D1D" w:rsidRDefault="00605D1D" w:rsidP="00605D1D">
      <w:pPr>
        <w:spacing w:before="100" w:beforeAutospacing="1" w:after="0" w:line="240" w:lineRule="auto"/>
        <w:jc w:val="center"/>
        <w:rPr>
          <w:rFonts w:ascii="Verdana" w:eastAsia="Times New Roman" w:hAnsi="Verdana" w:cs="Times New Roman"/>
          <w:color w:val="1F1F1F"/>
          <w:kern w:val="0"/>
          <w:sz w:val="20"/>
          <w:szCs w:val="20"/>
          <w:lang w:eastAsia="es-CO"/>
          <w14:ligatures w14:val="none"/>
        </w:rPr>
      </w:pPr>
      <w:r w:rsidRPr="00605D1D">
        <w:rPr>
          <w:rFonts w:ascii="Verdana" w:eastAsia="Times New Roman" w:hAnsi="Verdana" w:cs="Times New Roman"/>
          <w:color w:val="1F1F1F"/>
          <w:kern w:val="0"/>
          <w:sz w:val="20"/>
          <w:szCs w:val="20"/>
          <w:lang w:eastAsia="es-CO"/>
          <w14:ligatures w14:val="none"/>
        </w:rPr>
        <w:t>Régimen de usos para la zona de preservación</w:t>
      </w:r>
    </w:p>
    <w:p w14:paraId="07B83D60" w14:textId="056B4A71" w:rsidR="00605D1D" w:rsidRDefault="00605D1D" w:rsidP="00605D1D">
      <w:pPr>
        <w:spacing w:before="100" w:beforeAutospacing="1" w:after="0" w:line="240" w:lineRule="auto"/>
        <w:jc w:val="center"/>
        <w:rPr>
          <w:rFonts w:ascii="Verdana" w:eastAsia="Times New Roman" w:hAnsi="Verdana" w:cs="Times New Roman"/>
          <w:color w:val="1F1F1F"/>
          <w:kern w:val="0"/>
          <w:lang w:eastAsia="es-CO"/>
          <w14:ligatures w14:val="none"/>
        </w:rPr>
      </w:pPr>
      <w:r w:rsidRPr="00605D1D">
        <w:rPr>
          <w:rFonts w:ascii="Verdana" w:eastAsia="Times New Roman" w:hAnsi="Verdana" w:cs="Times New Roman"/>
          <w:noProof/>
          <w:color w:val="1F1F1F"/>
          <w:kern w:val="0"/>
          <w:lang w:eastAsia="es-CO"/>
          <w14:ligatures w14:val="none"/>
        </w:rPr>
        <w:drawing>
          <wp:inline distT="0" distB="0" distL="0" distR="0" wp14:anchorId="47624624" wp14:editId="15E44ABD">
            <wp:extent cx="5248275" cy="5466952"/>
            <wp:effectExtent l="0" t="0" r="0" b="635"/>
            <wp:docPr id="3" name="Imagen 3" descr="Tabl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278943" cy="5498897"/>
                    </a:xfrm>
                    <a:prstGeom prst="rect">
                      <a:avLst/>
                    </a:prstGeom>
                  </pic:spPr>
                </pic:pic>
              </a:graphicData>
            </a:graphic>
          </wp:inline>
        </w:drawing>
      </w:r>
    </w:p>
    <w:p w14:paraId="00137A91" w14:textId="1771CE45" w:rsidR="00605D1D" w:rsidRDefault="00605D1D" w:rsidP="00605D1D">
      <w:pPr>
        <w:spacing w:before="100" w:beforeAutospacing="1" w:after="0" w:line="240" w:lineRule="auto"/>
        <w:jc w:val="center"/>
        <w:rPr>
          <w:rFonts w:ascii="Verdana" w:eastAsia="Times New Roman" w:hAnsi="Verdana" w:cs="Times New Roman"/>
          <w:color w:val="1F1F1F"/>
          <w:kern w:val="0"/>
          <w:lang w:eastAsia="es-CO"/>
          <w14:ligatures w14:val="none"/>
        </w:rPr>
      </w:pPr>
      <w:r w:rsidRPr="00605D1D">
        <w:rPr>
          <w:rFonts w:ascii="Verdana" w:eastAsia="Times New Roman" w:hAnsi="Verdana" w:cs="Times New Roman"/>
          <w:noProof/>
          <w:color w:val="1F1F1F"/>
          <w:kern w:val="0"/>
          <w:lang w:eastAsia="es-CO"/>
          <w14:ligatures w14:val="none"/>
        </w:rPr>
        <w:drawing>
          <wp:inline distT="0" distB="0" distL="0" distR="0" wp14:anchorId="0402EA23" wp14:editId="659C7770">
            <wp:extent cx="5372002" cy="2295525"/>
            <wp:effectExtent l="0" t="0" r="635" b="0"/>
            <wp:docPr id="4" name="Imagen 4" descr="Text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400209" cy="2307578"/>
                    </a:xfrm>
                    <a:prstGeom prst="rect">
                      <a:avLst/>
                    </a:prstGeom>
                  </pic:spPr>
                </pic:pic>
              </a:graphicData>
            </a:graphic>
          </wp:inline>
        </w:drawing>
      </w:r>
    </w:p>
    <w:p w14:paraId="03413B6C" w14:textId="6BE0A795" w:rsidR="00990AB0" w:rsidRPr="00990AB0" w:rsidRDefault="00990AB0" w:rsidP="00990AB0">
      <w:pPr>
        <w:spacing w:before="100" w:beforeAutospacing="1" w:after="0" w:line="240" w:lineRule="auto"/>
        <w:rPr>
          <w:rFonts w:ascii="Verdana" w:eastAsia="Times New Roman" w:hAnsi="Verdana" w:cs="Times New Roman"/>
          <w:color w:val="1F1F1F"/>
          <w:kern w:val="0"/>
          <w:sz w:val="24"/>
          <w:szCs w:val="24"/>
          <w:lang w:eastAsia="es-CO"/>
          <w14:ligatures w14:val="none"/>
        </w:rPr>
      </w:pPr>
      <w:r w:rsidRPr="00990AB0">
        <w:rPr>
          <w:rFonts w:ascii="Verdana" w:eastAsia="Times New Roman" w:hAnsi="Verdana" w:cs="Times New Roman"/>
          <w:color w:val="1F1F1F"/>
          <w:kern w:val="0"/>
          <w:lang w:eastAsia="es-CO"/>
          <w14:ligatures w14:val="none"/>
        </w:rPr>
        <w:t>Zona de restauración:</w:t>
      </w:r>
    </w:p>
    <w:p w14:paraId="0CCA6BF2" w14:textId="0B72C077" w:rsidR="00605D1D" w:rsidRDefault="00605D1D" w:rsidP="00605D1D">
      <w:pPr>
        <w:spacing w:before="100" w:beforeAutospacing="1" w:after="0" w:line="240" w:lineRule="auto"/>
        <w:jc w:val="center"/>
        <w:rPr>
          <w:rFonts w:ascii="Verdana" w:eastAsia="Times New Roman" w:hAnsi="Verdana" w:cs="Times New Roman"/>
          <w:color w:val="1F1F1F"/>
          <w:kern w:val="0"/>
          <w:sz w:val="20"/>
          <w:szCs w:val="20"/>
          <w:lang w:eastAsia="es-CO"/>
          <w14:ligatures w14:val="none"/>
        </w:rPr>
      </w:pPr>
      <w:r w:rsidRPr="00605D1D">
        <w:rPr>
          <w:rFonts w:ascii="Verdana" w:eastAsia="Times New Roman" w:hAnsi="Verdana" w:cs="Times New Roman"/>
          <w:color w:val="1F1F1F"/>
          <w:kern w:val="0"/>
          <w:sz w:val="20"/>
          <w:szCs w:val="20"/>
          <w:lang w:eastAsia="es-CO"/>
          <w14:ligatures w14:val="none"/>
        </w:rPr>
        <w:t>Régimen de usos para la zona de restauración</w:t>
      </w:r>
    </w:p>
    <w:p w14:paraId="4C4E42B6" w14:textId="22415AC6" w:rsidR="00605D1D" w:rsidRDefault="00605D1D" w:rsidP="00605D1D">
      <w:pPr>
        <w:spacing w:before="100" w:beforeAutospacing="1" w:after="0" w:line="240" w:lineRule="auto"/>
        <w:jc w:val="center"/>
        <w:rPr>
          <w:noProof/>
        </w:rPr>
      </w:pPr>
      <w:r w:rsidRPr="00605D1D">
        <w:rPr>
          <w:rFonts w:ascii="Verdana" w:eastAsia="Times New Roman" w:hAnsi="Verdana" w:cs="Times New Roman"/>
          <w:noProof/>
          <w:color w:val="1F1F1F"/>
          <w:kern w:val="0"/>
          <w:sz w:val="20"/>
          <w:szCs w:val="20"/>
          <w:lang w:eastAsia="es-CO"/>
          <w14:ligatures w14:val="none"/>
        </w:rPr>
        <w:drawing>
          <wp:inline distT="0" distB="0" distL="0" distR="0" wp14:anchorId="113EC883" wp14:editId="49B5B415">
            <wp:extent cx="5612130" cy="2188845"/>
            <wp:effectExtent l="0" t="0" r="7620" b="1905"/>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612130" cy="2188845"/>
                    </a:xfrm>
                    <a:prstGeom prst="rect">
                      <a:avLst/>
                    </a:prstGeom>
                  </pic:spPr>
                </pic:pic>
              </a:graphicData>
            </a:graphic>
          </wp:inline>
        </w:drawing>
      </w:r>
      <w:r w:rsidRPr="00605D1D">
        <w:rPr>
          <w:noProof/>
        </w:rPr>
        <w:t xml:space="preserve"> </w:t>
      </w:r>
      <w:r w:rsidRPr="00605D1D">
        <w:rPr>
          <w:rFonts w:ascii="Verdana" w:eastAsia="Times New Roman" w:hAnsi="Verdana" w:cs="Times New Roman"/>
          <w:noProof/>
          <w:color w:val="1F1F1F"/>
          <w:kern w:val="0"/>
          <w:sz w:val="20"/>
          <w:szCs w:val="20"/>
          <w:lang w:eastAsia="es-CO"/>
          <w14:ligatures w14:val="none"/>
        </w:rPr>
        <w:drawing>
          <wp:inline distT="0" distB="0" distL="0" distR="0" wp14:anchorId="5EA5E7C0" wp14:editId="053852E0">
            <wp:extent cx="5612130" cy="1074420"/>
            <wp:effectExtent l="0" t="0" r="7620" b="0"/>
            <wp:docPr id="8" name="Imagen 8" descr="Text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612130" cy="1074420"/>
                    </a:xfrm>
                    <a:prstGeom prst="rect">
                      <a:avLst/>
                    </a:prstGeom>
                  </pic:spPr>
                </pic:pic>
              </a:graphicData>
            </a:graphic>
          </wp:inline>
        </w:drawing>
      </w:r>
    </w:p>
    <w:p w14:paraId="40441BF8" w14:textId="0BC7E725" w:rsidR="00990AB0" w:rsidRPr="00605D1D" w:rsidRDefault="00990AB0" w:rsidP="00605D1D">
      <w:pPr>
        <w:spacing w:before="100" w:beforeAutospacing="1" w:after="0" w:line="240" w:lineRule="auto"/>
        <w:jc w:val="center"/>
        <w:rPr>
          <w:rFonts w:ascii="Verdana" w:eastAsia="Times New Roman" w:hAnsi="Verdana" w:cs="Times New Roman"/>
          <w:color w:val="1F1F1F"/>
          <w:kern w:val="0"/>
          <w:sz w:val="20"/>
          <w:szCs w:val="20"/>
          <w:lang w:eastAsia="es-CO"/>
          <w14:ligatures w14:val="none"/>
        </w:rPr>
      </w:pPr>
      <w:r w:rsidRPr="00990AB0">
        <w:rPr>
          <w:rFonts w:ascii="Verdana" w:eastAsia="Times New Roman" w:hAnsi="Verdana" w:cs="Times New Roman"/>
          <w:noProof/>
          <w:color w:val="1F1F1F"/>
          <w:kern w:val="0"/>
          <w:sz w:val="20"/>
          <w:szCs w:val="20"/>
          <w:lang w:eastAsia="es-CO"/>
          <w14:ligatures w14:val="none"/>
        </w:rPr>
        <w:drawing>
          <wp:inline distT="0" distB="0" distL="0" distR="0" wp14:anchorId="0EFB36A9" wp14:editId="0AEE1949">
            <wp:extent cx="5612130" cy="4424045"/>
            <wp:effectExtent l="0" t="0" r="7620" b="0"/>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612130" cy="4424045"/>
                    </a:xfrm>
                    <a:prstGeom prst="rect">
                      <a:avLst/>
                    </a:prstGeom>
                  </pic:spPr>
                </pic:pic>
              </a:graphicData>
            </a:graphic>
          </wp:inline>
        </w:drawing>
      </w:r>
    </w:p>
    <w:p w14:paraId="5D2C3097" w14:textId="1D1E36CA" w:rsidR="00990AB0" w:rsidRDefault="00990AB0" w:rsidP="00E978DB">
      <w:pPr>
        <w:spacing w:before="100" w:beforeAutospacing="1" w:after="0" w:line="240" w:lineRule="auto"/>
        <w:jc w:val="both"/>
        <w:rPr>
          <w:rFonts w:ascii="Verdana" w:eastAsia="Times New Roman" w:hAnsi="Verdana" w:cs="Times New Roman"/>
          <w:color w:val="1F1F1F"/>
          <w:kern w:val="0"/>
          <w:lang w:eastAsia="es-CO"/>
          <w14:ligatures w14:val="none"/>
        </w:rPr>
      </w:pPr>
      <w:r w:rsidRPr="00990AB0">
        <w:rPr>
          <w:rFonts w:ascii="Verdana" w:eastAsia="Times New Roman" w:hAnsi="Verdana" w:cs="Times New Roman"/>
          <w:color w:val="1F1F1F"/>
          <w:kern w:val="0"/>
          <w:lang w:eastAsia="es-CO"/>
          <w14:ligatures w14:val="none"/>
        </w:rPr>
        <w:t>Zona de uso sostenible:</w:t>
      </w:r>
    </w:p>
    <w:p w14:paraId="2B28A373" w14:textId="4F5927C7" w:rsidR="00990AB0" w:rsidRPr="00990AB0" w:rsidRDefault="00990AB0" w:rsidP="00E978DB">
      <w:pPr>
        <w:spacing w:before="100" w:beforeAutospacing="1" w:after="0" w:line="240" w:lineRule="auto"/>
        <w:jc w:val="both"/>
        <w:rPr>
          <w:rFonts w:ascii="Verdana" w:eastAsia="Times New Roman" w:hAnsi="Verdana" w:cs="Times New Roman"/>
          <w:color w:val="1F1F1F"/>
          <w:kern w:val="0"/>
          <w:lang w:eastAsia="es-CO"/>
          <w14:ligatures w14:val="none"/>
        </w:rPr>
      </w:pPr>
      <w:r>
        <w:rPr>
          <w:rFonts w:ascii="Verdana" w:eastAsia="Times New Roman" w:hAnsi="Verdana" w:cs="Times New Roman"/>
          <w:color w:val="1F1F1F"/>
          <w:kern w:val="0"/>
          <w:lang w:eastAsia="es-CO"/>
          <w14:ligatures w14:val="none"/>
        </w:rPr>
        <w:t xml:space="preserve">Subzona de </w:t>
      </w:r>
      <w:r w:rsidRPr="00990AB0">
        <w:rPr>
          <w:rFonts w:ascii="Verdana" w:eastAsia="Times New Roman" w:hAnsi="Verdana" w:cs="Times New Roman"/>
          <w:color w:val="1F1F1F"/>
          <w:kern w:val="0"/>
          <w:lang w:eastAsia="es-CO"/>
          <w14:ligatures w14:val="none"/>
        </w:rPr>
        <w:t>aprovechamiento sostenible</w:t>
      </w:r>
      <w:r>
        <w:rPr>
          <w:rFonts w:ascii="Verdana" w:eastAsia="Times New Roman" w:hAnsi="Verdana" w:cs="Times New Roman"/>
          <w:color w:val="1F1F1F"/>
          <w:kern w:val="0"/>
          <w:lang w:eastAsia="es-CO"/>
          <w14:ligatures w14:val="none"/>
        </w:rPr>
        <w:t>:</w:t>
      </w:r>
    </w:p>
    <w:p w14:paraId="6C17F150" w14:textId="7E929C93" w:rsidR="00990AB0" w:rsidRDefault="00990AB0" w:rsidP="00990AB0">
      <w:pPr>
        <w:spacing w:before="100" w:beforeAutospacing="1" w:after="0" w:line="240" w:lineRule="auto"/>
        <w:jc w:val="center"/>
        <w:rPr>
          <w:rFonts w:ascii="Verdana" w:eastAsia="Times New Roman" w:hAnsi="Verdana" w:cs="Times New Roman"/>
          <w:color w:val="1F1F1F"/>
          <w:kern w:val="0"/>
          <w:sz w:val="20"/>
          <w:szCs w:val="20"/>
          <w:lang w:eastAsia="es-CO"/>
          <w14:ligatures w14:val="none"/>
        </w:rPr>
      </w:pPr>
      <w:r w:rsidRPr="00990AB0">
        <w:rPr>
          <w:rFonts w:ascii="Verdana" w:eastAsia="Times New Roman" w:hAnsi="Verdana" w:cs="Times New Roman"/>
          <w:color w:val="1F1F1F"/>
          <w:kern w:val="0"/>
          <w:sz w:val="20"/>
          <w:szCs w:val="20"/>
          <w:lang w:eastAsia="es-CO"/>
          <w14:ligatures w14:val="none"/>
        </w:rPr>
        <w:t>Régimen de usos para la subzona de aprovechamiento sostenible</w:t>
      </w:r>
    </w:p>
    <w:p w14:paraId="63C20141" w14:textId="54CF8958" w:rsidR="00990AB0" w:rsidRDefault="00990AB0" w:rsidP="00990AB0">
      <w:pPr>
        <w:spacing w:before="100" w:beforeAutospacing="1" w:after="0" w:line="240" w:lineRule="auto"/>
        <w:jc w:val="center"/>
        <w:rPr>
          <w:rFonts w:ascii="Verdana" w:eastAsia="Times New Roman" w:hAnsi="Verdana" w:cs="Times New Roman"/>
          <w:color w:val="1F1F1F"/>
          <w:kern w:val="0"/>
          <w:sz w:val="20"/>
          <w:szCs w:val="20"/>
          <w:lang w:eastAsia="es-CO"/>
          <w14:ligatures w14:val="none"/>
        </w:rPr>
      </w:pPr>
      <w:r w:rsidRPr="00990AB0">
        <w:rPr>
          <w:rFonts w:ascii="Verdana" w:eastAsia="Times New Roman" w:hAnsi="Verdana" w:cs="Times New Roman"/>
          <w:noProof/>
          <w:color w:val="1F1F1F"/>
          <w:kern w:val="0"/>
          <w:sz w:val="20"/>
          <w:szCs w:val="20"/>
          <w:lang w:eastAsia="es-CO"/>
          <w14:ligatures w14:val="none"/>
        </w:rPr>
        <w:drawing>
          <wp:inline distT="0" distB="0" distL="0" distR="0" wp14:anchorId="675F2651" wp14:editId="67CA7C6B">
            <wp:extent cx="5095877" cy="1132417"/>
            <wp:effectExtent l="0" t="0" r="0" b="0"/>
            <wp:docPr id="11" name="Imagen 11" descr="Text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5141768" cy="1142615"/>
                    </a:xfrm>
                    <a:prstGeom prst="rect">
                      <a:avLst/>
                    </a:prstGeom>
                  </pic:spPr>
                </pic:pic>
              </a:graphicData>
            </a:graphic>
          </wp:inline>
        </w:drawing>
      </w:r>
    </w:p>
    <w:p w14:paraId="67306C52" w14:textId="77777777" w:rsidR="00990AB0" w:rsidRDefault="00990AB0" w:rsidP="00990AB0">
      <w:pPr>
        <w:spacing w:before="100" w:beforeAutospacing="1" w:after="0" w:line="240" w:lineRule="auto"/>
        <w:jc w:val="center"/>
        <w:rPr>
          <w:rFonts w:ascii="Verdana" w:eastAsia="Times New Roman" w:hAnsi="Verdana" w:cs="Times New Roman"/>
          <w:color w:val="1F1F1F"/>
          <w:kern w:val="0"/>
          <w:sz w:val="20"/>
          <w:szCs w:val="20"/>
          <w:lang w:eastAsia="es-CO"/>
          <w14:ligatures w14:val="none"/>
        </w:rPr>
      </w:pPr>
      <w:r w:rsidRPr="00990AB0">
        <w:rPr>
          <w:rFonts w:ascii="Verdana" w:eastAsia="Times New Roman" w:hAnsi="Verdana" w:cs="Times New Roman"/>
          <w:noProof/>
          <w:color w:val="1F1F1F"/>
          <w:kern w:val="0"/>
          <w:sz w:val="20"/>
          <w:szCs w:val="20"/>
          <w:lang w:eastAsia="es-CO"/>
          <w14:ligatures w14:val="none"/>
        </w:rPr>
        <w:drawing>
          <wp:inline distT="0" distB="0" distL="0" distR="0" wp14:anchorId="14C042CB" wp14:editId="2F3E51AF">
            <wp:extent cx="4881019" cy="3272790"/>
            <wp:effectExtent l="0" t="0" r="0" b="3810"/>
            <wp:docPr id="12" name="Imagen 12" descr="Text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4940997" cy="3313006"/>
                    </a:xfrm>
                    <a:prstGeom prst="rect">
                      <a:avLst/>
                    </a:prstGeom>
                  </pic:spPr>
                </pic:pic>
              </a:graphicData>
            </a:graphic>
          </wp:inline>
        </w:drawing>
      </w:r>
    </w:p>
    <w:p w14:paraId="38D4C704" w14:textId="5E13F082" w:rsidR="00990AB0" w:rsidRDefault="00990AB0" w:rsidP="00990AB0">
      <w:pPr>
        <w:spacing w:before="100" w:beforeAutospacing="1" w:after="0" w:line="240" w:lineRule="auto"/>
        <w:jc w:val="center"/>
        <w:rPr>
          <w:rFonts w:ascii="Verdana" w:eastAsia="Times New Roman" w:hAnsi="Verdana" w:cs="Times New Roman"/>
          <w:color w:val="1F1F1F"/>
          <w:kern w:val="0"/>
          <w:sz w:val="20"/>
          <w:szCs w:val="20"/>
          <w:lang w:eastAsia="es-CO"/>
          <w14:ligatures w14:val="none"/>
        </w:rPr>
      </w:pPr>
      <w:r w:rsidRPr="00990AB0">
        <w:rPr>
          <w:rFonts w:ascii="Verdana" w:eastAsia="Times New Roman" w:hAnsi="Verdana" w:cs="Times New Roman"/>
          <w:noProof/>
          <w:color w:val="1F1F1F"/>
          <w:kern w:val="0"/>
          <w:sz w:val="20"/>
          <w:szCs w:val="20"/>
          <w:lang w:eastAsia="es-CO"/>
          <w14:ligatures w14:val="none"/>
        </w:rPr>
        <w:drawing>
          <wp:inline distT="0" distB="0" distL="0" distR="0" wp14:anchorId="1E60EEE9" wp14:editId="66C56880">
            <wp:extent cx="4943475" cy="3818637"/>
            <wp:effectExtent l="0" t="0" r="0" b="0"/>
            <wp:docPr id="13" name="Imagen 13" descr="Tabl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5004381" cy="3865685"/>
                    </a:xfrm>
                    <a:prstGeom prst="rect">
                      <a:avLst/>
                    </a:prstGeom>
                  </pic:spPr>
                </pic:pic>
              </a:graphicData>
            </a:graphic>
          </wp:inline>
        </w:drawing>
      </w:r>
    </w:p>
    <w:p w14:paraId="3DFE8AB0" w14:textId="3FBC4FA7" w:rsidR="00990AB0" w:rsidRDefault="00B45226" w:rsidP="00B45226">
      <w:pPr>
        <w:spacing w:before="100" w:beforeAutospacing="1" w:after="0" w:line="240" w:lineRule="auto"/>
        <w:jc w:val="both"/>
        <w:rPr>
          <w:rFonts w:ascii="Verdana" w:eastAsia="Times New Roman" w:hAnsi="Verdana" w:cs="Times New Roman"/>
          <w:color w:val="1F1F1F"/>
          <w:kern w:val="0"/>
          <w:lang w:eastAsia="es-CO"/>
          <w14:ligatures w14:val="none"/>
        </w:rPr>
      </w:pPr>
      <w:r w:rsidRPr="00B45226">
        <w:rPr>
          <w:rFonts w:ascii="Verdana" w:eastAsia="Times New Roman" w:hAnsi="Verdana" w:cs="Times New Roman"/>
          <w:color w:val="1F1F1F"/>
          <w:kern w:val="0"/>
          <w:lang w:eastAsia="es-CO"/>
          <w14:ligatures w14:val="none"/>
        </w:rPr>
        <w:t>Subzona de desarrollo:</w:t>
      </w:r>
    </w:p>
    <w:p w14:paraId="3648856C" w14:textId="5BCF61C6" w:rsidR="00B45226" w:rsidRDefault="00B45226" w:rsidP="00B45226">
      <w:pPr>
        <w:spacing w:before="100" w:beforeAutospacing="1" w:after="0" w:line="240" w:lineRule="auto"/>
        <w:jc w:val="center"/>
        <w:rPr>
          <w:rFonts w:ascii="Verdana" w:hAnsi="Verdana"/>
          <w:sz w:val="20"/>
          <w:szCs w:val="20"/>
        </w:rPr>
      </w:pPr>
      <w:r w:rsidRPr="00B45226">
        <w:rPr>
          <w:rFonts w:ascii="Verdana" w:hAnsi="Verdana"/>
          <w:sz w:val="20"/>
          <w:szCs w:val="20"/>
        </w:rPr>
        <w:t>Régimen de usos para la subzona de desarrollo sostenible</w:t>
      </w:r>
    </w:p>
    <w:p w14:paraId="3DE6D427" w14:textId="49AAD610" w:rsidR="00B45226" w:rsidRDefault="00B45226" w:rsidP="00B45226">
      <w:pPr>
        <w:spacing w:before="100" w:beforeAutospacing="1" w:after="0" w:line="240" w:lineRule="auto"/>
        <w:jc w:val="center"/>
        <w:rPr>
          <w:rFonts w:ascii="Verdana" w:eastAsia="Times New Roman" w:hAnsi="Verdana" w:cs="Times New Roman"/>
          <w:color w:val="1F1F1F"/>
          <w:kern w:val="0"/>
          <w:sz w:val="20"/>
          <w:szCs w:val="20"/>
          <w:lang w:eastAsia="es-CO"/>
          <w14:ligatures w14:val="none"/>
        </w:rPr>
      </w:pPr>
      <w:r w:rsidRPr="00B45226">
        <w:rPr>
          <w:rFonts w:ascii="Verdana" w:eastAsia="Times New Roman" w:hAnsi="Verdana" w:cs="Times New Roman"/>
          <w:noProof/>
          <w:color w:val="1F1F1F"/>
          <w:kern w:val="0"/>
          <w:sz w:val="20"/>
          <w:szCs w:val="20"/>
          <w:lang w:eastAsia="es-CO"/>
          <w14:ligatures w14:val="none"/>
        </w:rPr>
        <w:drawing>
          <wp:inline distT="0" distB="0" distL="0" distR="0" wp14:anchorId="362EBB6A" wp14:editId="6CEF9E79">
            <wp:extent cx="4933950" cy="6455432"/>
            <wp:effectExtent l="0" t="0" r="0" b="2540"/>
            <wp:docPr id="14" name="Imagen 14" descr="Interfaz de usuario gráfica, Text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4951911" cy="6478932"/>
                    </a:xfrm>
                    <a:prstGeom prst="rect">
                      <a:avLst/>
                    </a:prstGeom>
                  </pic:spPr>
                </pic:pic>
              </a:graphicData>
            </a:graphic>
          </wp:inline>
        </w:drawing>
      </w:r>
    </w:p>
    <w:p w14:paraId="39E2FA6E" w14:textId="57C8BDC7" w:rsidR="00B45226" w:rsidRDefault="00B45226" w:rsidP="00B45226">
      <w:pPr>
        <w:spacing w:before="100" w:beforeAutospacing="1" w:after="0" w:line="240" w:lineRule="auto"/>
        <w:jc w:val="center"/>
        <w:rPr>
          <w:noProof/>
        </w:rPr>
      </w:pPr>
      <w:r w:rsidRPr="00B45226">
        <w:rPr>
          <w:rFonts w:ascii="Verdana" w:eastAsia="Times New Roman" w:hAnsi="Verdana" w:cs="Times New Roman"/>
          <w:noProof/>
          <w:color w:val="1F1F1F"/>
          <w:kern w:val="0"/>
          <w:sz w:val="20"/>
          <w:szCs w:val="20"/>
          <w:lang w:eastAsia="es-CO"/>
          <w14:ligatures w14:val="none"/>
        </w:rPr>
        <w:drawing>
          <wp:inline distT="0" distB="0" distL="0" distR="0" wp14:anchorId="28E6028B" wp14:editId="7D72F3A3">
            <wp:extent cx="4810125" cy="6487829"/>
            <wp:effectExtent l="0" t="0" r="0" b="8255"/>
            <wp:docPr id="15" name="Imagen 15" descr="Text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4825249" cy="6508228"/>
                    </a:xfrm>
                    <a:prstGeom prst="rect">
                      <a:avLst/>
                    </a:prstGeom>
                  </pic:spPr>
                </pic:pic>
              </a:graphicData>
            </a:graphic>
          </wp:inline>
        </w:drawing>
      </w:r>
      <w:r w:rsidRPr="00B45226">
        <w:rPr>
          <w:noProof/>
        </w:rPr>
        <w:t xml:space="preserve"> </w:t>
      </w:r>
      <w:r w:rsidRPr="00B45226">
        <w:rPr>
          <w:rFonts w:ascii="Verdana" w:eastAsia="Times New Roman" w:hAnsi="Verdana" w:cs="Times New Roman"/>
          <w:noProof/>
          <w:color w:val="1F1F1F"/>
          <w:kern w:val="0"/>
          <w:sz w:val="20"/>
          <w:szCs w:val="20"/>
          <w:lang w:eastAsia="es-CO"/>
          <w14:ligatures w14:val="none"/>
        </w:rPr>
        <w:drawing>
          <wp:inline distT="0" distB="0" distL="0" distR="0" wp14:anchorId="037985E4" wp14:editId="24565023">
            <wp:extent cx="4791075" cy="747618"/>
            <wp:effectExtent l="0" t="0" r="0" b="0"/>
            <wp:docPr id="16"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4817877" cy="751800"/>
                    </a:xfrm>
                    <a:prstGeom prst="rect">
                      <a:avLst/>
                    </a:prstGeom>
                  </pic:spPr>
                </pic:pic>
              </a:graphicData>
            </a:graphic>
          </wp:inline>
        </w:drawing>
      </w:r>
    </w:p>
    <w:p w14:paraId="4B2550DC" w14:textId="64A54CAD" w:rsidR="00B45226" w:rsidRDefault="00B45226" w:rsidP="00B45226">
      <w:pPr>
        <w:spacing w:before="100" w:beforeAutospacing="1" w:after="0" w:line="240" w:lineRule="auto"/>
        <w:jc w:val="both"/>
        <w:rPr>
          <w:rFonts w:ascii="Verdana" w:hAnsi="Verdana"/>
          <w:noProof/>
        </w:rPr>
      </w:pPr>
      <w:r w:rsidRPr="00B45226">
        <w:rPr>
          <w:rFonts w:ascii="Verdana" w:hAnsi="Verdana"/>
          <w:noProof/>
        </w:rPr>
        <w:t>Zona general de uso público:</w:t>
      </w:r>
    </w:p>
    <w:p w14:paraId="347B6FBA" w14:textId="4ECBF5D5" w:rsidR="00B45226" w:rsidRDefault="00B45226" w:rsidP="00B45226">
      <w:pPr>
        <w:spacing w:before="100" w:beforeAutospacing="1" w:after="0" w:line="240" w:lineRule="auto"/>
        <w:jc w:val="center"/>
        <w:rPr>
          <w:rFonts w:ascii="Verdana" w:hAnsi="Verdana"/>
          <w:sz w:val="20"/>
          <w:szCs w:val="20"/>
        </w:rPr>
      </w:pPr>
      <w:r w:rsidRPr="00B45226">
        <w:rPr>
          <w:rFonts w:ascii="Verdana" w:hAnsi="Verdana"/>
          <w:sz w:val="20"/>
          <w:szCs w:val="20"/>
        </w:rPr>
        <w:t>Régimen de usos para la zona general de uso público</w:t>
      </w:r>
    </w:p>
    <w:p w14:paraId="01A2C8D8" w14:textId="06935A81" w:rsidR="00B45226" w:rsidRPr="00B45226" w:rsidRDefault="00B45226" w:rsidP="00B45226">
      <w:pPr>
        <w:spacing w:before="100" w:beforeAutospacing="1" w:after="0" w:line="240" w:lineRule="auto"/>
        <w:jc w:val="center"/>
        <w:rPr>
          <w:rFonts w:ascii="Verdana" w:eastAsia="Times New Roman" w:hAnsi="Verdana" w:cs="Times New Roman"/>
          <w:color w:val="1F1F1F"/>
          <w:kern w:val="0"/>
          <w:sz w:val="18"/>
          <w:szCs w:val="18"/>
          <w:lang w:eastAsia="es-CO"/>
          <w14:ligatures w14:val="none"/>
        </w:rPr>
      </w:pPr>
      <w:r w:rsidRPr="00B45226">
        <w:rPr>
          <w:rFonts w:ascii="Verdana" w:eastAsia="Times New Roman" w:hAnsi="Verdana" w:cs="Times New Roman"/>
          <w:noProof/>
          <w:color w:val="1F1F1F"/>
          <w:kern w:val="0"/>
          <w:sz w:val="18"/>
          <w:szCs w:val="18"/>
          <w:lang w:eastAsia="es-CO"/>
          <w14:ligatures w14:val="none"/>
        </w:rPr>
        <w:drawing>
          <wp:inline distT="0" distB="0" distL="0" distR="0" wp14:anchorId="24461CFF" wp14:editId="25A29D4C">
            <wp:extent cx="5612130" cy="3962400"/>
            <wp:effectExtent l="0" t="0" r="7620" b="0"/>
            <wp:docPr id="17" name="Imagen 17" descr="Interfaz de usuario gráfica, Texto, Aplicación, Correo electrónic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2"/>
                    <a:srcRect b="4470"/>
                    <a:stretch/>
                  </pic:blipFill>
                  <pic:spPr bwMode="auto">
                    <a:xfrm>
                      <a:off x="0" y="0"/>
                      <a:ext cx="5612130" cy="3962400"/>
                    </a:xfrm>
                    <a:prstGeom prst="rect">
                      <a:avLst/>
                    </a:prstGeom>
                    <a:ln>
                      <a:noFill/>
                    </a:ln>
                    <a:extLst>
                      <a:ext uri="{53640926-AAD7-44D8-BBD7-CCE9431645EC}">
                        <a14:shadowObscured xmlns:a14="http://schemas.microsoft.com/office/drawing/2010/main"/>
                      </a:ext>
                    </a:extLst>
                  </pic:spPr>
                </pic:pic>
              </a:graphicData>
            </a:graphic>
          </wp:inline>
        </w:drawing>
      </w:r>
      <w:r w:rsidRPr="00B45226">
        <w:rPr>
          <w:noProof/>
        </w:rPr>
        <w:t xml:space="preserve"> </w:t>
      </w:r>
      <w:r w:rsidRPr="00B45226">
        <w:rPr>
          <w:rFonts w:ascii="Verdana" w:eastAsia="Times New Roman" w:hAnsi="Verdana" w:cs="Times New Roman"/>
          <w:noProof/>
          <w:color w:val="1F1F1F"/>
          <w:kern w:val="0"/>
          <w:sz w:val="18"/>
          <w:szCs w:val="18"/>
          <w:lang w:eastAsia="es-CO"/>
          <w14:ligatures w14:val="none"/>
        </w:rPr>
        <w:drawing>
          <wp:inline distT="0" distB="0" distL="0" distR="0" wp14:anchorId="008D2AE9" wp14:editId="529816CA">
            <wp:extent cx="5612130" cy="1443355"/>
            <wp:effectExtent l="0" t="0" r="7620" b="4445"/>
            <wp:docPr id="18" name="Imagen 18" descr="Interfaz de usuario gráfica, Aplicación&#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3"/>
                    <a:srcRect t="4416"/>
                    <a:stretch/>
                  </pic:blipFill>
                  <pic:spPr bwMode="auto">
                    <a:xfrm>
                      <a:off x="0" y="0"/>
                      <a:ext cx="5612130" cy="1443355"/>
                    </a:xfrm>
                    <a:prstGeom prst="rect">
                      <a:avLst/>
                    </a:prstGeom>
                    <a:ln>
                      <a:noFill/>
                    </a:ln>
                    <a:extLst>
                      <a:ext uri="{53640926-AAD7-44D8-BBD7-CCE9431645EC}">
                        <a14:shadowObscured xmlns:a14="http://schemas.microsoft.com/office/drawing/2010/main"/>
                      </a:ext>
                    </a:extLst>
                  </pic:spPr>
                </pic:pic>
              </a:graphicData>
            </a:graphic>
          </wp:inline>
        </w:drawing>
      </w:r>
    </w:p>
    <w:p w14:paraId="24C7010C" w14:textId="080C8E00" w:rsidR="001D25F3" w:rsidRDefault="001D25F3" w:rsidP="00E978DB">
      <w:pPr>
        <w:spacing w:before="100" w:beforeAutospacing="1" w:after="0" w:line="240" w:lineRule="auto"/>
        <w:jc w:val="both"/>
        <w:rPr>
          <w:rFonts w:ascii="Verdana" w:eastAsia="Times New Roman" w:hAnsi="Verdana" w:cs="Times New Roman"/>
          <w:color w:val="1F1F1F"/>
          <w:kern w:val="0"/>
          <w:lang w:eastAsia="es-CO"/>
          <w14:ligatures w14:val="none"/>
        </w:rPr>
      </w:pPr>
      <w:r w:rsidRPr="001D25F3">
        <w:rPr>
          <w:rFonts w:ascii="Verdana" w:eastAsia="Times New Roman" w:hAnsi="Verdana" w:cs="Times New Roman"/>
          <w:color w:val="1F1F1F"/>
          <w:kern w:val="0"/>
          <w:lang w:eastAsia="es-CO"/>
          <w14:ligatures w14:val="none"/>
        </w:rPr>
        <w:t>Dentro de este esquema, el componente otorga un peso significativo a la Zona de Uso Sostenible, la cual funciona como una ventana de regularización y coexistencia con las actividades productivas y de minería tradicional que cuentan con procesos de formalización en marcha. El documento establece que estas dinámicas antrópicas pueden desarrollarse bajo un régimen condicionado, supeditadas al estricto cumplimiento de Planes de Manejo Ambiental validad</w:t>
      </w:r>
      <w:r w:rsidR="00EE199F">
        <w:rPr>
          <w:rFonts w:ascii="Verdana" w:eastAsia="Times New Roman" w:hAnsi="Verdana" w:cs="Times New Roman"/>
          <w:color w:val="1F1F1F"/>
          <w:kern w:val="0"/>
          <w:lang w:eastAsia="es-CO"/>
          <w14:ligatures w14:val="none"/>
        </w:rPr>
        <w:t>o</w:t>
      </w:r>
      <w:r w:rsidRPr="001D25F3">
        <w:rPr>
          <w:rFonts w:ascii="Verdana" w:eastAsia="Times New Roman" w:hAnsi="Verdana" w:cs="Times New Roman"/>
          <w:color w:val="1F1F1F"/>
          <w:kern w:val="0"/>
          <w:lang w:eastAsia="es-CO"/>
          <w14:ligatures w14:val="none"/>
        </w:rPr>
        <w:t>s por CORANTIOQUIA. Esta aproximación regulatoria busca evitar la exclusión o el desplazamiento de las comunidades, promoviendo en su lugar la adopción de prácticas de reconversión técnica y la protección de la conectividad ecológica estructural en áreas que ya registran intervención histórica.</w:t>
      </w:r>
    </w:p>
    <w:p w14:paraId="017FDF89" w14:textId="13A1A130" w:rsidR="001D25F3" w:rsidRPr="001D25F3" w:rsidRDefault="00445034" w:rsidP="0059076B">
      <w:pPr>
        <w:spacing w:before="100" w:beforeAutospacing="1" w:after="0" w:line="240" w:lineRule="auto"/>
        <w:jc w:val="both"/>
        <w:rPr>
          <w:rFonts w:ascii="Verdana" w:eastAsia="Times New Roman" w:hAnsi="Verdana" w:cs="Times New Roman"/>
          <w:color w:val="1F1F1F"/>
          <w:kern w:val="0"/>
          <w:lang w:eastAsia="es-CO"/>
          <w14:ligatures w14:val="none"/>
        </w:rPr>
      </w:pPr>
      <w:r>
        <w:rPr>
          <w:rFonts w:ascii="Verdana" w:eastAsia="Times New Roman" w:hAnsi="Verdana" w:cs="Times New Roman"/>
          <w:color w:val="1F1F1F"/>
          <w:kern w:val="0"/>
          <w:lang w:eastAsia="es-CO"/>
          <w14:ligatures w14:val="none"/>
        </w:rPr>
        <w:t>Así mismo</w:t>
      </w:r>
      <w:r w:rsidR="001D25F3" w:rsidRPr="001D25F3">
        <w:rPr>
          <w:rFonts w:ascii="Verdana" w:eastAsia="Times New Roman" w:hAnsi="Verdana" w:cs="Times New Roman"/>
          <w:color w:val="1F1F1F"/>
          <w:kern w:val="0"/>
          <w:lang w:eastAsia="es-CO"/>
          <w14:ligatures w14:val="none"/>
        </w:rPr>
        <w:t xml:space="preserve">, el componente de ordenamiento aborda la prospectiva del área protegida y su resiliencia ante el cambio climático, contrastando dos escenarios futuros </w:t>
      </w:r>
      <w:r>
        <w:rPr>
          <w:rFonts w:ascii="Verdana" w:eastAsia="Times New Roman" w:hAnsi="Verdana" w:cs="Times New Roman"/>
          <w:color w:val="1F1F1F"/>
          <w:kern w:val="0"/>
          <w:lang w:eastAsia="es-CO"/>
          <w14:ligatures w14:val="none"/>
        </w:rPr>
        <w:t>importantes</w:t>
      </w:r>
      <w:r w:rsidR="001D25F3" w:rsidRPr="001D25F3">
        <w:rPr>
          <w:rFonts w:ascii="Verdana" w:eastAsia="Times New Roman" w:hAnsi="Verdana" w:cs="Times New Roman"/>
          <w:color w:val="1F1F1F"/>
          <w:kern w:val="0"/>
          <w:lang w:eastAsia="es-CO"/>
          <w14:ligatures w14:val="none"/>
        </w:rPr>
        <w:t>. Por un lado, se expone el escenario tendencial, el cual advierte una degradación acelerada del territorio, pérdida de biodiversidad y agudización de los conflictos socioambientales en caso de no ejecutarse las directrices del plan. Por otro lado, se formula el escenario apuesta, el cual demuestra cómo la implementación efectiva de la zonificación propuesta, el control institucional y la adopción de incentivos a la conservación pueden estabilizar la frontera agropecuaria, regularizar la minería aluvial y consolidar al DRMI como un modelo de desarrollo sostenible y adaptativo en el departamento de Antioquia.</w:t>
      </w:r>
    </w:p>
    <w:p w14:paraId="212222FA" w14:textId="77777777" w:rsidR="007D1D94" w:rsidRPr="002A486F" w:rsidRDefault="007D1D94" w:rsidP="007D1D94">
      <w:pPr>
        <w:pStyle w:val="NormalWeb"/>
        <w:spacing w:after="0" w:afterAutospacing="0"/>
        <w:jc w:val="both"/>
        <w:rPr>
          <w:rFonts w:ascii="Verdana" w:hAnsi="Verdana"/>
          <w:color w:val="1F1F1F"/>
          <w:sz w:val="22"/>
          <w:szCs w:val="22"/>
        </w:rPr>
      </w:pPr>
    </w:p>
    <w:p w14:paraId="4EAA45A1" w14:textId="5CDD291D" w:rsidR="002A486F" w:rsidRPr="0001473B" w:rsidRDefault="002A486F" w:rsidP="002A486F">
      <w:pPr>
        <w:pStyle w:val="Ttulo2"/>
        <w:jc w:val="both"/>
        <w:rPr>
          <w:rFonts w:ascii="Verdana" w:hAnsi="Verdana"/>
          <w:b/>
          <w:bCs/>
          <w:color w:val="1F1F1F"/>
          <w:sz w:val="22"/>
          <w:szCs w:val="22"/>
        </w:rPr>
      </w:pPr>
      <w:r w:rsidRPr="0001473B">
        <w:rPr>
          <w:rFonts w:ascii="Verdana" w:hAnsi="Verdana"/>
          <w:b/>
          <w:bCs/>
          <w:color w:val="1F1F1F"/>
          <w:sz w:val="22"/>
          <w:szCs w:val="22"/>
        </w:rPr>
        <w:t>5. JUSTIFICACIÓN TÉCNICA PARA EL LEVANTAMIENTO DE RESTRICCIONES EN EL POLÍGONO 8</w:t>
      </w:r>
      <w:r w:rsidR="0001473B">
        <w:rPr>
          <w:rFonts w:ascii="Verdana" w:hAnsi="Verdana"/>
          <w:b/>
          <w:bCs/>
          <w:color w:val="1F1F1F"/>
          <w:sz w:val="22"/>
          <w:szCs w:val="22"/>
        </w:rPr>
        <w:t xml:space="preserve"> DRMI BAJO CAUCA NECHÍ</w:t>
      </w:r>
    </w:p>
    <w:p w14:paraId="677F101C" w14:textId="45A6760B" w:rsidR="002A486F" w:rsidRDefault="002A486F" w:rsidP="00B870E3">
      <w:pPr>
        <w:pStyle w:val="NormalWeb"/>
        <w:spacing w:after="0" w:afterAutospacing="0"/>
        <w:jc w:val="both"/>
        <w:rPr>
          <w:rFonts w:ascii="Verdana" w:hAnsi="Verdana"/>
          <w:color w:val="1F1F1F"/>
          <w:sz w:val="22"/>
          <w:szCs w:val="22"/>
        </w:rPr>
      </w:pPr>
      <w:r w:rsidRPr="002A486F">
        <w:rPr>
          <w:rFonts w:ascii="Verdana" w:hAnsi="Verdana"/>
          <w:color w:val="1F1F1F"/>
          <w:sz w:val="22"/>
          <w:szCs w:val="22"/>
        </w:rPr>
        <w:t xml:space="preserve">Con base en la integración de los insumos anteriores, el levantamiento de las restricciones de la Resolución 1499 de 2025 sobre el </w:t>
      </w:r>
      <w:r w:rsidRPr="002A486F">
        <w:rPr>
          <w:rFonts w:ascii="Verdana" w:hAnsi="Verdana"/>
          <w:color w:val="1F1F1F"/>
          <w:sz w:val="22"/>
          <w:szCs w:val="22"/>
          <w:bdr w:val="none" w:sz="0" w:space="0" w:color="auto" w:frame="1"/>
        </w:rPr>
        <w:t>Polígono 8</w:t>
      </w:r>
      <w:r w:rsidR="0001473B">
        <w:rPr>
          <w:rFonts w:ascii="Verdana" w:hAnsi="Verdana"/>
          <w:color w:val="1F1F1F"/>
          <w:sz w:val="22"/>
          <w:szCs w:val="22"/>
          <w:bdr w:val="none" w:sz="0" w:space="0" w:color="auto" w:frame="1"/>
        </w:rPr>
        <w:t xml:space="preserve">, </w:t>
      </w:r>
      <w:r w:rsidR="00B870E3">
        <w:rPr>
          <w:rFonts w:ascii="Verdana" w:hAnsi="Verdana"/>
          <w:color w:val="1F1F1F"/>
          <w:sz w:val="22"/>
          <w:szCs w:val="22"/>
        </w:rPr>
        <w:t xml:space="preserve">es viable ya que los </w:t>
      </w:r>
      <w:r w:rsidRPr="002A486F">
        <w:rPr>
          <w:rFonts w:ascii="Verdana" w:hAnsi="Verdana"/>
          <w:color w:val="1F1F1F"/>
          <w:sz w:val="22"/>
          <w:szCs w:val="22"/>
        </w:rPr>
        <w:t xml:space="preserve">análisis </w:t>
      </w:r>
      <w:r w:rsidR="000E71A2">
        <w:rPr>
          <w:rFonts w:ascii="Verdana" w:hAnsi="Verdana"/>
          <w:color w:val="1F1F1F"/>
          <w:sz w:val="22"/>
          <w:szCs w:val="22"/>
        </w:rPr>
        <w:t>técnicos</w:t>
      </w:r>
      <w:r w:rsidRPr="002A486F">
        <w:rPr>
          <w:rFonts w:ascii="Verdana" w:hAnsi="Verdana"/>
          <w:color w:val="1F1F1F"/>
          <w:sz w:val="22"/>
          <w:szCs w:val="22"/>
        </w:rPr>
        <w:t xml:space="preserve"> y de variables ecológicas </w:t>
      </w:r>
      <w:r w:rsidR="00B674F0">
        <w:rPr>
          <w:rFonts w:ascii="Verdana" w:hAnsi="Verdana"/>
          <w:color w:val="1F1F1F"/>
          <w:sz w:val="22"/>
          <w:szCs w:val="22"/>
        </w:rPr>
        <w:t xml:space="preserve">y socioeconómicas </w:t>
      </w:r>
      <w:r w:rsidR="00377DBE">
        <w:rPr>
          <w:rFonts w:ascii="Verdana" w:hAnsi="Verdana"/>
          <w:color w:val="1F1F1F"/>
          <w:sz w:val="22"/>
          <w:szCs w:val="22"/>
        </w:rPr>
        <w:t xml:space="preserve">presentados </w:t>
      </w:r>
      <w:r w:rsidR="00B674F0">
        <w:rPr>
          <w:rFonts w:ascii="Verdana" w:hAnsi="Verdana"/>
          <w:color w:val="1F1F1F"/>
          <w:sz w:val="22"/>
          <w:szCs w:val="22"/>
        </w:rPr>
        <w:t>por</w:t>
      </w:r>
      <w:r w:rsidR="00B870E3">
        <w:rPr>
          <w:rFonts w:ascii="Verdana" w:hAnsi="Verdana"/>
          <w:color w:val="1F1F1F"/>
          <w:sz w:val="22"/>
          <w:szCs w:val="22"/>
        </w:rPr>
        <w:t xml:space="preserve"> CORANTIOQUIA</w:t>
      </w:r>
      <w:r w:rsidR="000E71A2">
        <w:rPr>
          <w:rFonts w:ascii="Verdana" w:hAnsi="Verdana"/>
          <w:color w:val="1F1F1F"/>
          <w:sz w:val="22"/>
          <w:szCs w:val="22"/>
        </w:rPr>
        <w:t>,</w:t>
      </w:r>
      <w:r w:rsidR="00B674F0">
        <w:rPr>
          <w:rFonts w:ascii="Verdana" w:hAnsi="Verdana"/>
          <w:color w:val="1F1F1F"/>
          <w:sz w:val="22"/>
          <w:szCs w:val="22"/>
        </w:rPr>
        <w:t xml:space="preserve"> proponen una zonificación en la que el régimen de usos no permite el desarrollo de actividad minera en las áreas </w:t>
      </w:r>
      <w:r w:rsidR="000E71A2">
        <w:rPr>
          <w:rFonts w:ascii="Verdana" w:hAnsi="Verdana"/>
          <w:color w:val="1F1F1F"/>
          <w:sz w:val="22"/>
          <w:szCs w:val="22"/>
        </w:rPr>
        <w:t xml:space="preserve">sensibles </w:t>
      </w:r>
      <w:r w:rsidRPr="002A486F">
        <w:rPr>
          <w:rFonts w:ascii="Verdana" w:hAnsi="Verdana"/>
          <w:color w:val="1F1F1F"/>
          <w:sz w:val="22"/>
          <w:szCs w:val="22"/>
        </w:rPr>
        <w:t xml:space="preserve">de preservación </w:t>
      </w:r>
      <w:r w:rsidR="00B674F0">
        <w:rPr>
          <w:rFonts w:ascii="Verdana" w:hAnsi="Verdana"/>
          <w:color w:val="1F1F1F"/>
          <w:sz w:val="22"/>
          <w:szCs w:val="22"/>
        </w:rPr>
        <w:t xml:space="preserve">ni en las de restauración, garantizando únicamente la compatibilidad de dicha actividad con la zona de uso sostenible, </w:t>
      </w:r>
      <w:r w:rsidR="000E71A2">
        <w:rPr>
          <w:rFonts w:ascii="Verdana" w:hAnsi="Verdana"/>
          <w:color w:val="1F1F1F"/>
          <w:sz w:val="22"/>
          <w:szCs w:val="22"/>
        </w:rPr>
        <w:t>más</w:t>
      </w:r>
      <w:r w:rsidR="00B674F0">
        <w:rPr>
          <w:rFonts w:ascii="Verdana" w:hAnsi="Verdana"/>
          <w:color w:val="1F1F1F"/>
          <w:sz w:val="22"/>
          <w:szCs w:val="22"/>
        </w:rPr>
        <w:t xml:space="preserve"> específicamente en la subzona de desarrollo sostenible</w:t>
      </w:r>
      <w:r w:rsidR="000E71A2">
        <w:rPr>
          <w:rFonts w:ascii="Verdana" w:hAnsi="Verdana"/>
          <w:color w:val="1F1F1F"/>
          <w:sz w:val="22"/>
          <w:szCs w:val="22"/>
        </w:rPr>
        <w:t>, zona en la que</w:t>
      </w:r>
      <w:r w:rsidRPr="002A486F">
        <w:rPr>
          <w:rFonts w:ascii="Verdana" w:hAnsi="Verdana"/>
          <w:color w:val="1F1F1F"/>
          <w:sz w:val="22"/>
          <w:szCs w:val="22"/>
        </w:rPr>
        <w:t xml:space="preserve"> el territorio soporta actividades productivas reguladas.</w:t>
      </w:r>
    </w:p>
    <w:p w14:paraId="0B413025" w14:textId="4F46D76C" w:rsidR="00B870E3" w:rsidRDefault="00B870E3" w:rsidP="00B870E3">
      <w:pPr>
        <w:pStyle w:val="NormalWeb"/>
        <w:spacing w:after="0" w:afterAutospacing="0"/>
        <w:jc w:val="both"/>
        <w:rPr>
          <w:rFonts w:ascii="Verdana" w:hAnsi="Verdana"/>
          <w:color w:val="1F1F1F"/>
          <w:sz w:val="22"/>
          <w:szCs w:val="22"/>
        </w:rPr>
      </w:pPr>
      <w:r>
        <w:rPr>
          <w:rFonts w:ascii="Verdana" w:hAnsi="Verdana"/>
          <w:color w:val="1F1F1F"/>
          <w:sz w:val="22"/>
          <w:szCs w:val="22"/>
        </w:rPr>
        <w:t>Así mismo, e</w:t>
      </w:r>
      <w:r w:rsidRPr="002A486F">
        <w:rPr>
          <w:rFonts w:ascii="Verdana" w:hAnsi="Verdana"/>
          <w:color w:val="1F1F1F"/>
          <w:sz w:val="22"/>
          <w:szCs w:val="22"/>
        </w:rPr>
        <w:t xml:space="preserve">l diagnóstico social del </w:t>
      </w:r>
      <w:r>
        <w:rPr>
          <w:rFonts w:ascii="Verdana" w:hAnsi="Verdana"/>
          <w:color w:val="1F1F1F"/>
          <w:sz w:val="22"/>
          <w:szCs w:val="22"/>
        </w:rPr>
        <w:t xml:space="preserve">documento preliminar del </w:t>
      </w:r>
      <w:r w:rsidRPr="002A486F">
        <w:rPr>
          <w:rFonts w:ascii="Verdana" w:hAnsi="Verdana"/>
          <w:color w:val="1F1F1F"/>
          <w:sz w:val="22"/>
          <w:szCs w:val="22"/>
        </w:rPr>
        <w:t xml:space="preserve">plan de manejo evidencia que el control territorial </w:t>
      </w:r>
      <w:r w:rsidR="000E71A2">
        <w:rPr>
          <w:rFonts w:ascii="Verdana" w:hAnsi="Verdana"/>
          <w:color w:val="1F1F1F"/>
          <w:sz w:val="22"/>
          <w:szCs w:val="22"/>
        </w:rPr>
        <w:t xml:space="preserve">institucional </w:t>
      </w:r>
      <w:r w:rsidRPr="002A486F">
        <w:rPr>
          <w:rFonts w:ascii="Verdana" w:hAnsi="Verdana"/>
          <w:color w:val="1F1F1F"/>
          <w:sz w:val="22"/>
          <w:szCs w:val="22"/>
        </w:rPr>
        <w:t>es bajo</w:t>
      </w:r>
      <w:r w:rsidR="000E71A2">
        <w:rPr>
          <w:rFonts w:ascii="Verdana" w:hAnsi="Verdana"/>
          <w:color w:val="1F1F1F"/>
          <w:sz w:val="22"/>
          <w:szCs w:val="22"/>
        </w:rPr>
        <w:t>.</w:t>
      </w:r>
      <w:r w:rsidRPr="002A486F">
        <w:rPr>
          <w:rFonts w:ascii="Verdana" w:hAnsi="Verdana"/>
          <w:color w:val="1F1F1F"/>
          <w:sz w:val="22"/>
          <w:szCs w:val="22"/>
        </w:rPr>
        <w:t xml:space="preserve"> </w:t>
      </w:r>
      <w:r w:rsidR="000E71A2">
        <w:rPr>
          <w:rFonts w:ascii="Verdana" w:hAnsi="Verdana"/>
          <w:color w:val="1F1F1F"/>
          <w:sz w:val="22"/>
          <w:szCs w:val="22"/>
        </w:rPr>
        <w:t>En este sentido, u</w:t>
      </w:r>
      <w:r w:rsidRPr="002A486F">
        <w:rPr>
          <w:rFonts w:ascii="Verdana" w:hAnsi="Verdana"/>
          <w:color w:val="1F1F1F"/>
          <w:sz w:val="22"/>
          <w:szCs w:val="22"/>
        </w:rPr>
        <w:t xml:space="preserve">na restricción total sobre el Polígono 8 fomenta el desplazamiento de la actividad hacia la ilegalidad absoluta. Permitir el desarrollo condicionado bajo las reglas del DRMI fortalece la presencia institucional de CORANTIOQUIA y </w:t>
      </w:r>
      <w:r>
        <w:rPr>
          <w:rFonts w:ascii="Verdana" w:hAnsi="Verdana"/>
          <w:color w:val="1F1F1F"/>
          <w:sz w:val="22"/>
          <w:szCs w:val="22"/>
        </w:rPr>
        <w:t>d</w:t>
      </w:r>
      <w:r w:rsidRPr="002A486F">
        <w:rPr>
          <w:rFonts w:ascii="Verdana" w:hAnsi="Verdana"/>
          <w:color w:val="1F1F1F"/>
          <w:sz w:val="22"/>
          <w:szCs w:val="22"/>
        </w:rPr>
        <w:t>el Ministerio</w:t>
      </w:r>
      <w:r>
        <w:rPr>
          <w:rFonts w:ascii="Verdana" w:hAnsi="Verdana"/>
          <w:color w:val="1F1F1F"/>
          <w:sz w:val="22"/>
          <w:szCs w:val="22"/>
        </w:rPr>
        <w:t xml:space="preserve"> de Ambiente y Desarrollo Sostenible</w:t>
      </w:r>
      <w:r w:rsidRPr="002A486F">
        <w:rPr>
          <w:rFonts w:ascii="Verdana" w:hAnsi="Verdana"/>
          <w:color w:val="1F1F1F"/>
          <w:sz w:val="22"/>
          <w:szCs w:val="22"/>
        </w:rPr>
        <w:t xml:space="preserve">, alineándose con el </w:t>
      </w:r>
      <w:r w:rsidR="001A3A26">
        <w:rPr>
          <w:rFonts w:ascii="Verdana" w:hAnsi="Verdana"/>
          <w:color w:val="1F1F1F"/>
          <w:sz w:val="22"/>
          <w:szCs w:val="22"/>
        </w:rPr>
        <w:t>“</w:t>
      </w:r>
      <w:r w:rsidRPr="002A486F">
        <w:rPr>
          <w:rFonts w:ascii="Verdana" w:hAnsi="Verdana"/>
          <w:color w:val="1F1F1F"/>
          <w:sz w:val="22"/>
          <w:szCs w:val="22"/>
        </w:rPr>
        <w:t>escenario apuesta</w:t>
      </w:r>
      <w:r w:rsidR="001A3A26">
        <w:rPr>
          <w:rFonts w:ascii="Verdana" w:hAnsi="Verdana"/>
          <w:color w:val="1F1F1F"/>
          <w:sz w:val="22"/>
          <w:szCs w:val="22"/>
        </w:rPr>
        <w:t>”</w:t>
      </w:r>
      <w:r w:rsidRPr="002A486F">
        <w:rPr>
          <w:rFonts w:ascii="Verdana" w:hAnsi="Verdana"/>
          <w:color w:val="1F1F1F"/>
          <w:sz w:val="22"/>
          <w:szCs w:val="22"/>
        </w:rPr>
        <w:t xml:space="preserve"> de prospectiva</w:t>
      </w:r>
      <w:r w:rsidR="001A3A26">
        <w:rPr>
          <w:rFonts w:ascii="Verdana" w:hAnsi="Verdana"/>
          <w:color w:val="1F1F1F"/>
          <w:sz w:val="22"/>
          <w:szCs w:val="22"/>
        </w:rPr>
        <w:t xml:space="preserve"> presentado en el componente de Ordenamiento.</w:t>
      </w:r>
    </w:p>
    <w:p w14:paraId="67B28B8B" w14:textId="4AC75EFE" w:rsidR="001A3A26" w:rsidRPr="002A486F" w:rsidRDefault="001A3A26" w:rsidP="001A3A26">
      <w:pPr>
        <w:pStyle w:val="NormalWeb"/>
        <w:spacing w:after="0" w:afterAutospacing="0"/>
        <w:jc w:val="both"/>
        <w:rPr>
          <w:rFonts w:ascii="Verdana" w:hAnsi="Verdana"/>
          <w:color w:val="1F1F1F"/>
          <w:sz w:val="22"/>
          <w:szCs w:val="22"/>
        </w:rPr>
      </w:pPr>
      <w:r>
        <w:rPr>
          <w:rFonts w:ascii="Verdana" w:hAnsi="Verdana"/>
          <w:color w:val="1F1F1F"/>
          <w:sz w:val="22"/>
          <w:szCs w:val="22"/>
        </w:rPr>
        <w:t>Por otra parte, e</w:t>
      </w:r>
      <w:r w:rsidRPr="002A486F">
        <w:rPr>
          <w:rFonts w:ascii="Verdana" w:hAnsi="Verdana"/>
          <w:color w:val="1F1F1F"/>
          <w:sz w:val="22"/>
          <w:szCs w:val="22"/>
        </w:rPr>
        <w:t xml:space="preserve">l </w:t>
      </w:r>
      <w:r w:rsidR="000E71A2">
        <w:rPr>
          <w:rFonts w:ascii="Verdana" w:hAnsi="Verdana"/>
          <w:color w:val="1F1F1F"/>
          <w:sz w:val="22"/>
          <w:szCs w:val="22"/>
        </w:rPr>
        <w:t>componente</w:t>
      </w:r>
      <w:r w:rsidRPr="002A486F">
        <w:rPr>
          <w:rFonts w:ascii="Verdana" w:hAnsi="Verdana"/>
          <w:color w:val="1F1F1F"/>
          <w:sz w:val="22"/>
          <w:szCs w:val="22"/>
        </w:rPr>
        <w:t xml:space="preserve"> de Diagnóstico plantea que la "Restricción Normativa General" </w:t>
      </w:r>
      <w:r w:rsidR="000E71A2">
        <w:rPr>
          <w:rFonts w:ascii="Verdana" w:hAnsi="Verdana"/>
          <w:color w:val="1F1F1F"/>
          <w:sz w:val="22"/>
          <w:szCs w:val="22"/>
        </w:rPr>
        <w:t xml:space="preserve">como </w:t>
      </w:r>
      <w:r w:rsidR="000E71A2" w:rsidRPr="000E71A2">
        <w:rPr>
          <w:rFonts w:ascii="Verdana" w:hAnsi="Verdana"/>
          <w:color w:val="1F1F1F"/>
          <w:sz w:val="22"/>
          <w:szCs w:val="22"/>
        </w:rPr>
        <w:t xml:space="preserve">desincentivo </w:t>
      </w:r>
      <w:r w:rsidR="000E71A2">
        <w:rPr>
          <w:rFonts w:ascii="Verdana" w:hAnsi="Verdana"/>
          <w:color w:val="1F1F1F"/>
          <w:sz w:val="22"/>
          <w:szCs w:val="22"/>
        </w:rPr>
        <w:t>para</w:t>
      </w:r>
      <w:r w:rsidR="000E71A2" w:rsidRPr="000E71A2">
        <w:rPr>
          <w:rFonts w:ascii="Verdana" w:hAnsi="Verdana"/>
          <w:color w:val="1F1F1F"/>
          <w:sz w:val="22"/>
          <w:szCs w:val="22"/>
        </w:rPr>
        <w:t xml:space="preserve"> reducir o eliminar prácticas de alto impacto ambiental</w:t>
      </w:r>
      <w:r w:rsidR="000E71A2">
        <w:rPr>
          <w:rFonts w:ascii="Verdana" w:hAnsi="Verdana"/>
          <w:color w:val="1F1F1F"/>
          <w:sz w:val="22"/>
          <w:szCs w:val="22"/>
        </w:rPr>
        <w:t xml:space="preserve">, </w:t>
      </w:r>
      <w:r w:rsidRPr="002A486F">
        <w:rPr>
          <w:rFonts w:ascii="Verdana" w:hAnsi="Verdana"/>
          <w:color w:val="1F1F1F"/>
          <w:sz w:val="22"/>
          <w:szCs w:val="22"/>
        </w:rPr>
        <w:t>es insuficiente si no se acompaña de instrumentos de formalización. El levantamiento de la restricción del Polígono 8 permitirá aplicar los instrumentos de "Incentivo a la Reconversión" promoviendo la tecnificación de los mineros tradicionales y reduciendo la ilegalidad destructiva.</w:t>
      </w:r>
    </w:p>
    <w:p w14:paraId="2CA421B5" w14:textId="6AE51035" w:rsidR="001A3A26" w:rsidRPr="002A486F" w:rsidRDefault="001A3A26" w:rsidP="001A3A26">
      <w:pPr>
        <w:pStyle w:val="NormalWeb"/>
        <w:spacing w:after="0" w:afterAutospacing="0"/>
        <w:jc w:val="both"/>
        <w:rPr>
          <w:rFonts w:ascii="Verdana" w:hAnsi="Verdana"/>
          <w:color w:val="1F1F1F"/>
          <w:sz w:val="22"/>
          <w:szCs w:val="22"/>
        </w:rPr>
      </w:pPr>
      <w:r>
        <w:rPr>
          <w:rFonts w:ascii="Verdana" w:hAnsi="Verdana"/>
          <w:color w:val="1F1F1F"/>
          <w:sz w:val="22"/>
          <w:szCs w:val="22"/>
        </w:rPr>
        <w:t>Es así como l</w:t>
      </w:r>
      <w:r w:rsidRPr="002A486F">
        <w:rPr>
          <w:rFonts w:ascii="Verdana" w:hAnsi="Verdana"/>
          <w:color w:val="1F1F1F"/>
          <w:sz w:val="22"/>
          <w:szCs w:val="22"/>
        </w:rPr>
        <w:t>a aplicación de</w:t>
      </w:r>
      <w:r>
        <w:rPr>
          <w:rFonts w:ascii="Verdana" w:hAnsi="Verdana"/>
          <w:color w:val="1F1F1F"/>
          <w:sz w:val="22"/>
          <w:szCs w:val="22"/>
        </w:rPr>
        <w:t>l Acuerdo 675 de 2023 de CORANTIOQUIA</w:t>
      </w:r>
      <w:r w:rsidRPr="002A486F">
        <w:rPr>
          <w:rFonts w:ascii="Verdana" w:hAnsi="Verdana"/>
          <w:color w:val="1F1F1F"/>
          <w:sz w:val="22"/>
          <w:szCs w:val="22"/>
        </w:rPr>
        <w:t xml:space="preserve"> ofrece un marco de control y condicionamiento para los procesos de formalización en el DRMI</w:t>
      </w:r>
      <w:r>
        <w:rPr>
          <w:rFonts w:ascii="Verdana" w:hAnsi="Verdana"/>
          <w:color w:val="1F1F1F"/>
          <w:sz w:val="22"/>
          <w:szCs w:val="22"/>
        </w:rPr>
        <w:t xml:space="preserve"> </w:t>
      </w:r>
      <w:r w:rsidR="000E71A2">
        <w:rPr>
          <w:rFonts w:ascii="Verdana" w:hAnsi="Verdana"/>
          <w:color w:val="1F1F1F"/>
          <w:sz w:val="22"/>
          <w:szCs w:val="22"/>
        </w:rPr>
        <w:t>reforzado</w:t>
      </w:r>
      <w:r>
        <w:rPr>
          <w:rFonts w:ascii="Verdana" w:hAnsi="Verdana"/>
          <w:color w:val="1F1F1F"/>
          <w:sz w:val="22"/>
          <w:szCs w:val="22"/>
        </w:rPr>
        <w:t xml:space="preserve"> en una zonificación ambiental preliminar que permite identificar de manera previa los traslapes de las áreas de interés minero con las zonas de uso sostenible. </w:t>
      </w:r>
      <w:r w:rsidRPr="002A486F">
        <w:rPr>
          <w:rFonts w:ascii="Verdana" w:hAnsi="Verdana"/>
          <w:color w:val="1F1F1F"/>
          <w:sz w:val="22"/>
          <w:szCs w:val="22"/>
        </w:rPr>
        <w:t xml:space="preserve">Mantener la restricción absoluta congela los </w:t>
      </w:r>
      <w:r w:rsidR="00920B53">
        <w:rPr>
          <w:rFonts w:ascii="Verdana" w:hAnsi="Verdana"/>
          <w:color w:val="1F1F1F"/>
          <w:sz w:val="22"/>
          <w:szCs w:val="22"/>
        </w:rPr>
        <w:t xml:space="preserve">posibles </w:t>
      </w:r>
      <w:r w:rsidRPr="002A486F">
        <w:rPr>
          <w:rFonts w:ascii="Verdana" w:hAnsi="Verdana"/>
          <w:color w:val="1F1F1F"/>
          <w:sz w:val="22"/>
          <w:szCs w:val="22"/>
        </w:rPr>
        <w:t>procesos de regularización ambiental que justamente buscan mitigar los impactos históricos de la minería no formalizada.</w:t>
      </w:r>
    </w:p>
    <w:p w14:paraId="6F4EF649" w14:textId="4F30FD39" w:rsidR="005D4011" w:rsidRPr="002A486F" w:rsidRDefault="005D4011" w:rsidP="005D4011">
      <w:pPr>
        <w:pStyle w:val="NormalWeb"/>
        <w:spacing w:after="0" w:afterAutospacing="0"/>
        <w:jc w:val="both"/>
        <w:rPr>
          <w:rFonts w:ascii="Verdana" w:hAnsi="Verdana"/>
          <w:color w:val="1F1F1F"/>
          <w:sz w:val="22"/>
          <w:szCs w:val="22"/>
        </w:rPr>
      </w:pPr>
      <w:r>
        <w:rPr>
          <w:rFonts w:ascii="Verdana" w:hAnsi="Verdana"/>
          <w:color w:val="1F1F1F"/>
          <w:sz w:val="22"/>
          <w:szCs w:val="22"/>
        </w:rPr>
        <w:t>Se concluye que e</w:t>
      </w:r>
      <w:r w:rsidR="002A486F" w:rsidRPr="002A486F">
        <w:rPr>
          <w:rFonts w:ascii="Verdana" w:hAnsi="Verdana"/>
          <w:color w:val="1F1F1F"/>
          <w:sz w:val="22"/>
          <w:szCs w:val="22"/>
        </w:rPr>
        <w:t xml:space="preserve">xiste suficiente sustentación técnica y jurídica para determinar que el </w:t>
      </w:r>
      <w:r w:rsidR="002A486F" w:rsidRPr="002A486F">
        <w:rPr>
          <w:rFonts w:ascii="Verdana" w:hAnsi="Verdana"/>
          <w:color w:val="1F1F1F"/>
          <w:sz w:val="22"/>
          <w:szCs w:val="22"/>
          <w:bdr w:val="none" w:sz="0" w:space="0" w:color="auto" w:frame="1"/>
        </w:rPr>
        <w:t>Polígono 8</w:t>
      </w:r>
      <w:r>
        <w:rPr>
          <w:rFonts w:ascii="Verdana" w:hAnsi="Verdana"/>
          <w:color w:val="1F1F1F"/>
          <w:sz w:val="22"/>
          <w:szCs w:val="22"/>
        </w:rPr>
        <w:t xml:space="preserve"> DRMI Bajo Cauca Nechí </w:t>
      </w:r>
      <w:r w:rsidR="002A486F" w:rsidRPr="002A486F">
        <w:rPr>
          <w:rFonts w:ascii="Verdana" w:hAnsi="Verdana"/>
          <w:color w:val="1F1F1F"/>
          <w:sz w:val="22"/>
          <w:szCs w:val="22"/>
        </w:rPr>
        <w:t>posee características biofísicas y un diseño de ordenamiento (Zona de Uso Sostenible) compatibles con el desarrollo de actividades antrópicas reguladas y procesos de formalización minera tradicional, al amparo del Acuerdo 675 de 2023</w:t>
      </w:r>
      <w:r>
        <w:rPr>
          <w:rFonts w:ascii="Verdana" w:hAnsi="Verdana"/>
          <w:color w:val="1F1F1F"/>
          <w:sz w:val="22"/>
          <w:szCs w:val="22"/>
        </w:rPr>
        <w:t xml:space="preserve"> de CORANTIOQUIA</w:t>
      </w:r>
      <w:r w:rsidR="00E24AD9">
        <w:rPr>
          <w:rFonts w:ascii="Verdana" w:hAnsi="Verdana"/>
          <w:color w:val="1F1F1F"/>
          <w:sz w:val="22"/>
          <w:szCs w:val="22"/>
        </w:rPr>
        <w:t>.</w:t>
      </w:r>
    </w:p>
    <w:p w14:paraId="5FB2FD9B" w14:textId="0AAED16C" w:rsidR="00757B36" w:rsidRPr="002A486F" w:rsidRDefault="00757B36" w:rsidP="002A486F">
      <w:pPr>
        <w:tabs>
          <w:tab w:val="left" w:pos="4905"/>
        </w:tabs>
        <w:jc w:val="both"/>
        <w:rPr>
          <w:rFonts w:ascii="Verdana" w:hAnsi="Verdana"/>
        </w:rPr>
      </w:pPr>
    </w:p>
    <w:sectPr w:rsidR="00757B36" w:rsidRPr="002A486F" w:rsidSect="0046201E">
      <w:headerReference w:type="default" r:id="rId24"/>
      <w:footerReference w:type="default" r:id="rId25"/>
      <w:pgSz w:w="12240" w:h="15840"/>
      <w:pgMar w:top="2126" w:right="1701" w:bottom="1418" w:left="1701" w:header="709" w:footer="709" w:gutter="0"/>
      <w:pgNumType w:start="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endnote w:type="separator" w:id="-1">
    <w:p w14:paraId="3608BDB9" w14:textId="77777777" w:rsidR="00623A69" w:rsidRDefault="00623A69" w:rsidP="00757B36">
      <w:pPr>
        <w:spacing w:after="0" w:line="240" w:lineRule="auto"/>
      </w:pPr>
      <w:r>
        <w:separator/>
      </w:r>
    </w:p>
  </w:endnote>
  <w:endnote w:type="continuationSeparator" w:id="0">
    <w:p w14:paraId="624B46CC" w14:textId="77777777" w:rsidR="00623A69" w:rsidRDefault="00623A69" w:rsidP="00757B3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decorative"/>
    <w:pitch w:val="variable"/>
    <w:sig w:usb0="00000000" w:usb1="10000000" w:usb2="00000000" w:usb3="00000000" w:csb0="80000000" w:csb1="00000000"/>
  </w:font>
  <w:font w:name="Calibri">
    <w:panose1 w:val="020F0502020204030204"/>
    <w:charset w:val="00"/>
    <w:family w:val="swiss"/>
    <w:pitch w:val="variable"/>
    <w:sig w:usb0="E4002EFF" w:usb1="C200ACF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
    <w:panose1 w:val="020B0604020202020204"/>
    <w:charset w:val="00"/>
    <w:family w:val="swiss"/>
    <w:pitch w:val="variable"/>
    <w:sig w:usb0="E0002EFF" w:usb1="C000785B" w:usb2="00000009" w:usb3="00000000" w:csb0="000001FF" w:csb1="00000000"/>
  </w:font>
  <w:font w:name="Verdana">
    <w:panose1 w:val="020B0604030504040204"/>
    <w:charset w:val="00"/>
    <w:family w:val="swiss"/>
    <w:pitch w:val="variable"/>
    <w:sig w:usb0="A10006FF" w:usb1="4000205B" w:usb2="00000010" w:usb3="00000000" w:csb0="0000019F" w:csb1="00000000"/>
  </w:font>
  <w:font w:name="Helvetica">
    <w:panose1 w:val="00000000000000000000"/>
    <w:charset w:val="00"/>
    <w:family w:val="auto"/>
    <w:pitch w:val="variable"/>
    <w:sig w:usb0="E00002FF" w:usb1="5000785B"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sdt>
    <w:sdtPr>
      <w:rPr>
        <w:lang w:val="es-ES"/>
      </w:rPr>
      <w:id w:val="-1071572585"/>
      <w:docPartObj>
        <w:docPartGallery w:val="Page Numbers (Bottom of Page)"/>
        <w:docPartUnique/>
      </w:docPartObj>
    </w:sdtPr>
    <w:sdtEndPr>
      <w:rPr>
        <w:rFonts w:ascii="Verdana" w:hAnsi="Verdana"/>
        <w:color w:val="000000"/>
        <w:sz w:val="18"/>
        <w:szCs w:val="18"/>
        <w:lang w:val="es-CO"/>
      </w:rPr>
    </w:sdtEndPr>
    <w:sdtContent>
      <w:p w14:paraId="4BD8A027" w14:textId="77777777" w:rsidR="00A07DC6" w:rsidRDefault="00A07DC6" w:rsidP="0022254F">
        <w:pPr>
          <w:pStyle w:val="Piedepgina"/>
          <w:jc w:val="right"/>
          <w:rPr>
            <w:lang w:val="es-ES"/>
          </w:rPr>
        </w:pPr>
      </w:p>
      <w:p w14:paraId="795CDCB7" w14:textId="282C7030" w:rsidR="0022254F" w:rsidRPr="003A3319" w:rsidRDefault="00D34D20" w:rsidP="0022254F">
        <w:pPr>
          <w:pStyle w:val="Piedepgina"/>
          <w:jc w:val="right"/>
          <w:rPr>
            <w:rFonts w:ascii="Verdana" w:hAnsi="Verdana"/>
            <w:color w:val="000000"/>
            <w:sz w:val="18"/>
            <w:szCs w:val="18"/>
          </w:rPr>
        </w:pPr>
        <w:r w:rsidRPr="003A3319">
          <w:rPr>
            <w:rFonts w:ascii="Verdana" w:hAnsi="Verdana"/>
            <w:noProof/>
            <w:sz w:val="18"/>
            <w:szCs w:val="18"/>
            <w:lang w:val="en-US"/>
          </w:rPr>
          <mc:AlternateContent>
            <mc:Choice Requires="wps">
              <w:drawing>
                <wp:anchor distT="0" distB="0" distL="114300" distR="114300" simplePos="0" relativeHeight="251659264" behindDoc="0" locked="0" layoutInCell="1" allowOverlap="1" wp14:anchorId="7AE5F12B" wp14:editId="46832876">
                  <wp:simplePos x="0" y="0"/>
                  <wp:positionH relativeFrom="margin">
                    <wp:posOffset>-99060</wp:posOffset>
                  </wp:positionH>
                  <wp:positionV relativeFrom="paragraph">
                    <wp:posOffset>-252730</wp:posOffset>
                  </wp:positionV>
                  <wp:extent cx="5457825" cy="1229995"/>
                  <wp:effectExtent l="0" t="0" r="0" b="0"/>
                  <wp:wrapNone/>
                  <wp:docPr id="1223101586" name="Cuadro de texto 1"/>
                  <wp:cNvGraphicFramePr/>
                  <a:graphic xmlns:a="http://schemas.openxmlformats.org/drawingml/2006/main">
                    <a:graphicData uri="http://schemas.microsoft.com/office/word/2010/wordprocessingShape">
                      <wps:wsp>
                        <wps:cNvSpPr txBox="1"/>
                        <wps:spPr>
                          <a:xfrm>
                            <a:off x="0" y="0"/>
                            <a:ext cx="5457825" cy="1229995"/>
                          </a:xfrm>
                          <a:prstGeom prst="rect">
                            <a:avLst/>
                          </a:prstGeom>
                          <a:noFill/>
                          <a:ln w="6350">
                            <a:noFill/>
                          </a:ln>
                        </wps:spPr>
                        <wps:txbx>
                          <w:txbxContent>
                            <w:p w14:paraId="79D92C5A" w14:textId="5628690E" w:rsidR="00D34D20" w:rsidRPr="00256928" w:rsidRDefault="00D34D20" w:rsidP="00D34D20">
                              <w:pPr>
                                <w:spacing w:after="0" w:line="276" w:lineRule="auto"/>
                                <w:jc w:val="both"/>
                                <w:rPr>
                                  <w:rFonts w:ascii="Helvetica" w:hAnsi="Helvetica"/>
                                  <w:sz w:val="20"/>
                                  <w:szCs w:val="20"/>
                                </w:rPr>
                              </w:pPr>
                              <w:r w:rsidRPr="00256928">
                                <w:rPr>
                                  <w:rFonts w:ascii="Helvetica" w:hAnsi="Helvetica"/>
                                  <w:sz w:val="20"/>
                                  <w:szCs w:val="20"/>
                                </w:rPr>
                                <w:t>________________________________________________________________________</w:t>
                              </w:r>
                            </w:p>
                            <w:p w14:paraId="1B8765A5" w14:textId="4A83745E" w:rsidR="00D34D20" w:rsidRPr="003A3319" w:rsidRDefault="00726A3B" w:rsidP="00D34D20">
                              <w:pPr>
                                <w:spacing w:after="0" w:line="276" w:lineRule="auto"/>
                                <w:jc w:val="both"/>
                                <w:rPr>
                                  <w:rFonts w:ascii="Verdana" w:hAnsi="Verdana"/>
                                  <w:b/>
                                  <w:bCs/>
                                  <w:sz w:val="18"/>
                                  <w:szCs w:val="18"/>
                                </w:rPr>
                              </w:pPr>
                              <w:r w:rsidRPr="003A3319">
                                <w:rPr>
                                  <w:rFonts w:ascii="Verdana" w:hAnsi="Verdana"/>
                                  <w:b/>
                                  <w:bCs/>
                                  <w:sz w:val="18"/>
                                  <w:szCs w:val="18"/>
                                </w:rPr>
                                <w:t>Ministerio de Ambiente y Desarrollo Sostenible</w:t>
                              </w:r>
                            </w:p>
                            <w:p w14:paraId="3453229D" w14:textId="40C075EB" w:rsidR="00D34D20" w:rsidRPr="003A3319" w:rsidRDefault="00D34D20" w:rsidP="00D34D20">
                              <w:pPr>
                                <w:spacing w:after="0" w:line="276" w:lineRule="auto"/>
                                <w:jc w:val="both"/>
                                <w:rPr>
                                  <w:rFonts w:ascii="Verdana" w:hAnsi="Verdana"/>
                                  <w:sz w:val="18"/>
                                  <w:szCs w:val="18"/>
                                </w:rPr>
                              </w:pPr>
                              <w:r w:rsidRPr="003A3319">
                                <w:rPr>
                                  <w:rFonts w:ascii="Verdana" w:hAnsi="Verdana"/>
                                  <w:sz w:val="18"/>
                                  <w:szCs w:val="18"/>
                                </w:rPr>
                                <w:t xml:space="preserve">Dirección: </w:t>
                              </w:r>
                              <w:r w:rsidR="0022254F" w:rsidRPr="003A3319">
                                <w:rPr>
                                  <w:rFonts w:ascii="Verdana" w:hAnsi="Verdana"/>
                                  <w:sz w:val="18"/>
                                  <w:szCs w:val="18"/>
                                </w:rPr>
                                <w:t xml:space="preserve">Calle 37 #8 - 40, Bogotá D.C., Colombia </w:t>
                              </w:r>
                            </w:p>
                            <w:p w14:paraId="7463B94C" w14:textId="6C100408" w:rsidR="00D34D20" w:rsidRPr="003A3319" w:rsidRDefault="00D34D20" w:rsidP="00D34D20">
                              <w:pPr>
                                <w:spacing w:after="0" w:line="276" w:lineRule="auto"/>
                                <w:jc w:val="both"/>
                                <w:rPr>
                                  <w:rFonts w:ascii="Verdana" w:hAnsi="Verdana"/>
                                  <w:sz w:val="18"/>
                                  <w:szCs w:val="18"/>
                                </w:rPr>
                              </w:pPr>
                              <w:r w:rsidRPr="003A3319">
                                <w:rPr>
                                  <w:rFonts w:ascii="Verdana" w:hAnsi="Verdana"/>
                                  <w:sz w:val="18"/>
                                  <w:szCs w:val="18"/>
                                </w:rPr>
                                <w:t xml:space="preserve">Conmutador: (+57) </w:t>
                              </w:r>
                              <w:r w:rsidR="0022254F" w:rsidRPr="003A3319">
                                <w:rPr>
                                  <w:rFonts w:ascii="Verdana" w:hAnsi="Verdana"/>
                                  <w:sz w:val="18"/>
                                  <w:szCs w:val="18"/>
                                </w:rPr>
                                <w:t xml:space="preserve">601 332 3400 - </w:t>
                              </w:r>
                              <w:r w:rsidR="0098792B" w:rsidRPr="0098792B">
                                <w:rPr>
                                  <w:rFonts w:ascii="Verdana" w:hAnsi="Verdana"/>
                                  <w:sz w:val="18"/>
                                  <w:szCs w:val="18"/>
                                </w:rPr>
                                <w:t>3133463676</w:t>
                              </w:r>
                            </w:p>
                            <w:p w14:paraId="3F743D65" w14:textId="03C32F22" w:rsidR="00D34D20" w:rsidRPr="003A3319" w:rsidRDefault="00D34D20" w:rsidP="00256928">
                              <w:pPr>
                                <w:spacing w:after="0" w:line="276" w:lineRule="auto"/>
                                <w:jc w:val="both"/>
                                <w:rPr>
                                  <w:rFonts w:ascii="Verdana" w:hAnsi="Verdana"/>
                                  <w:sz w:val="18"/>
                                  <w:szCs w:val="18"/>
                                </w:rPr>
                              </w:pPr>
                              <w:r w:rsidRPr="003A3319">
                                <w:rPr>
                                  <w:rFonts w:ascii="Verdana" w:hAnsi="Verdana"/>
                                  <w:sz w:val="18"/>
                                  <w:szCs w:val="18"/>
                                </w:rPr>
                                <w:t xml:space="preserve">Línea Gratuita: (+57) </w:t>
                              </w:r>
                              <w:r w:rsidR="009E28CB" w:rsidRPr="003A3319">
                                <w:rPr>
                                  <w:rFonts w:ascii="Verdana" w:hAnsi="Verdana"/>
                                  <w:sz w:val="18"/>
                                  <w:szCs w:val="18"/>
                                </w:rPr>
                                <w:t>01 8000 919301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7AE5F12B" id="_x0000_t202" coordsize="21600,21600" o:spt="202" path="m,l,21600r21600,l21600,xe">
                  <v:stroke joinstyle="miter"/>
                  <v:path gradientshapeok="t" o:connecttype="rect"/>
                </v:shapetype>
                <v:shape id="Cuadro de texto 1" o:spid="_x0000_s1026" type="#_x0000_t202" style="position:absolute;left:0;text-align:left;margin-left:-7.8pt;margin-top:-19.9pt;width:429.75pt;height:96.85pt;z-index:2516592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lzoUOQIAAGIEAAAOAAAAZHJzL2Uyb0RvYy54bWysVEuP2jAQvlfqf7B8L3ksUIgIK8qKqhLa&#10;XYld7dk4DonkeFzbkNBf37ETWLTtqerFGc/T8803Wdx3jSQnYWwNKqfJKKZEKA5FrQ45fX3ZfJlR&#10;Yh1TBZOgRE7PwtL75edPi1ZnIoUKZCEMwSTKZq3OaeWczqLI8ko0zI5AC4XGEkzDHF7NISoMazF7&#10;I6M0jqdRC6bQBriwFrUPvZEuQ/6yFNw9laUVjsic4ttcOE049/6MlguWHQzTVc2HZ7B/eEXDaoVF&#10;r6kemGPkaOo/UjU1N2ChdCMOTQRlWXMResBukvhDN7uKaRF6QXCsvsJk/19a/nh6NqQucHZpepfE&#10;yWQ2pUSxBme1PrLCACkEcaJzQBKPVqtthkE7jWGu+wYdRl70FpUehK40jf9iewTtiPv5ijVmIhyV&#10;k/Hk6yydUMLRhrXn8/nE54new7Wx7ruAhnghpwaHGTBmp611vevFxVdTsKmlDAOVirQ5nd5N4hBw&#10;tWByqbCGb6J/rJdct++GzvZQnLExAz1RrOabGotvmXXPzCAzsBdku3vCo5SARWCQKKnA/Pqb3vvj&#10;wNBKSYtMy6n9eWRGUCJ/KBzlPBmPPTXDBVFJ8WJuLftbizo2a0AyJ7hXmgfR+zt5EUsDzRsuxcpX&#10;RRNTHGvn1F3Etev5j0vFxWoVnJCMmrmt2mnuU3s4PbQv3RszesDfk+ARLpxk2Ycx9L79IFZHB2Ud&#10;ZuQB7lEdcEcihykPS+c35fYevN5/DcvfAAAA//8DAFBLAwQUAAYACAAAACEAs24QdOIAAAALAQAA&#10;DwAAAGRycy9kb3ducmV2LnhtbEyPQU/CQBCF7yb+h82YeIMtYEkp3RLShJgYPYBcvE27S9vQna3d&#10;Baq/3vGkt/cyX968l21G24mrGXzrSMFsGoEwVDndUq3g+L6bJCB8QNLYOTIKvoyHTX5/l2Gq3Y32&#10;5noIteAQ8ikqaELoUyl91RiLfup6Q3w7ucFiYDvUUg9443DbyXkULaXFlvhDg70pGlOdDxer4KXY&#10;veG+nNvkuyueX0/b/vP4ESv1+DBu1yCCGcMfDL/1uTrk3Kl0F9JedAoms3jJKIvFijcwkTwtViBK&#10;RmMWMs/k/w35DwAAAP//AwBQSwECLQAUAAYACAAAACEAtoM4kv4AAADhAQAAEwAAAAAAAAAAAAAA&#10;AAAAAAAAW0NvbnRlbnRfVHlwZXNdLnhtbFBLAQItABQABgAIAAAAIQA4/SH/1gAAAJQBAAALAAAA&#10;AAAAAAAAAAAAAC8BAABfcmVscy8ucmVsc1BLAQItABQABgAIAAAAIQCXlzoUOQIAAGIEAAAOAAAA&#10;AAAAAAAAAAAAAC4CAABkcnMvZTJvRG9jLnhtbFBLAQItABQABgAIAAAAIQCzbhB04gAAAAsBAAAP&#10;AAAAAAAAAAAAAAAAAJMEAABkcnMvZG93bnJldi54bWxQSwUGAAAAAAQABADzAAAAogUAAAAA&#10;" filled="f" stroked="f" strokeweight=".5pt">
                  <v:textbox>
                    <w:txbxContent>
                      <w:p w14:paraId="79D92C5A" w14:textId="5628690E" w:rsidR="00D34D20" w:rsidRPr="00256928" w:rsidRDefault="00D34D20" w:rsidP="00D34D20">
                        <w:pPr>
                          <w:spacing w:after="0" w:line="276" w:lineRule="auto"/>
                          <w:jc w:val="both"/>
                          <w:rPr>
                            <w:rFonts w:ascii="Helvetica" w:hAnsi="Helvetica"/>
                            <w:sz w:val="20"/>
                            <w:szCs w:val="20"/>
                          </w:rPr>
                        </w:pPr>
                        <w:r w:rsidRPr="00256928">
                          <w:rPr>
                            <w:rFonts w:ascii="Helvetica" w:hAnsi="Helvetica"/>
                            <w:sz w:val="20"/>
                            <w:szCs w:val="20"/>
                          </w:rPr>
                          <w:t>________________________________________________________________________</w:t>
                        </w:r>
                      </w:p>
                      <w:p w14:paraId="1B8765A5" w14:textId="4A83745E" w:rsidR="00D34D20" w:rsidRPr="003A3319" w:rsidRDefault="00726A3B" w:rsidP="00D34D20">
                        <w:pPr>
                          <w:spacing w:after="0" w:line="276" w:lineRule="auto"/>
                          <w:jc w:val="both"/>
                          <w:rPr>
                            <w:rFonts w:ascii="Verdana" w:hAnsi="Verdana"/>
                            <w:b/>
                            <w:bCs/>
                            <w:sz w:val="18"/>
                            <w:szCs w:val="18"/>
                          </w:rPr>
                        </w:pPr>
                        <w:r w:rsidRPr="003A3319">
                          <w:rPr>
                            <w:rFonts w:ascii="Verdana" w:hAnsi="Verdana"/>
                            <w:b/>
                            <w:bCs/>
                            <w:sz w:val="18"/>
                            <w:szCs w:val="18"/>
                          </w:rPr>
                          <w:t>Ministerio de Ambiente y Desarrollo Sostenible</w:t>
                        </w:r>
                      </w:p>
                      <w:p w14:paraId="3453229D" w14:textId="40C075EB" w:rsidR="00D34D20" w:rsidRPr="003A3319" w:rsidRDefault="00D34D20" w:rsidP="00D34D20">
                        <w:pPr>
                          <w:spacing w:after="0" w:line="276" w:lineRule="auto"/>
                          <w:jc w:val="both"/>
                          <w:rPr>
                            <w:rFonts w:ascii="Verdana" w:hAnsi="Verdana"/>
                            <w:sz w:val="18"/>
                            <w:szCs w:val="18"/>
                          </w:rPr>
                        </w:pPr>
                        <w:r w:rsidRPr="003A3319">
                          <w:rPr>
                            <w:rFonts w:ascii="Verdana" w:hAnsi="Verdana"/>
                            <w:sz w:val="18"/>
                            <w:szCs w:val="18"/>
                          </w:rPr>
                          <w:t xml:space="preserve">Dirección: </w:t>
                        </w:r>
                        <w:r w:rsidR="0022254F" w:rsidRPr="003A3319">
                          <w:rPr>
                            <w:rFonts w:ascii="Verdana" w:hAnsi="Verdana"/>
                            <w:sz w:val="18"/>
                            <w:szCs w:val="18"/>
                          </w:rPr>
                          <w:t xml:space="preserve">Calle 37 #8 - 40, Bogotá D.C., Colombia </w:t>
                        </w:r>
                      </w:p>
                      <w:p w14:paraId="7463B94C" w14:textId="6C100408" w:rsidR="00D34D20" w:rsidRPr="003A3319" w:rsidRDefault="00D34D20" w:rsidP="00D34D20">
                        <w:pPr>
                          <w:spacing w:after="0" w:line="276" w:lineRule="auto"/>
                          <w:jc w:val="both"/>
                          <w:rPr>
                            <w:rFonts w:ascii="Verdana" w:hAnsi="Verdana"/>
                            <w:sz w:val="18"/>
                            <w:szCs w:val="18"/>
                          </w:rPr>
                        </w:pPr>
                        <w:r w:rsidRPr="003A3319">
                          <w:rPr>
                            <w:rFonts w:ascii="Verdana" w:hAnsi="Verdana"/>
                            <w:sz w:val="18"/>
                            <w:szCs w:val="18"/>
                          </w:rPr>
                          <w:t xml:space="preserve">Conmutador: (+57) </w:t>
                        </w:r>
                        <w:r w:rsidR="0022254F" w:rsidRPr="003A3319">
                          <w:rPr>
                            <w:rFonts w:ascii="Verdana" w:hAnsi="Verdana"/>
                            <w:sz w:val="18"/>
                            <w:szCs w:val="18"/>
                          </w:rPr>
                          <w:t xml:space="preserve">601 332 3400 - </w:t>
                        </w:r>
                        <w:r w:rsidR="0098792B" w:rsidRPr="0098792B">
                          <w:rPr>
                            <w:rFonts w:ascii="Verdana" w:hAnsi="Verdana"/>
                            <w:sz w:val="18"/>
                            <w:szCs w:val="18"/>
                          </w:rPr>
                          <w:t>3133463676</w:t>
                        </w:r>
                      </w:p>
                      <w:p w14:paraId="3F743D65" w14:textId="03C32F22" w:rsidR="00D34D20" w:rsidRPr="003A3319" w:rsidRDefault="00D34D20" w:rsidP="00256928">
                        <w:pPr>
                          <w:spacing w:after="0" w:line="276" w:lineRule="auto"/>
                          <w:jc w:val="both"/>
                          <w:rPr>
                            <w:rFonts w:ascii="Verdana" w:hAnsi="Verdana"/>
                            <w:sz w:val="18"/>
                            <w:szCs w:val="18"/>
                          </w:rPr>
                        </w:pPr>
                        <w:r w:rsidRPr="003A3319">
                          <w:rPr>
                            <w:rFonts w:ascii="Verdana" w:hAnsi="Verdana"/>
                            <w:sz w:val="18"/>
                            <w:szCs w:val="18"/>
                          </w:rPr>
                          <w:t xml:space="preserve">Línea Gratuita: (+57) </w:t>
                        </w:r>
                        <w:r w:rsidR="009E28CB" w:rsidRPr="003A3319">
                          <w:rPr>
                            <w:rFonts w:ascii="Verdana" w:hAnsi="Verdana"/>
                            <w:sz w:val="18"/>
                            <w:szCs w:val="18"/>
                          </w:rPr>
                          <w:t>01 8000 919301</w:t>
                        </w:r>
                      </w:p>
                    </w:txbxContent>
                  </v:textbox>
                  <w10:wrap anchorx="margin"/>
                </v:shape>
              </w:pict>
            </mc:Fallback>
          </mc:AlternateContent>
        </w:r>
        <w:r w:rsidR="0022254F" w:rsidRPr="003A3319">
          <w:rPr>
            <w:rFonts w:ascii="Verdana" w:hAnsi="Verdana"/>
            <w:color w:val="000000"/>
            <w:sz w:val="18"/>
            <w:szCs w:val="18"/>
          </w:rPr>
          <w:t xml:space="preserve">Página </w:t>
        </w:r>
        <w:r w:rsidR="0022254F" w:rsidRPr="003A3319">
          <w:rPr>
            <w:rFonts w:ascii="Verdana" w:hAnsi="Verdana"/>
            <w:color w:val="000000"/>
            <w:sz w:val="18"/>
            <w:szCs w:val="18"/>
          </w:rPr>
          <w:fldChar w:fldCharType="begin"/>
        </w:r>
        <w:r w:rsidR="0022254F" w:rsidRPr="003A3319">
          <w:rPr>
            <w:rFonts w:ascii="Verdana" w:hAnsi="Verdana"/>
            <w:color w:val="000000"/>
            <w:sz w:val="18"/>
            <w:szCs w:val="18"/>
          </w:rPr>
          <w:instrText>PAGE   \* MERGEFORMAT</w:instrText>
        </w:r>
        <w:r w:rsidR="0022254F" w:rsidRPr="003A3319">
          <w:rPr>
            <w:rFonts w:ascii="Verdana" w:hAnsi="Verdana"/>
            <w:color w:val="000000"/>
            <w:sz w:val="18"/>
            <w:szCs w:val="18"/>
          </w:rPr>
          <w:fldChar w:fldCharType="separate"/>
        </w:r>
        <w:r w:rsidR="0022254F" w:rsidRPr="003A3319">
          <w:rPr>
            <w:rFonts w:ascii="Verdana" w:hAnsi="Verdana"/>
            <w:color w:val="000000"/>
            <w:sz w:val="18"/>
            <w:szCs w:val="18"/>
          </w:rPr>
          <w:t>2</w:t>
        </w:r>
        <w:r w:rsidR="0022254F" w:rsidRPr="003A3319">
          <w:rPr>
            <w:rFonts w:ascii="Verdana" w:hAnsi="Verdana"/>
            <w:color w:val="000000"/>
            <w:sz w:val="18"/>
            <w:szCs w:val="18"/>
          </w:rPr>
          <w:fldChar w:fldCharType="end"/>
        </w:r>
        <w:r w:rsidR="0022254F" w:rsidRPr="003A3319">
          <w:rPr>
            <w:rFonts w:ascii="Verdana" w:hAnsi="Verdana"/>
            <w:color w:val="000000"/>
            <w:sz w:val="18"/>
            <w:szCs w:val="18"/>
          </w:rPr>
          <w:t xml:space="preserve"> | </w:t>
        </w:r>
        <w:r w:rsidR="0022254F" w:rsidRPr="003A3319">
          <w:rPr>
            <w:rFonts w:ascii="Verdana" w:hAnsi="Verdana"/>
            <w:color w:val="000000"/>
            <w:sz w:val="18"/>
            <w:szCs w:val="18"/>
          </w:rPr>
          <w:fldChar w:fldCharType="begin"/>
        </w:r>
        <w:r w:rsidR="0022254F" w:rsidRPr="003A3319">
          <w:rPr>
            <w:rFonts w:ascii="Verdana" w:hAnsi="Verdana"/>
            <w:color w:val="000000"/>
            <w:sz w:val="18"/>
            <w:szCs w:val="18"/>
          </w:rPr>
          <w:instrText>NUMPAGES  \* Arabic  \* MERGEFORMAT</w:instrText>
        </w:r>
        <w:r w:rsidR="0022254F" w:rsidRPr="003A3319">
          <w:rPr>
            <w:rFonts w:ascii="Verdana" w:hAnsi="Verdana"/>
            <w:color w:val="000000"/>
            <w:sz w:val="18"/>
            <w:szCs w:val="18"/>
          </w:rPr>
          <w:fldChar w:fldCharType="separate"/>
        </w:r>
        <w:r w:rsidR="0022254F" w:rsidRPr="003A3319">
          <w:rPr>
            <w:rFonts w:ascii="Verdana" w:hAnsi="Verdana"/>
            <w:color w:val="000000"/>
            <w:sz w:val="18"/>
            <w:szCs w:val="18"/>
          </w:rPr>
          <w:t>2</w:t>
        </w:r>
        <w:r w:rsidR="0022254F" w:rsidRPr="003A3319">
          <w:rPr>
            <w:rFonts w:ascii="Verdana" w:hAnsi="Verdana"/>
            <w:color w:val="000000"/>
            <w:sz w:val="18"/>
            <w:szCs w:val="18"/>
          </w:rPr>
          <w:fldChar w:fldCharType="end"/>
        </w:r>
      </w:p>
      <w:p w14:paraId="2E27CAF7" w14:textId="0F41A7D3" w:rsidR="0022254F" w:rsidRPr="003A3319" w:rsidRDefault="00BE1213" w:rsidP="0022254F">
        <w:pPr>
          <w:pStyle w:val="Piedepgina"/>
          <w:jc w:val="right"/>
          <w:rPr>
            <w:rFonts w:ascii="Verdana" w:hAnsi="Verdana"/>
            <w:color w:val="000000"/>
            <w:sz w:val="18"/>
            <w:szCs w:val="18"/>
          </w:rPr>
        </w:pPr>
      </w:p>
    </w:sdtContent>
  </w:sdt>
  <w:p w14:paraId="64D00525" w14:textId="140CFF39" w:rsidR="00EA4BE4" w:rsidRPr="003A3319" w:rsidRDefault="00EA4BE4" w:rsidP="00EA4BE4">
    <w:pPr>
      <w:pStyle w:val="Piedepgina"/>
      <w:jc w:val="right"/>
      <w:rPr>
        <w:rFonts w:ascii="Verdana" w:hAnsi="Verdana"/>
        <w:sz w:val="18"/>
        <w:szCs w:val="18"/>
      </w:rPr>
    </w:pPr>
    <w:r w:rsidRPr="003A3319">
      <w:rPr>
        <w:rFonts w:ascii="Verdana" w:hAnsi="Verdana"/>
        <w:sz w:val="18"/>
        <w:szCs w:val="18"/>
      </w:rPr>
      <w:t xml:space="preserve">F-E-SIG-26:V7 </w:t>
    </w:r>
    <w:r w:rsidR="003A3319">
      <w:rPr>
        <w:rFonts w:ascii="Verdana" w:hAnsi="Verdana"/>
        <w:sz w:val="18"/>
        <w:szCs w:val="18"/>
      </w:rPr>
      <w:t>02-08-</w:t>
    </w:r>
    <w:r w:rsidRPr="003A3319">
      <w:rPr>
        <w:rFonts w:ascii="Verdana" w:hAnsi="Verdana"/>
        <w:sz w:val="18"/>
        <w:szCs w:val="18"/>
      </w:rPr>
      <w:t>2024</w:t>
    </w:r>
  </w:p>
  <w:p w14:paraId="409F4B9A" w14:textId="79830460" w:rsidR="00D34D20" w:rsidRPr="00D34D20" w:rsidRDefault="00D34D20" w:rsidP="00D34D20">
    <w:pPr>
      <w:spacing w:after="0" w:line="276" w:lineRule="auto"/>
      <w:jc w:val="both"/>
      <w:rPr>
        <w:rFonts w:ascii="Helvetica" w:hAnsi="Helvetica"/>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footnote w:type="separator" w:id="-1">
    <w:p w14:paraId="13268274" w14:textId="77777777" w:rsidR="00623A69" w:rsidRDefault="00623A69" w:rsidP="00757B36">
      <w:pPr>
        <w:spacing w:after="0" w:line="240" w:lineRule="auto"/>
      </w:pPr>
      <w:r>
        <w:separator/>
      </w:r>
    </w:p>
  </w:footnote>
  <w:footnote w:type="continuationSeparator" w:id="0">
    <w:p w14:paraId="60BC99B3" w14:textId="77777777" w:rsidR="00623A69" w:rsidRDefault="00623A69" w:rsidP="00757B36">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p w14:paraId="5FF8CE25" w14:textId="77777777" w:rsidR="00757B36" w:rsidRDefault="00757B36">
    <w:pPr>
      <w:pStyle w:val="Encabezado"/>
    </w:pPr>
    <w:r>
      <w:rPr>
        <w:noProof/>
        <w:lang w:val="en-US"/>
      </w:rPr>
      <w:drawing>
        <wp:anchor distT="0" distB="0" distL="114300" distR="114300" simplePos="0" relativeHeight="251658240" behindDoc="1" locked="0" layoutInCell="1" allowOverlap="1" wp14:anchorId="4B676E97" wp14:editId="174FF380">
          <wp:simplePos x="0" y="0"/>
          <wp:positionH relativeFrom="page">
            <wp:posOffset>6674</wp:posOffset>
          </wp:positionH>
          <wp:positionV relativeFrom="paragraph">
            <wp:posOffset>-436231</wp:posOffset>
          </wp:positionV>
          <wp:extent cx="7756896" cy="10051011"/>
          <wp:effectExtent l="0" t="0" r="0" b="0"/>
          <wp:wrapNone/>
          <wp:docPr id="1750966253" name="Imagen 1750966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5993281" name="Imagen 1615993281"/>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7756896" cy="10051011"/>
                  </a:xfrm>
                  <a:prstGeom prst="rect">
                    <a:avLst/>
                  </a:prstGeom>
                  <a:noFill/>
                  <a:ln>
                    <a:noFill/>
                  </a:ln>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abstractNum w:abstractNumId="0" w15:restartNumberingAfterBreak="0">
    <w:nsid w:val="85304DFF"/>
    <w:multiLevelType w:val="hybridMultilevel"/>
    <w:tmpl w:val="C9EF745D"/>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00642C28"/>
    <w:multiLevelType w:val="hybridMultilevel"/>
    <w:tmpl w:val="2DBA8062"/>
    <w:lvl w:ilvl="0" w:tplc="240A000F">
      <w:start w:val="1"/>
      <w:numFmt w:val="decimal"/>
      <w:lvlText w:val="%1."/>
      <w:lvlJc w:val="left"/>
      <w:pPr>
        <w:ind w:left="928" w:hanging="360"/>
      </w:pPr>
    </w:lvl>
    <w:lvl w:ilvl="1" w:tplc="240A0019" w:tentative="1">
      <w:start w:val="1"/>
      <w:numFmt w:val="lowerLetter"/>
      <w:lvlText w:val="%2."/>
      <w:lvlJc w:val="left"/>
      <w:pPr>
        <w:ind w:left="1648" w:hanging="360"/>
      </w:pPr>
    </w:lvl>
    <w:lvl w:ilvl="2" w:tplc="240A001B" w:tentative="1">
      <w:start w:val="1"/>
      <w:numFmt w:val="lowerRoman"/>
      <w:lvlText w:val="%3."/>
      <w:lvlJc w:val="right"/>
      <w:pPr>
        <w:ind w:left="2368" w:hanging="180"/>
      </w:pPr>
    </w:lvl>
    <w:lvl w:ilvl="3" w:tplc="240A000F" w:tentative="1">
      <w:start w:val="1"/>
      <w:numFmt w:val="decimal"/>
      <w:lvlText w:val="%4."/>
      <w:lvlJc w:val="left"/>
      <w:pPr>
        <w:ind w:left="3088" w:hanging="360"/>
      </w:pPr>
    </w:lvl>
    <w:lvl w:ilvl="4" w:tplc="240A0019" w:tentative="1">
      <w:start w:val="1"/>
      <w:numFmt w:val="lowerLetter"/>
      <w:lvlText w:val="%5."/>
      <w:lvlJc w:val="left"/>
      <w:pPr>
        <w:ind w:left="3808" w:hanging="360"/>
      </w:pPr>
    </w:lvl>
    <w:lvl w:ilvl="5" w:tplc="240A001B" w:tentative="1">
      <w:start w:val="1"/>
      <w:numFmt w:val="lowerRoman"/>
      <w:lvlText w:val="%6."/>
      <w:lvlJc w:val="right"/>
      <w:pPr>
        <w:ind w:left="4528" w:hanging="180"/>
      </w:pPr>
    </w:lvl>
    <w:lvl w:ilvl="6" w:tplc="240A000F" w:tentative="1">
      <w:start w:val="1"/>
      <w:numFmt w:val="decimal"/>
      <w:lvlText w:val="%7."/>
      <w:lvlJc w:val="left"/>
      <w:pPr>
        <w:ind w:left="5248" w:hanging="360"/>
      </w:pPr>
    </w:lvl>
    <w:lvl w:ilvl="7" w:tplc="240A0019" w:tentative="1">
      <w:start w:val="1"/>
      <w:numFmt w:val="lowerLetter"/>
      <w:lvlText w:val="%8."/>
      <w:lvlJc w:val="left"/>
      <w:pPr>
        <w:ind w:left="5968" w:hanging="360"/>
      </w:pPr>
    </w:lvl>
    <w:lvl w:ilvl="8" w:tplc="240A001B" w:tentative="1">
      <w:start w:val="1"/>
      <w:numFmt w:val="lowerRoman"/>
      <w:lvlText w:val="%9."/>
      <w:lvlJc w:val="right"/>
      <w:pPr>
        <w:ind w:left="6688" w:hanging="180"/>
      </w:pPr>
    </w:lvl>
  </w:abstractNum>
  <w:abstractNum w:abstractNumId="2" w15:restartNumberingAfterBreak="0">
    <w:nsid w:val="02940984"/>
    <w:multiLevelType w:val="hybridMultilevel"/>
    <w:tmpl w:val="755E322A"/>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 w15:restartNumberingAfterBreak="0">
    <w:nsid w:val="0C3E5004"/>
    <w:multiLevelType w:val="multilevel"/>
    <w:tmpl w:val="D04EC3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151D40C0"/>
    <w:multiLevelType w:val="multilevel"/>
    <w:tmpl w:val="9E8CDD7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166F4EC7"/>
    <w:multiLevelType w:val="multilevel"/>
    <w:tmpl w:val="D1E2467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3FF96FCD"/>
    <w:multiLevelType w:val="hybridMultilevel"/>
    <w:tmpl w:val="466022BE"/>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7" w15:restartNumberingAfterBreak="0">
    <w:nsid w:val="5B81263E"/>
    <w:multiLevelType w:val="hybridMultilevel"/>
    <w:tmpl w:val="C1F6A378"/>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8" w15:restartNumberingAfterBreak="0">
    <w:nsid w:val="5BCF521E"/>
    <w:multiLevelType w:val="multilevel"/>
    <w:tmpl w:val="0808727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 w15:restartNumberingAfterBreak="0">
    <w:nsid w:val="5C050238"/>
    <w:multiLevelType w:val="hybridMultilevel"/>
    <w:tmpl w:val="A2867C52"/>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0" w15:restartNumberingAfterBreak="0">
    <w:nsid w:val="622A37A4"/>
    <w:multiLevelType w:val="hybridMultilevel"/>
    <w:tmpl w:val="90CC8F40"/>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1" w15:restartNumberingAfterBreak="0">
    <w:nsid w:val="74FA7667"/>
    <w:multiLevelType w:val="hybridMultilevel"/>
    <w:tmpl w:val="F508BBF6"/>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num w:numId="1" w16cid:durableId="1993215295">
    <w:abstractNumId w:val="2"/>
  </w:num>
  <w:num w:numId="2" w16cid:durableId="986515570">
    <w:abstractNumId w:val="6"/>
  </w:num>
  <w:num w:numId="3" w16cid:durableId="146898711">
    <w:abstractNumId w:val="7"/>
  </w:num>
  <w:num w:numId="4" w16cid:durableId="1428573492">
    <w:abstractNumId w:val="1"/>
  </w:num>
  <w:num w:numId="5" w16cid:durableId="1393313354">
    <w:abstractNumId w:val="10"/>
  </w:num>
  <w:num w:numId="6" w16cid:durableId="812940274">
    <w:abstractNumId w:val="9"/>
  </w:num>
  <w:num w:numId="7" w16cid:durableId="827019487">
    <w:abstractNumId w:val="11"/>
  </w:num>
  <w:num w:numId="8" w16cid:durableId="875436398">
    <w:abstractNumId w:val="4"/>
  </w:num>
  <w:num w:numId="9" w16cid:durableId="1378167115">
    <w:abstractNumId w:val="5"/>
  </w:num>
  <w:num w:numId="10" w16cid:durableId="916480770">
    <w:abstractNumId w:val="8"/>
  </w:num>
  <w:num w:numId="11" w16cid:durableId="426116336">
    <w:abstractNumId w:val="3"/>
  </w:num>
  <w:num w:numId="12" w16cid:durableId="1337925242">
    <w:abstractNumId w:val="0"/>
  </w:num>
</w:numbering>
</file>

<file path=word/settings.xml><?xml version="1.0" encoding="utf-8"?>
<w:settings xmlns:mc="http://schemas.openxmlformats.org/markup-compatibility/2006" xmlns:m="http://schemas.openxmlformats.org/officeDocument/2006/math" xmlns:r="http://schemas.openxmlformats.org/officeDocument/2006/relationships" xmlns:sl="http://schemas.openxmlformats.org/schemaLibrary/2006/main"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view w:val="web"/>
  <w:zoom w:percent="100"/>
  <w:proofState w:spelling="clean"/>
  <w:revisionView w:inkAnnotations="0"/>
  <w:defaultTabStop w:val="708"/>
  <w:hyphenationZone w:val="425"/>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57B36"/>
    <w:rsid w:val="00005F54"/>
    <w:rsid w:val="00007A62"/>
    <w:rsid w:val="0001473B"/>
    <w:rsid w:val="00017BC6"/>
    <w:rsid w:val="00034DB5"/>
    <w:rsid w:val="000351ED"/>
    <w:rsid w:val="0003555A"/>
    <w:rsid w:val="00043235"/>
    <w:rsid w:val="00062A95"/>
    <w:rsid w:val="000B0CA4"/>
    <w:rsid w:val="000B6EB2"/>
    <w:rsid w:val="000C262E"/>
    <w:rsid w:val="000C30AB"/>
    <w:rsid w:val="000D1FF6"/>
    <w:rsid w:val="000E1823"/>
    <w:rsid w:val="000E5ED4"/>
    <w:rsid w:val="000E71A2"/>
    <w:rsid w:val="0010287D"/>
    <w:rsid w:val="0011447C"/>
    <w:rsid w:val="00115890"/>
    <w:rsid w:val="00120FAD"/>
    <w:rsid w:val="00124632"/>
    <w:rsid w:val="00125C7E"/>
    <w:rsid w:val="00130FD1"/>
    <w:rsid w:val="001504C0"/>
    <w:rsid w:val="001563BA"/>
    <w:rsid w:val="0016373F"/>
    <w:rsid w:val="00167E54"/>
    <w:rsid w:val="0019148B"/>
    <w:rsid w:val="001924B3"/>
    <w:rsid w:val="001A0A8C"/>
    <w:rsid w:val="001A240F"/>
    <w:rsid w:val="001A3A26"/>
    <w:rsid w:val="001A3EDD"/>
    <w:rsid w:val="001B2CB1"/>
    <w:rsid w:val="001B54DE"/>
    <w:rsid w:val="001B5806"/>
    <w:rsid w:val="001B7B74"/>
    <w:rsid w:val="001C31A7"/>
    <w:rsid w:val="001D25F3"/>
    <w:rsid w:val="001D55FB"/>
    <w:rsid w:val="001E2AD6"/>
    <w:rsid w:val="001F5517"/>
    <w:rsid w:val="002109F8"/>
    <w:rsid w:val="002212EA"/>
    <w:rsid w:val="00221C36"/>
    <w:rsid w:val="0022254F"/>
    <w:rsid w:val="0024005C"/>
    <w:rsid w:val="0025124E"/>
    <w:rsid w:val="00251847"/>
    <w:rsid w:val="00253E1B"/>
    <w:rsid w:val="00255542"/>
    <w:rsid w:val="00256928"/>
    <w:rsid w:val="00256A72"/>
    <w:rsid w:val="002607F4"/>
    <w:rsid w:val="00260BBC"/>
    <w:rsid w:val="0026797C"/>
    <w:rsid w:val="00271AF0"/>
    <w:rsid w:val="002778BE"/>
    <w:rsid w:val="00290BE0"/>
    <w:rsid w:val="00297AD6"/>
    <w:rsid w:val="002A07C2"/>
    <w:rsid w:val="002A486F"/>
    <w:rsid w:val="002B6B6B"/>
    <w:rsid w:val="002C276B"/>
    <w:rsid w:val="002C5F90"/>
    <w:rsid w:val="002D4B79"/>
    <w:rsid w:val="002E5F6A"/>
    <w:rsid w:val="002E7B9B"/>
    <w:rsid w:val="0030489C"/>
    <w:rsid w:val="003058BE"/>
    <w:rsid w:val="00310BAA"/>
    <w:rsid w:val="00312C0A"/>
    <w:rsid w:val="00314DF5"/>
    <w:rsid w:val="003537BC"/>
    <w:rsid w:val="00363630"/>
    <w:rsid w:val="00377DBE"/>
    <w:rsid w:val="003900C0"/>
    <w:rsid w:val="00397D6D"/>
    <w:rsid w:val="003A3319"/>
    <w:rsid w:val="003A4594"/>
    <w:rsid w:val="003E5BFB"/>
    <w:rsid w:val="003F4637"/>
    <w:rsid w:val="0040152E"/>
    <w:rsid w:val="00412A05"/>
    <w:rsid w:val="004215F8"/>
    <w:rsid w:val="00421F2C"/>
    <w:rsid w:val="00422308"/>
    <w:rsid w:val="00436E05"/>
    <w:rsid w:val="00437E57"/>
    <w:rsid w:val="00445034"/>
    <w:rsid w:val="0045562A"/>
    <w:rsid w:val="00457F03"/>
    <w:rsid w:val="0046201E"/>
    <w:rsid w:val="004759DE"/>
    <w:rsid w:val="00486761"/>
    <w:rsid w:val="004952BA"/>
    <w:rsid w:val="004D7900"/>
    <w:rsid w:val="004E2441"/>
    <w:rsid w:val="00512E63"/>
    <w:rsid w:val="00515878"/>
    <w:rsid w:val="005236E5"/>
    <w:rsid w:val="00526F76"/>
    <w:rsid w:val="00541A90"/>
    <w:rsid w:val="00556D50"/>
    <w:rsid w:val="0059076B"/>
    <w:rsid w:val="005934D2"/>
    <w:rsid w:val="005A1C31"/>
    <w:rsid w:val="005B71ED"/>
    <w:rsid w:val="005C3CD0"/>
    <w:rsid w:val="005C4C15"/>
    <w:rsid w:val="005C72CE"/>
    <w:rsid w:val="005D0F01"/>
    <w:rsid w:val="005D4011"/>
    <w:rsid w:val="005D4800"/>
    <w:rsid w:val="005E3A19"/>
    <w:rsid w:val="005F1424"/>
    <w:rsid w:val="00605D1D"/>
    <w:rsid w:val="00610554"/>
    <w:rsid w:val="006166BF"/>
    <w:rsid w:val="00623A69"/>
    <w:rsid w:val="006245F9"/>
    <w:rsid w:val="0064339E"/>
    <w:rsid w:val="0065062A"/>
    <w:rsid w:val="0066033D"/>
    <w:rsid w:val="00670493"/>
    <w:rsid w:val="00671940"/>
    <w:rsid w:val="00680721"/>
    <w:rsid w:val="006B19A8"/>
    <w:rsid w:val="006B6B5B"/>
    <w:rsid w:val="006D1B3B"/>
    <w:rsid w:val="006E77B2"/>
    <w:rsid w:val="006E7B3E"/>
    <w:rsid w:val="006F5A43"/>
    <w:rsid w:val="007110DD"/>
    <w:rsid w:val="007125DE"/>
    <w:rsid w:val="00717BC1"/>
    <w:rsid w:val="00726A3B"/>
    <w:rsid w:val="007313B6"/>
    <w:rsid w:val="00737614"/>
    <w:rsid w:val="0074145C"/>
    <w:rsid w:val="0074207A"/>
    <w:rsid w:val="00757B36"/>
    <w:rsid w:val="00765727"/>
    <w:rsid w:val="007670D0"/>
    <w:rsid w:val="0078083E"/>
    <w:rsid w:val="007902B6"/>
    <w:rsid w:val="00792C1A"/>
    <w:rsid w:val="007A049D"/>
    <w:rsid w:val="007A51C0"/>
    <w:rsid w:val="007C692D"/>
    <w:rsid w:val="007D0A08"/>
    <w:rsid w:val="007D1D94"/>
    <w:rsid w:val="007E0A45"/>
    <w:rsid w:val="00801B64"/>
    <w:rsid w:val="00803AE5"/>
    <w:rsid w:val="008135BC"/>
    <w:rsid w:val="00814681"/>
    <w:rsid w:val="008160C0"/>
    <w:rsid w:val="00823EE7"/>
    <w:rsid w:val="00826980"/>
    <w:rsid w:val="0083113C"/>
    <w:rsid w:val="008459F3"/>
    <w:rsid w:val="00852D7D"/>
    <w:rsid w:val="00866F89"/>
    <w:rsid w:val="00872270"/>
    <w:rsid w:val="00875068"/>
    <w:rsid w:val="008A28AE"/>
    <w:rsid w:val="008A28C2"/>
    <w:rsid w:val="008B61E8"/>
    <w:rsid w:val="008C1DE9"/>
    <w:rsid w:val="008D36EF"/>
    <w:rsid w:val="008D747C"/>
    <w:rsid w:val="008D780C"/>
    <w:rsid w:val="008E0F9F"/>
    <w:rsid w:val="00920B53"/>
    <w:rsid w:val="00930B71"/>
    <w:rsid w:val="00954BA0"/>
    <w:rsid w:val="00960617"/>
    <w:rsid w:val="00971CF0"/>
    <w:rsid w:val="009729EC"/>
    <w:rsid w:val="00974411"/>
    <w:rsid w:val="0098188F"/>
    <w:rsid w:val="0098792B"/>
    <w:rsid w:val="00990AB0"/>
    <w:rsid w:val="009A4619"/>
    <w:rsid w:val="009B3145"/>
    <w:rsid w:val="009B51B6"/>
    <w:rsid w:val="009C7689"/>
    <w:rsid w:val="009E1E1F"/>
    <w:rsid w:val="009E28CB"/>
    <w:rsid w:val="00A01A53"/>
    <w:rsid w:val="00A01F0D"/>
    <w:rsid w:val="00A044DB"/>
    <w:rsid w:val="00A07DC6"/>
    <w:rsid w:val="00A23228"/>
    <w:rsid w:val="00A40837"/>
    <w:rsid w:val="00A43684"/>
    <w:rsid w:val="00A60B87"/>
    <w:rsid w:val="00A65CDC"/>
    <w:rsid w:val="00A74130"/>
    <w:rsid w:val="00AB2E71"/>
    <w:rsid w:val="00AC6CBE"/>
    <w:rsid w:val="00AF09C5"/>
    <w:rsid w:val="00AF5FB6"/>
    <w:rsid w:val="00B028ED"/>
    <w:rsid w:val="00B04F41"/>
    <w:rsid w:val="00B05914"/>
    <w:rsid w:val="00B0613A"/>
    <w:rsid w:val="00B062FB"/>
    <w:rsid w:val="00B22CBA"/>
    <w:rsid w:val="00B253B0"/>
    <w:rsid w:val="00B33AA4"/>
    <w:rsid w:val="00B36B31"/>
    <w:rsid w:val="00B45226"/>
    <w:rsid w:val="00B674F0"/>
    <w:rsid w:val="00B70826"/>
    <w:rsid w:val="00B70D55"/>
    <w:rsid w:val="00B775B4"/>
    <w:rsid w:val="00B833D7"/>
    <w:rsid w:val="00B870E3"/>
    <w:rsid w:val="00BC0F91"/>
    <w:rsid w:val="00BD2546"/>
    <w:rsid w:val="00BD5B3F"/>
    <w:rsid w:val="00BD68F4"/>
    <w:rsid w:val="00BE1213"/>
    <w:rsid w:val="00C1309B"/>
    <w:rsid w:val="00C169E6"/>
    <w:rsid w:val="00C46182"/>
    <w:rsid w:val="00C5186C"/>
    <w:rsid w:val="00C64CF3"/>
    <w:rsid w:val="00C76A6F"/>
    <w:rsid w:val="00C83EF8"/>
    <w:rsid w:val="00C941B2"/>
    <w:rsid w:val="00CA7129"/>
    <w:rsid w:val="00CB48B5"/>
    <w:rsid w:val="00CB6F08"/>
    <w:rsid w:val="00CE57A9"/>
    <w:rsid w:val="00D03857"/>
    <w:rsid w:val="00D10EEE"/>
    <w:rsid w:val="00D16E9E"/>
    <w:rsid w:val="00D20A85"/>
    <w:rsid w:val="00D31E6F"/>
    <w:rsid w:val="00D34D20"/>
    <w:rsid w:val="00DE0324"/>
    <w:rsid w:val="00DF02B8"/>
    <w:rsid w:val="00E13CB3"/>
    <w:rsid w:val="00E24AD9"/>
    <w:rsid w:val="00E46C49"/>
    <w:rsid w:val="00E47E05"/>
    <w:rsid w:val="00E53EAA"/>
    <w:rsid w:val="00E555F1"/>
    <w:rsid w:val="00E83999"/>
    <w:rsid w:val="00E978DB"/>
    <w:rsid w:val="00E97EBE"/>
    <w:rsid w:val="00EA4BE4"/>
    <w:rsid w:val="00EA4CE8"/>
    <w:rsid w:val="00EE077D"/>
    <w:rsid w:val="00EE199F"/>
    <w:rsid w:val="00EE7DD1"/>
    <w:rsid w:val="00EF1598"/>
    <w:rsid w:val="00EF5908"/>
    <w:rsid w:val="00F06069"/>
    <w:rsid w:val="00F21EA4"/>
    <w:rsid w:val="00F324F7"/>
    <w:rsid w:val="00F433E0"/>
    <w:rsid w:val="00F43F24"/>
    <w:rsid w:val="00F5298D"/>
    <w:rsid w:val="00F566E3"/>
    <w:rsid w:val="00F61869"/>
    <w:rsid w:val="00FA1E58"/>
    <w:rsid w:val="00FB4161"/>
    <w:rsid w:val="00FB4AED"/>
    <w:rsid w:val="00FC00DF"/>
    <w:rsid w:val="00FE3A8B"/>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4:docId w14:val="019C4308"/>
  <w15:chartTrackingRefBased/>
  <w15:docId w15:val="{82F1AF6E-31FF-4CFD-85E0-BEF35F90808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docDefaults>
    <w:rPrDefault>
      <w:rPr>
        <w:rFonts w:asciiTheme="minorHAnsi" w:eastAsiaTheme="minorHAnsi" w:hAnsiTheme="minorHAnsi" w:cstheme="minorBidi"/>
        <w:kern w:val="2"/>
        <w:sz w:val="22"/>
        <w:szCs w:val="22"/>
        <w:lang w:val="es-CO"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0152E"/>
    <w:pPr>
      <w:spacing w:line="256" w:lineRule="auto"/>
    </w:pPr>
  </w:style>
  <w:style w:type="paragraph" w:styleId="Ttulo1">
    <w:name w:val="heading 1"/>
    <w:basedOn w:val="Normal"/>
    <w:next w:val="Normal"/>
    <w:link w:val="Ttulo1Car"/>
    <w:uiPriority w:val="9"/>
    <w:qFormat/>
    <w:rsid w:val="002A486F"/>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Ttulo2">
    <w:name w:val="heading 2"/>
    <w:basedOn w:val="Normal"/>
    <w:next w:val="Normal"/>
    <w:link w:val="Ttulo2Car"/>
    <w:uiPriority w:val="9"/>
    <w:unhideWhenUsed/>
    <w:qFormat/>
    <w:rsid w:val="002A486F"/>
    <w:pPr>
      <w:keepNext/>
      <w:keepLines/>
      <w:spacing w:before="40" w:after="0"/>
      <w:outlineLvl w:val="1"/>
    </w:pPr>
    <w:rPr>
      <w:rFonts w:asciiTheme="majorHAnsi" w:eastAsiaTheme="majorEastAsia" w:hAnsiTheme="majorHAnsi" w:cstheme="majorBidi"/>
      <w:color w:val="2F5496" w:themeColor="accent1" w:themeShade="BF"/>
      <w:sz w:val="26"/>
      <w:szCs w:val="26"/>
    </w:rPr>
  </w:style>
  <w:style w:type="paragraph" w:styleId="Ttulo3">
    <w:name w:val="heading 3"/>
    <w:basedOn w:val="Normal"/>
    <w:link w:val="Ttulo3Car"/>
    <w:uiPriority w:val="9"/>
    <w:qFormat/>
    <w:rsid w:val="00960617"/>
    <w:pPr>
      <w:spacing w:before="100" w:beforeAutospacing="1" w:after="100" w:afterAutospacing="1" w:line="240" w:lineRule="auto"/>
      <w:outlineLvl w:val="2"/>
    </w:pPr>
    <w:rPr>
      <w:rFonts w:ascii="Times New Roman" w:eastAsia="Times New Roman" w:hAnsi="Times New Roman" w:cs="Times New Roman"/>
      <w:b/>
      <w:bCs/>
      <w:kern w:val="0"/>
      <w:sz w:val="27"/>
      <w:szCs w:val="27"/>
      <w:lang w:eastAsia="es-CO"/>
      <w14:ligatures w14:val="none"/>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757B36"/>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757B36"/>
  </w:style>
  <w:style w:type="paragraph" w:styleId="Piedepgina">
    <w:name w:val="footer"/>
    <w:basedOn w:val="Normal"/>
    <w:link w:val="PiedepginaCar"/>
    <w:uiPriority w:val="99"/>
    <w:unhideWhenUsed/>
    <w:rsid w:val="00757B36"/>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757B36"/>
  </w:style>
  <w:style w:type="character" w:styleId="Hipervnculo">
    <w:name w:val="Hyperlink"/>
    <w:basedOn w:val="Fuentedeprrafopredeter"/>
    <w:uiPriority w:val="99"/>
    <w:unhideWhenUsed/>
    <w:rsid w:val="00757B36"/>
    <w:rPr>
      <w:color w:val="0563C1" w:themeColor="hyperlink"/>
      <w:u w:val="single"/>
    </w:rPr>
  </w:style>
  <w:style w:type="character" w:customStyle="1" w:styleId="Mencinsinresolver1">
    <w:name w:val="Mención sin resolver1"/>
    <w:basedOn w:val="Fuentedeprrafopredeter"/>
    <w:uiPriority w:val="99"/>
    <w:semiHidden/>
    <w:unhideWhenUsed/>
    <w:rsid w:val="00757B36"/>
    <w:rPr>
      <w:color w:val="605E5C"/>
      <w:shd w:val="clear" w:color="auto" w:fill="E1DFDD"/>
    </w:rPr>
  </w:style>
  <w:style w:type="paragraph" w:styleId="Prrafodelista">
    <w:name w:val="List Paragraph"/>
    <w:basedOn w:val="Normal"/>
    <w:uiPriority w:val="34"/>
    <w:qFormat/>
    <w:rsid w:val="00757B36"/>
    <w:pPr>
      <w:spacing w:line="259" w:lineRule="auto"/>
      <w:ind w:left="720"/>
      <w:contextualSpacing/>
    </w:pPr>
  </w:style>
  <w:style w:type="character" w:styleId="Hipervnculovisitado">
    <w:name w:val="FollowedHyperlink"/>
    <w:basedOn w:val="Fuentedeprrafopredeter"/>
    <w:uiPriority w:val="99"/>
    <w:semiHidden/>
    <w:unhideWhenUsed/>
    <w:rsid w:val="00397D6D"/>
    <w:rPr>
      <w:color w:val="954F72" w:themeColor="followedHyperlink"/>
      <w:u w:val="single"/>
    </w:rPr>
  </w:style>
  <w:style w:type="character" w:customStyle="1" w:styleId="cabexotemenu">
    <w:name w:val="cabexotemenu"/>
    <w:basedOn w:val="Fuentedeprrafopredeter"/>
    <w:rsid w:val="00872270"/>
  </w:style>
  <w:style w:type="character" w:styleId="Mencinsinresolver">
    <w:name w:val="Unresolved Mention"/>
    <w:basedOn w:val="Fuentedeprrafopredeter"/>
    <w:uiPriority w:val="99"/>
    <w:semiHidden/>
    <w:unhideWhenUsed/>
    <w:rsid w:val="005D4800"/>
    <w:rPr>
      <w:color w:val="605E5C"/>
      <w:shd w:val="clear" w:color="auto" w:fill="E1DFDD"/>
    </w:rPr>
  </w:style>
  <w:style w:type="paragraph" w:styleId="NormalWeb">
    <w:name w:val="Normal (Web)"/>
    <w:basedOn w:val="Normal"/>
    <w:uiPriority w:val="99"/>
    <w:unhideWhenUsed/>
    <w:rsid w:val="00B22CBA"/>
    <w:pPr>
      <w:spacing w:before="100" w:beforeAutospacing="1" w:after="100" w:afterAutospacing="1" w:line="240" w:lineRule="auto"/>
    </w:pPr>
    <w:rPr>
      <w:rFonts w:ascii="Times New Roman" w:eastAsia="Times New Roman" w:hAnsi="Times New Roman" w:cs="Times New Roman"/>
      <w:kern w:val="0"/>
      <w:sz w:val="24"/>
      <w:szCs w:val="24"/>
      <w:lang w:eastAsia="es-CO"/>
      <w14:ligatures w14:val="none"/>
    </w:rPr>
  </w:style>
  <w:style w:type="paragraph" w:styleId="Revisin">
    <w:name w:val="Revision"/>
    <w:hidden/>
    <w:uiPriority w:val="99"/>
    <w:semiHidden/>
    <w:rsid w:val="005D0F01"/>
    <w:pPr>
      <w:spacing w:after="0" w:line="240" w:lineRule="auto"/>
    </w:pPr>
  </w:style>
  <w:style w:type="paragraph" w:styleId="Textodeglobo">
    <w:name w:val="Balloon Text"/>
    <w:basedOn w:val="Normal"/>
    <w:link w:val="TextodegloboCar"/>
    <w:uiPriority w:val="99"/>
    <w:semiHidden/>
    <w:unhideWhenUsed/>
    <w:rsid w:val="002212EA"/>
    <w:pPr>
      <w:spacing w:after="0" w:line="240" w:lineRule="auto"/>
    </w:pPr>
    <w:rPr>
      <w:rFonts w:ascii="Segoe UI" w:hAnsi="Segoe UI" w:cs="Segoe UI"/>
      <w:sz w:val="18"/>
      <w:szCs w:val="18"/>
    </w:rPr>
  </w:style>
  <w:style w:type="character" w:customStyle="1" w:styleId="TextodegloboCar">
    <w:name w:val="Texto de globo Car"/>
    <w:basedOn w:val="Fuentedeprrafopredeter"/>
    <w:link w:val="Textodeglobo"/>
    <w:uiPriority w:val="99"/>
    <w:semiHidden/>
    <w:rsid w:val="002212EA"/>
    <w:rPr>
      <w:rFonts w:ascii="Segoe UI" w:hAnsi="Segoe UI" w:cs="Segoe UI"/>
      <w:sz w:val="18"/>
      <w:szCs w:val="18"/>
    </w:rPr>
  </w:style>
  <w:style w:type="character" w:customStyle="1" w:styleId="Ttulo3Car">
    <w:name w:val="Título 3 Car"/>
    <w:basedOn w:val="Fuentedeprrafopredeter"/>
    <w:link w:val="Ttulo3"/>
    <w:uiPriority w:val="9"/>
    <w:rsid w:val="00960617"/>
    <w:rPr>
      <w:rFonts w:ascii="Times New Roman" w:eastAsia="Times New Roman" w:hAnsi="Times New Roman" w:cs="Times New Roman"/>
      <w:b/>
      <w:bCs/>
      <w:kern w:val="0"/>
      <w:sz w:val="27"/>
      <w:szCs w:val="27"/>
      <w:lang w:eastAsia="es-CO"/>
      <w14:ligatures w14:val="none"/>
    </w:rPr>
  </w:style>
  <w:style w:type="character" w:customStyle="1" w:styleId="Ttulo1Car">
    <w:name w:val="Título 1 Car"/>
    <w:basedOn w:val="Fuentedeprrafopredeter"/>
    <w:link w:val="Ttulo1"/>
    <w:uiPriority w:val="9"/>
    <w:rsid w:val="002A486F"/>
    <w:rPr>
      <w:rFonts w:asciiTheme="majorHAnsi" w:eastAsiaTheme="majorEastAsia" w:hAnsiTheme="majorHAnsi" w:cstheme="majorBidi"/>
      <w:color w:val="2F5496" w:themeColor="accent1" w:themeShade="BF"/>
      <w:sz w:val="32"/>
      <w:szCs w:val="32"/>
    </w:rPr>
  </w:style>
  <w:style w:type="character" w:customStyle="1" w:styleId="Ttulo2Car">
    <w:name w:val="Título 2 Car"/>
    <w:basedOn w:val="Fuentedeprrafopredeter"/>
    <w:link w:val="Ttulo2"/>
    <w:uiPriority w:val="9"/>
    <w:rsid w:val="002A486F"/>
    <w:rPr>
      <w:rFonts w:asciiTheme="majorHAnsi" w:eastAsiaTheme="majorEastAsia" w:hAnsiTheme="majorHAnsi" w:cstheme="majorBidi"/>
      <w:color w:val="2F5496" w:themeColor="accent1" w:themeShade="BF"/>
      <w:sz w:val="26"/>
      <w:szCs w:val="26"/>
    </w:rPr>
  </w:style>
  <w:style w:type="paragraph" w:styleId="HTMLconformatoprevio">
    <w:name w:val="HTML Preformatted"/>
    <w:basedOn w:val="Normal"/>
    <w:link w:val="HTMLconformatoprevioCar"/>
    <w:uiPriority w:val="99"/>
    <w:unhideWhenUsed/>
    <w:rsid w:val="002A486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kern w:val="0"/>
      <w:sz w:val="20"/>
      <w:szCs w:val="20"/>
      <w:lang w:eastAsia="es-CO"/>
      <w14:ligatures w14:val="none"/>
    </w:rPr>
  </w:style>
  <w:style w:type="character" w:customStyle="1" w:styleId="HTMLconformatoprevioCar">
    <w:name w:val="HTML con formato previo Car"/>
    <w:basedOn w:val="Fuentedeprrafopredeter"/>
    <w:link w:val="HTMLconformatoprevio"/>
    <w:uiPriority w:val="99"/>
    <w:rsid w:val="002A486F"/>
    <w:rPr>
      <w:rFonts w:ascii="Courier New" w:eastAsia="Times New Roman" w:hAnsi="Courier New" w:cs="Courier New"/>
      <w:kern w:val="0"/>
      <w:sz w:val="20"/>
      <w:szCs w:val="20"/>
      <w:lang w:eastAsia="es-CO"/>
      <w14:ligatures w14:val="none"/>
    </w:rPr>
  </w:style>
  <w:style w:type="character" w:styleId="CdigoHTML">
    <w:name w:val="HTML Code"/>
    <w:basedOn w:val="Fuentedeprrafopredeter"/>
    <w:uiPriority w:val="99"/>
    <w:semiHidden/>
    <w:unhideWhenUsed/>
    <w:rsid w:val="002A486F"/>
    <w:rPr>
      <w:rFonts w:ascii="Courier New" w:eastAsia="Times New Roman" w:hAnsi="Courier New" w:cs="Courier New"/>
      <w:sz w:val="20"/>
      <w:szCs w:val="20"/>
    </w:rPr>
  </w:style>
  <w:style w:type="paragraph" w:styleId="Textoindependiente">
    <w:name w:val="Body Text"/>
    <w:basedOn w:val="Normal"/>
    <w:link w:val="TextoindependienteCar"/>
    <w:semiHidden/>
    <w:rsid w:val="00671940"/>
    <w:pPr>
      <w:spacing w:after="0" w:line="240" w:lineRule="auto"/>
      <w:jc w:val="both"/>
    </w:pPr>
    <w:rPr>
      <w:rFonts w:ascii="Arial" w:eastAsia="Times New Roman" w:hAnsi="Arial" w:cs="Times New Roman"/>
      <w:kern w:val="0"/>
      <w:szCs w:val="20"/>
      <w:lang w:val="es-ES" w:eastAsia="es-ES"/>
      <w14:ligatures w14:val="none"/>
    </w:rPr>
  </w:style>
  <w:style w:type="character" w:customStyle="1" w:styleId="TextoindependienteCar">
    <w:name w:val="Texto independiente Car"/>
    <w:basedOn w:val="Fuentedeprrafopredeter"/>
    <w:link w:val="Textoindependiente"/>
    <w:semiHidden/>
    <w:rsid w:val="00671940"/>
    <w:rPr>
      <w:rFonts w:ascii="Arial" w:eastAsia="Times New Roman" w:hAnsi="Arial" w:cs="Times New Roman"/>
      <w:kern w:val="0"/>
      <w:szCs w:val="20"/>
      <w:lang w:val="es-ES" w:eastAsia="es-ES"/>
      <w14:ligatures w14:val="none"/>
    </w:rPr>
  </w:style>
  <w:style w:type="paragraph" w:customStyle="1" w:styleId="Default">
    <w:name w:val="Default"/>
    <w:rsid w:val="00B833D7"/>
    <w:pPr>
      <w:autoSpaceDE w:val="0"/>
      <w:autoSpaceDN w:val="0"/>
      <w:adjustRightInd w:val="0"/>
      <w:spacing w:after="0" w:line="240" w:lineRule="auto"/>
    </w:pPr>
    <w:rPr>
      <w:rFonts w:ascii="Arial" w:hAnsi="Arial" w:cs="Arial"/>
      <w:color w:val="000000"/>
      <w:kern w:val="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divs>
    <w:div w:id="163278725">
      <w:bodyDiv w:val="1"/>
      <w:marLeft w:val="0"/>
      <w:marRight w:val="0"/>
      <w:marTop w:val="0"/>
      <w:marBottom w:val="0"/>
      <w:divBdr>
        <w:top w:val="none" w:sz="0" w:space="0" w:color="auto"/>
        <w:left w:val="none" w:sz="0" w:space="0" w:color="auto"/>
        <w:bottom w:val="none" w:sz="0" w:space="0" w:color="auto"/>
        <w:right w:val="none" w:sz="0" w:space="0" w:color="auto"/>
      </w:divBdr>
    </w:div>
    <w:div w:id="271666459">
      <w:bodyDiv w:val="1"/>
      <w:marLeft w:val="0"/>
      <w:marRight w:val="0"/>
      <w:marTop w:val="0"/>
      <w:marBottom w:val="0"/>
      <w:divBdr>
        <w:top w:val="none" w:sz="0" w:space="0" w:color="auto"/>
        <w:left w:val="none" w:sz="0" w:space="0" w:color="auto"/>
        <w:bottom w:val="none" w:sz="0" w:space="0" w:color="auto"/>
        <w:right w:val="none" w:sz="0" w:space="0" w:color="auto"/>
      </w:divBdr>
    </w:div>
    <w:div w:id="424964627">
      <w:bodyDiv w:val="1"/>
      <w:marLeft w:val="0"/>
      <w:marRight w:val="0"/>
      <w:marTop w:val="0"/>
      <w:marBottom w:val="0"/>
      <w:divBdr>
        <w:top w:val="none" w:sz="0" w:space="0" w:color="auto"/>
        <w:left w:val="none" w:sz="0" w:space="0" w:color="auto"/>
        <w:bottom w:val="none" w:sz="0" w:space="0" w:color="auto"/>
        <w:right w:val="none" w:sz="0" w:space="0" w:color="auto"/>
      </w:divBdr>
    </w:div>
    <w:div w:id="495413290">
      <w:bodyDiv w:val="1"/>
      <w:marLeft w:val="0"/>
      <w:marRight w:val="0"/>
      <w:marTop w:val="0"/>
      <w:marBottom w:val="0"/>
      <w:divBdr>
        <w:top w:val="none" w:sz="0" w:space="0" w:color="auto"/>
        <w:left w:val="none" w:sz="0" w:space="0" w:color="auto"/>
        <w:bottom w:val="none" w:sz="0" w:space="0" w:color="auto"/>
        <w:right w:val="none" w:sz="0" w:space="0" w:color="auto"/>
      </w:divBdr>
    </w:div>
    <w:div w:id="520123143">
      <w:bodyDiv w:val="1"/>
      <w:marLeft w:val="0"/>
      <w:marRight w:val="0"/>
      <w:marTop w:val="0"/>
      <w:marBottom w:val="0"/>
      <w:divBdr>
        <w:top w:val="none" w:sz="0" w:space="0" w:color="auto"/>
        <w:left w:val="none" w:sz="0" w:space="0" w:color="auto"/>
        <w:bottom w:val="none" w:sz="0" w:space="0" w:color="auto"/>
        <w:right w:val="none" w:sz="0" w:space="0" w:color="auto"/>
      </w:divBdr>
    </w:div>
    <w:div w:id="833305821">
      <w:bodyDiv w:val="1"/>
      <w:marLeft w:val="0"/>
      <w:marRight w:val="0"/>
      <w:marTop w:val="0"/>
      <w:marBottom w:val="0"/>
      <w:divBdr>
        <w:top w:val="none" w:sz="0" w:space="0" w:color="auto"/>
        <w:left w:val="none" w:sz="0" w:space="0" w:color="auto"/>
        <w:bottom w:val="none" w:sz="0" w:space="0" w:color="auto"/>
        <w:right w:val="none" w:sz="0" w:space="0" w:color="auto"/>
      </w:divBdr>
    </w:div>
    <w:div w:id="922252880">
      <w:bodyDiv w:val="1"/>
      <w:marLeft w:val="0"/>
      <w:marRight w:val="0"/>
      <w:marTop w:val="0"/>
      <w:marBottom w:val="0"/>
      <w:divBdr>
        <w:top w:val="none" w:sz="0" w:space="0" w:color="auto"/>
        <w:left w:val="none" w:sz="0" w:space="0" w:color="auto"/>
        <w:bottom w:val="none" w:sz="0" w:space="0" w:color="auto"/>
        <w:right w:val="none" w:sz="0" w:space="0" w:color="auto"/>
      </w:divBdr>
    </w:div>
    <w:div w:id="1229728073">
      <w:bodyDiv w:val="1"/>
      <w:marLeft w:val="0"/>
      <w:marRight w:val="0"/>
      <w:marTop w:val="0"/>
      <w:marBottom w:val="0"/>
      <w:divBdr>
        <w:top w:val="none" w:sz="0" w:space="0" w:color="auto"/>
        <w:left w:val="none" w:sz="0" w:space="0" w:color="auto"/>
        <w:bottom w:val="none" w:sz="0" w:space="0" w:color="auto"/>
        <w:right w:val="none" w:sz="0" w:space="0" w:color="auto"/>
      </w:divBdr>
    </w:div>
    <w:div w:id="1406107594">
      <w:bodyDiv w:val="1"/>
      <w:marLeft w:val="0"/>
      <w:marRight w:val="0"/>
      <w:marTop w:val="0"/>
      <w:marBottom w:val="0"/>
      <w:divBdr>
        <w:top w:val="none" w:sz="0" w:space="0" w:color="auto"/>
        <w:left w:val="none" w:sz="0" w:space="0" w:color="auto"/>
        <w:bottom w:val="none" w:sz="0" w:space="0" w:color="auto"/>
        <w:right w:val="none" w:sz="0" w:space="0" w:color="auto"/>
      </w:divBdr>
    </w:div>
    <w:div w:id="1423061815">
      <w:bodyDiv w:val="1"/>
      <w:marLeft w:val="0"/>
      <w:marRight w:val="0"/>
      <w:marTop w:val="0"/>
      <w:marBottom w:val="0"/>
      <w:divBdr>
        <w:top w:val="none" w:sz="0" w:space="0" w:color="auto"/>
        <w:left w:val="none" w:sz="0" w:space="0" w:color="auto"/>
        <w:bottom w:val="none" w:sz="0" w:space="0" w:color="auto"/>
        <w:right w:val="none" w:sz="0" w:space="0" w:color="auto"/>
      </w:divBdr>
    </w:div>
    <w:div w:id="1424565266">
      <w:bodyDiv w:val="1"/>
      <w:marLeft w:val="0"/>
      <w:marRight w:val="0"/>
      <w:marTop w:val="0"/>
      <w:marBottom w:val="0"/>
      <w:divBdr>
        <w:top w:val="none" w:sz="0" w:space="0" w:color="auto"/>
        <w:left w:val="none" w:sz="0" w:space="0" w:color="auto"/>
        <w:bottom w:val="none" w:sz="0" w:space="0" w:color="auto"/>
        <w:right w:val="none" w:sz="0" w:space="0" w:color="auto"/>
      </w:divBdr>
    </w:div>
    <w:div w:id="1546992059">
      <w:bodyDiv w:val="1"/>
      <w:marLeft w:val="0"/>
      <w:marRight w:val="0"/>
      <w:marTop w:val="0"/>
      <w:marBottom w:val="0"/>
      <w:divBdr>
        <w:top w:val="none" w:sz="0" w:space="0" w:color="auto"/>
        <w:left w:val="none" w:sz="0" w:space="0" w:color="auto"/>
        <w:bottom w:val="none" w:sz="0" w:space="0" w:color="auto"/>
        <w:right w:val="none" w:sz="0" w:space="0" w:color="auto"/>
      </w:divBdr>
    </w:div>
    <w:div w:id="1610117624">
      <w:bodyDiv w:val="1"/>
      <w:marLeft w:val="0"/>
      <w:marRight w:val="0"/>
      <w:marTop w:val="0"/>
      <w:marBottom w:val="0"/>
      <w:divBdr>
        <w:top w:val="none" w:sz="0" w:space="0" w:color="auto"/>
        <w:left w:val="none" w:sz="0" w:space="0" w:color="auto"/>
        <w:bottom w:val="none" w:sz="0" w:space="0" w:color="auto"/>
        <w:right w:val="none" w:sz="0" w:space="0" w:color="auto"/>
      </w:divBdr>
    </w:div>
    <w:div w:id="1894805418">
      <w:bodyDiv w:val="1"/>
      <w:marLeft w:val="0"/>
      <w:marRight w:val="0"/>
      <w:marTop w:val="0"/>
      <w:marBottom w:val="0"/>
      <w:divBdr>
        <w:top w:val="none" w:sz="0" w:space="0" w:color="auto"/>
        <w:left w:val="none" w:sz="0" w:space="0" w:color="auto"/>
        <w:bottom w:val="none" w:sz="0" w:space="0" w:color="auto"/>
        <w:right w:val="none" w:sz="0" w:space="0" w:color="auto"/>
      </w:divBdr>
    </w:div>
    <w:div w:id="1950118931">
      <w:bodyDiv w:val="1"/>
      <w:marLeft w:val="0"/>
      <w:marRight w:val="0"/>
      <w:marTop w:val="0"/>
      <w:marBottom w:val="0"/>
      <w:divBdr>
        <w:top w:val="none" w:sz="0" w:space="0" w:color="auto"/>
        <w:left w:val="none" w:sz="0" w:space="0" w:color="auto"/>
        <w:bottom w:val="none" w:sz="0" w:space="0" w:color="auto"/>
        <w:right w:val="none" w:sz="0" w:space="0" w:color="auto"/>
      </w:divBdr>
    </w:div>
    <w:div w:id="204158721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fontTable" Target="fontTable.xml"/><Relationship Id="rId3" Type="http://schemas.openxmlformats.org/officeDocument/2006/relationships/settings" Target="settings.xml"/><Relationship Id="rId21" Type="http://schemas.openxmlformats.org/officeDocument/2006/relationships/image" Target="media/image15.png"/><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footer" Target="footer1.xml"/><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image" Target="media/image14.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header" Target="header1.xml"/><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image" Target="media/image17.png"/><Relationship Id="rId10" Type="http://schemas.openxmlformats.org/officeDocument/2006/relationships/image" Target="media/image4.emf"/><Relationship Id="rId19" Type="http://schemas.openxmlformats.org/officeDocument/2006/relationships/image" Target="media/image13.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6.png"/><Relationship Id="rId27"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18.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5735</TotalTime>
  <Pages>1</Pages>
  <Words>4288</Words>
  <Characters>23590</Characters>
  <Application>Microsoft Office Word</Application>
  <DocSecurity>0</DocSecurity>
  <Lines>196</Lines>
  <Paragraphs>55</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27823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William Camilo  Baracaldo Godoy</dc:creator>
  <cp:keywords/>
  <dc:description/>
  <cp:lastModifiedBy>Paola Andrea Ramirez Sanchez</cp:lastModifiedBy>
  <cp:revision>79</cp:revision>
  <cp:lastPrinted>2023-05-07T17:22:00Z</cp:lastPrinted>
  <dcterms:created xsi:type="dcterms:W3CDTF">2025-07-24T00:27:00Z</dcterms:created>
  <dcterms:modified xsi:type="dcterms:W3CDTF">2026-06-26T21:24:00Z</dcterms:modified>
</cp:coreProperties>
</file>