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FD0348" w:rsidRDefault="00FD0348">
      <w:pPr>
        <w:spacing w:after="0"/>
        <w:ind w:right="-232"/>
        <w:jc w:val="center"/>
        <w:rPr>
          <w:rFonts w:ascii="Verdana" w:eastAsia="Verdana" w:hAnsi="Verdana" w:cs="Verdana"/>
          <w:b/>
        </w:rPr>
      </w:pPr>
    </w:p>
    <w:p w14:paraId="00000002" w14:textId="77777777" w:rsidR="00FD0348" w:rsidRDefault="00000000">
      <w:pPr>
        <w:spacing w:after="0"/>
        <w:ind w:right="-232"/>
        <w:jc w:val="center"/>
        <w:rPr>
          <w:rFonts w:ascii="Verdana" w:eastAsia="Verdana" w:hAnsi="Verdana" w:cs="Verdana"/>
          <w:b/>
        </w:rPr>
      </w:pPr>
      <w:r>
        <w:rPr>
          <w:rFonts w:ascii="Verdana" w:eastAsia="Verdana" w:hAnsi="Verdana" w:cs="Verdana"/>
          <w:b/>
        </w:rPr>
        <w:t>RESOLUCIÓN NÚMERO____________________DE________________</w:t>
      </w:r>
    </w:p>
    <w:p w14:paraId="00000003" w14:textId="77777777" w:rsidR="00FD0348" w:rsidRDefault="00FD0348">
      <w:pPr>
        <w:ind w:right="-232"/>
        <w:rPr>
          <w:rFonts w:ascii="Verdana" w:eastAsia="Verdana" w:hAnsi="Verdana" w:cs="Verdana"/>
        </w:rPr>
      </w:pPr>
    </w:p>
    <w:p w14:paraId="00000004" w14:textId="77777777" w:rsidR="00FD0348" w:rsidRDefault="00000000">
      <w:pPr>
        <w:spacing w:line="240" w:lineRule="auto"/>
        <w:ind w:right="-232"/>
        <w:jc w:val="center"/>
        <w:rPr>
          <w:rFonts w:ascii="Verdana" w:eastAsia="Verdana" w:hAnsi="Verdana" w:cs="Verdana"/>
        </w:rPr>
      </w:pPr>
      <w:r>
        <w:rPr>
          <w:rFonts w:ascii="Verdana" w:eastAsia="Verdana" w:hAnsi="Verdana" w:cs="Verdana"/>
        </w:rPr>
        <w:t>Por la cual se modifica la Resolución 0552 del 25 de mayo de 2022 “</w:t>
      </w:r>
      <w:r>
        <w:rPr>
          <w:rFonts w:ascii="Verdana" w:eastAsia="Verdana" w:hAnsi="Verdana" w:cs="Verdana"/>
          <w:i/>
        </w:rPr>
        <w:t>Por la cual se implementa la operación de la Comisión de Estudio para la Promoción y Desarrollo de los Mercados de Carbono en Colombia</w:t>
      </w:r>
      <w:r>
        <w:rPr>
          <w:rFonts w:ascii="Verdana" w:eastAsia="Verdana" w:hAnsi="Verdana" w:cs="Verdana"/>
        </w:rPr>
        <w:t>”</w:t>
      </w:r>
    </w:p>
    <w:p w14:paraId="00000006" w14:textId="77777777" w:rsidR="00FD0348" w:rsidRDefault="00000000">
      <w:pPr>
        <w:spacing w:line="240" w:lineRule="auto"/>
        <w:ind w:right="-232"/>
        <w:jc w:val="center"/>
        <w:rPr>
          <w:rFonts w:ascii="Verdana" w:eastAsia="Verdana" w:hAnsi="Verdana" w:cs="Verdana"/>
        </w:rPr>
      </w:pPr>
      <w:r>
        <w:rPr>
          <w:rFonts w:ascii="Verdana" w:eastAsia="Verdana" w:hAnsi="Verdana" w:cs="Verdana"/>
          <w:b/>
        </w:rPr>
        <w:t>El Ministerio de Ambiente y Desarrollo Sostenible</w:t>
      </w:r>
    </w:p>
    <w:p w14:paraId="00000007" w14:textId="2BC64933" w:rsidR="00FD0348" w:rsidRDefault="00000000">
      <w:pPr>
        <w:ind w:left="-284" w:right="-232"/>
        <w:jc w:val="center"/>
        <w:rPr>
          <w:rFonts w:ascii="Verdana" w:eastAsia="Verdana" w:hAnsi="Verdana" w:cs="Verdana"/>
        </w:rPr>
      </w:pPr>
      <w:r>
        <w:rPr>
          <w:rFonts w:ascii="Verdana" w:eastAsia="Verdana" w:hAnsi="Verdana" w:cs="Verdana"/>
        </w:rPr>
        <w:t xml:space="preserve">En ejercicio de sus facultades constitucionales y legales, y en especial las conferidas en el </w:t>
      </w:r>
      <w:r w:rsidR="00A07F16">
        <w:rPr>
          <w:rFonts w:ascii="Verdana" w:eastAsia="Verdana" w:hAnsi="Verdana" w:cs="Verdana"/>
        </w:rPr>
        <w:t>artículo</w:t>
      </w:r>
      <w:r>
        <w:rPr>
          <w:rFonts w:ascii="Verdana" w:eastAsia="Verdana" w:hAnsi="Verdana" w:cs="Verdana"/>
        </w:rPr>
        <w:t xml:space="preserve"> 20 de la Ley 2169 de 2021, y</w:t>
      </w:r>
    </w:p>
    <w:p w14:paraId="00000008" w14:textId="77777777" w:rsidR="00FD0348" w:rsidRDefault="00000000">
      <w:pPr>
        <w:spacing w:line="240" w:lineRule="auto"/>
        <w:ind w:right="-232"/>
        <w:jc w:val="center"/>
        <w:rPr>
          <w:rFonts w:ascii="Verdana" w:eastAsia="Verdana" w:hAnsi="Verdana" w:cs="Verdana"/>
          <w:b/>
        </w:rPr>
      </w:pPr>
      <w:r>
        <w:rPr>
          <w:rFonts w:ascii="Verdana" w:eastAsia="Verdana" w:hAnsi="Verdana" w:cs="Verdana"/>
          <w:b/>
        </w:rPr>
        <w:t>CONSIDERANDO:</w:t>
      </w:r>
    </w:p>
    <w:p w14:paraId="00000009" w14:textId="77777777" w:rsidR="00FD0348" w:rsidRDefault="00000000" w:rsidP="0BC359BC">
      <w:pPr>
        <w:ind w:left="-284" w:right="-232"/>
        <w:jc w:val="both"/>
        <w:rPr>
          <w:rFonts w:ascii="Verdana" w:eastAsia="Verdana" w:hAnsi="Verdana" w:cs="Verdana"/>
          <w:lang w:val="es-ES"/>
        </w:rPr>
      </w:pPr>
      <w:r w:rsidRPr="0BC359BC">
        <w:rPr>
          <w:rFonts w:ascii="Verdana" w:eastAsia="Verdana" w:hAnsi="Verdana" w:cs="Verdana"/>
          <w:lang w:val="es-ES"/>
        </w:rPr>
        <w:t>Que mediante la Ley 164 de 1994 se ratificó la Convención Marco de las Naciones Unidas sobre el Cambio Climático -CMNUCC, adoptada en Nueva York el 9 de mayo de 1992, comprometiéndose los países a formular, aplicar, publicar y actualizar regularmente programas nacionales y, según proceda, regionales, que contengan medidas orientadas a mitigar el cambio climático, y medidas para facilitar la adaptación adecuada al cambio climático.</w:t>
      </w:r>
    </w:p>
    <w:p w14:paraId="0000000A" w14:textId="77777777" w:rsidR="00FD0348" w:rsidRDefault="00000000">
      <w:pPr>
        <w:ind w:left="-284" w:right="-232"/>
        <w:jc w:val="both"/>
        <w:rPr>
          <w:rFonts w:ascii="Verdana" w:eastAsia="Verdana" w:hAnsi="Verdana" w:cs="Verdana"/>
        </w:rPr>
      </w:pPr>
      <w:r>
        <w:rPr>
          <w:rFonts w:ascii="Verdana" w:eastAsia="Verdana" w:hAnsi="Verdana" w:cs="Verdana"/>
        </w:rPr>
        <w:t>Que mediante la Ley 1844 de 2017 se aprobó el Acuerdo de París suscrito por Colombia, que busca reforzar la respuesta mundial a la amenaza del cambio climático, comprometiéndose los Estados Parte a fortalecer la gestión para mitigar la emisión de gases de efecto invernadero y la adaptación y resiliencia ante los efectos adversos del cambio climático.</w:t>
      </w:r>
    </w:p>
    <w:p w14:paraId="0000000B" w14:textId="77777777" w:rsidR="00FD0348" w:rsidRDefault="00000000">
      <w:pPr>
        <w:ind w:left="-284" w:right="-232"/>
        <w:jc w:val="both"/>
        <w:rPr>
          <w:rFonts w:ascii="Verdana" w:eastAsia="Verdana" w:hAnsi="Verdana" w:cs="Verdana"/>
        </w:rPr>
      </w:pPr>
      <w:r>
        <w:rPr>
          <w:rFonts w:ascii="Verdana" w:eastAsia="Verdana" w:hAnsi="Verdana" w:cs="Verdana"/>
        </w:rPr>
        <w:t>Que la Política Nacional de Cambio Climático adoptada en 2017 establece que, para fortalecer la gestión del cambio climático, deberán desarrollarse y utilizarse instrumentos económicos y financieros como medio para avanzar hacia un desarrollo bajo en carbono y resiliente al clima.</w:t>
      </w:r>
    </w:p>
    <w:p w14:paraId="0000000C" w14:textId="77777777" w:rsidR="00FD0348" w:rsidRDefault="00000000" w:rsidP="0BC359BC">
      <w:pPr>
        <w:ind w:left="-284" w:right="-232"/>
        <w:jc w:val="both"/>
        <w:rPr>
          <w:rFonts w:ascii="Verdana" w:eastAsia="Verdana" w:hAnsi="Verdana" w:cs="Verdana"/>
          <w:lang w:val="es-ES"/>
        </w:rPr>
      </w:pPr>
      <w:r w:rsidRPr="0BC359BC">
        <w:rPr>
          <w:rFonts w:ascii="Verdana" w:eastAsia="Verdana" w:hAnsi="Verdana" w:cs="Verdana"/>
          <w:lang w:val="es-ES"/>
        </w:rPr>
        <w:t>Que el 22 de diciembre de 2021 se sancionó la Ley 2169, en la cual se establecieron las metas y medidas mínimas intersectoriales a corto, mediano y largo plazo requeridas para alcanzar la carbono neutralidad, la resiliencia climática y el desarrollo bajo en carbono, y en su artículo 20 se creó una Comisión de Estudio que tendrá por objeto analizar el estado y potencialidad de los mercados de carbono en Colombia, y generar recomendaciones al Gobierno Nacional en materia de regulación de tales mercados y de la reorganización de la estructura organizacional del Estado colombiano requerida para impulsar su desarrollo.</w:t>
      </w:r>
    </w:p>
    <w:p w14:paraId="46FE80E9" w14:textId="77777777" w:rsidR="000E1CF2" w:rsidRDefault="00000000">
      <w:pPr>
        <w:ind w:left="-284" w:right="-232"/>
        <w:jc w:val="both"/>
        <w:rPr>
          <w:rFonts w:ascii="Verdana" w:eastAsia="Verdana" w:hAnsi="Verdana" w:cs="Verdana"/>
        </w:rPr>
      </w:pPr>
      <w:r>
        <w:rPr>
          <w:rFonts w:ascii="Verdana" w:eastAsia="Verdana" w:hAnsi="Verdana" w:cs="Verdana"/>
        </w:rPr>
        <w:t xml:space="preserve">Que así mismo, la Ley 2169 de 2021 señaló de manera expresa que la Comisión se integraría por el Viceministro Técnico del Ministerio de Hacienda y Crédito Público o su delegado; el Viceministro de Ordenamiento Ambiental del Territorio del Ministerio de Ambiente y Desarrollo Sostenible, o su delegado; el Subdirector General Sectorial del Departamento Nacional de Planeación, o su delegado; seis (6) expertos nacionales e internacionales; un Senador de la comisión quinta del Senado de la República y un representante de la comisión quinta de la Cámara de Representantes.  </w:t>
      </w:r>
    </w:p>
    <w:p w14:paraId="0000000E" w14:textId="4A0899BB" w:rsidR="00FD0348" w:rsidRDefault="00000000">
      <w:pPr>
        <w:ind w:left="-284" w:right="-232"/>
        <w:jc w:val="both"/>
        <w:rPr>
          <w:rFonts w:ascii="Verdana" w:eastAsia="Verdana" w:hAnsi="Verdana" w:cs="Verdana"/>
        </w:rPr>
      </w:pPr>
      <w:r>
        <w:rPr>
          <w:rFonts w:ascii="Verdana" w:eastAsia="Verdana" w:hAnsi="Verdana" w:cs="Verdana"/>
        </w:rPr>
        <w:t xml:space="preserve">Que para el caso del Departamento Nacional de Planeación, el Decreto 1893 del 30 de diciembre de 2021 "Por el cual se modifica la estructura del Departamento Nacional de Planeación" suprimió el cargo de Subdirector General Sectorial; siendo las funciones asociadas asumidas por el Subdirector General de Prospectiva y Desarrollo Nacional, motivo por el cual la participación del Departamento Nacional de Planeación ante la "Comisión de Estudio para la promoción y desarrollo de los mercados de </w:t>
      </w:r>
      <w:r>
        <w:rPr>
          <w:rFonts w:ascii="Verdana" w:eastAsia="Verdana" w:hAnsi="Verdana" w:cs="Verdana"/>
        </w:rPr>
        <w:lastRenderedPageBreak/>
        <w:t>carbono en Colombia" fue ejercida por la persona designada para el cargo de Subdirector General de Prospectiva y Desarrollo Nacional.</w:t>
      </w:r>
    </w:p>
    <w:p w14:paraId="0000000F" w14:textId="77777777" w:rsidR="00FD0348" w:rsidRDefault="00000000" w:rsidP="0BC359BC">
      <w:pPr>
        <w:ind w:left="-284" w:right="-232"/>
        <w:jc w:val="both"/>
        <w:rPr>
          <w:rFonts w:ascii="Verdana" w:eastAsia="Verdana" w:hAnsi="Verdana" w:cs="Verdana"/>
          <w:lang w:val="es-ES"/>
        </w:rPr>
      </w:pPr>
      <w:r w:rsidRPr="0BC359BC">
        <w:rPr>
          <w:rFonts w:ascii="Verdana" w:eastAsia="Verdana" w:hAnsi="Verdana" w:cs="Verdana"/>
          <w:lang w:val="es-ES"/>
        </w:rPr>
        <w:t>Que a su vez, el artículo 20 de la Ley 2169 de 2021, ordenó al Ministerio de Ambiente y Desarrollo Sostenible reglamentar el funcionamiento de la Comisión de Estudio para la promoción y desarrollo de los mercados de carbono en Colombia.</w:t>
      </w:r>
    </w:p>
    <w:p w14:paraId="00000010" w14:textId="77777777" w:rsidR="00FD0348" w:rsidRDefault="00000000">
      <w:pPr>
        <w:ind w:left="-284" w:right="-232"/>
        <w:jc w:val="both"/>
        <w:rPr>
          <w:rFonts w:ascii="Verdana" w:eastAsia="Verdana" w:hAnsi="Verdana" w:cs="Verdana"/>
        </w:rPr>
      </w:pPr>
      <w:r>
        <w:rPr>
          <w:rFonts w:ascii="Verdana" w:eastAsia="Verdana" w:hAnsi="Verdana" w:cs="Verdana"/>
        </w:rPr>
        <w:t>Que dentro de los principios que de conformidad con el artículo 3° de la Ley 1437 de 2011 deben orientar la actuación administrativa se establece que: "En virtud del principio de coordinación, las autoridades concertarán sus actividades con las de otras instancias estatales en el cumplimiento de sus cometidos y en el reconocimiento de sus derechos a los particulares".</w:t>
      </w:r>
    </w:p>
    <w:p w14:paraId="00000011" w14:textId="77777777" w:rsidR="00FD0348" w:rsidRDefault="00000000" w:rsidP="0BC359BC">
      <w:pPr>
        <w:ind w:left="-284" w:right="-232"/>
        <w:jc w:val="both"/>
        <w:rPr>
          <w:rFonts w:ascii="Verdana" w:eastAsia="Verdana" w:hAnsi="Verdana" w:cs="Verdana"/>
          <w:lang w:val="es-ES"/>
        </w:rPr>
      </w:pPr>
      <w:r w:rsidRPr="0BC359BC">
        <w:rPr>
          <w:rFonts w:ascii="Verdana" w:eastAsia="Verdana" w:hAnsi="Verdana" w:cs="Verdana"/>
          <w:lang w:val="es-ES"/>
        </w:rPr>
        <w:t>Que en el mismo sentido, el artículo 6° de la Ley 489 de 1998 dispone que: "En virtud del principio de coordinación y colaboración, las autoridades administrativas deben garantizar la armonía en el ejercicio de sus respectivas funciones con el fin de lograr los fines y cometidos estatales"</w:t>
      </w:r>
    </w:p>
    <w:p w14:paraId="00000012" w14:textId="533E68B3" w:rsidR="00FD0348" w:rsidRDefault="00000000">
      <w:pPr>
        <w:ind w:left="-284" w:right="-232"/>
        <w:jc w:val="both"/>
        <w:rPr>
          <w:rFonts w:ascii="Verdana" w:eastAsia="Verdana" w:hAnsi="Verdana" w:cs="Verdana"/>
        </w:rPr>
      </w:pPr>
      <w:r>
        <w:rPr>
          <w:rFonts w:ascii="Verdana" w:eastAsia="Verdana" w:hAnsi="Verdana" w:cs="Verdana"/>
        </w:rPr>
        <w:t>Que mediante Ley 2273 de 2022 “Por medio de la cual se aprueba el “Acuerdo regional sobre el acceso a la información, la participación pública y el acceso a la justicia en asuntos ambientales en América Latina y el Caribe”, adoptado en Escazú, Costa Rica, el 4 de marzo de 2018”, refuerza el compromiso del país con la protección de los derechos ambientales, la incidencia en las decisiones ambientales, la participación pública y la defensa de quienes protegen la naturaleza.</w:t>
      </w:r>
    </w:p>
    <w:p w14:paraId="00000013" w14:textId="77777777" w:rsidR="00FD0348" w:rsidRDefault="00000000" w:rsidP="0BC359BC">
      <w:pPr>
        <w:ind w:left="-284" w:right="-232"/>
        <w:jc w:val="both"/>
        <w:rPr>
          <w:rFonts w:ascii="Verdana" w:eastAsia="Verdana" w:hAnsi="Verdana" w:cs="Verdana"/>
          <w:lang w:val="es-ES"/>
        </w:rPr>
      </w:pPr>
      <w:r w:rsidRPr="0BC359BC">
        <w:rPr>
          <w:rFonts w:ascii="Verdana" w:eastAsia="Verdana" w:hAnsi="Verdana" w:cs="Verdana"/>
          <w:lang w:val="es-ES"/>
        </w:rPr>
        <w:t xml:space="preserve">Que mediante Resolución 0552 del 25 de mayo de 2022, esta cartera ministerial implementó la operación de la Comisión de Estudio para promoción y desarrollo de los mercados de carbono en Colombia, estableciendo entre otras, que esta comisión definiría su propio reglamento para su funcionamiento y dispuso que en un término máximo de seis (6) meses a partir de la conformación de la comisión se recibiría el informe final, clausurando el trabajo dicha comisión. </w:t>
      </w:r>
    </w:p>
    <w:p w14:paraId="00000014" w14:textId="77777777" w:rsidR="00FD0348" w:rsidRDefault="00000000">
      <w:pPr>
        <w:ind w:left="-284" w:right="-232"/>
        <w:jc w:val="both"/>
        <w:rPr>
          <w:rFonts w:ascii="Verdana" w:eastAsia="Verdana" w:hAnsi="Verdana" w:cs="Verdana"/>
        </w:rPr>
      </w:pPr>
      <w:r>
        <w:rPr>
          <w:rFonts w:ascii="Verdana" w:eastAsia="Verdana" w:hAnsi="Verdana" w:cs="Verdana"/>
        </w:rPr>
        <w:t>Que la Comisión de Estudio para Promoción y Desarrollo de los Mercados de Carbono en Colombia, presentó el informe final en julio de 2023, en cumplimiento de lo dispuesto en el artículo 7 de la Resolución 0552 del 25 de mayo de 2022.</w:t>
      </w:r>
    </w:p>
    <w:p w14:paraId="00000015" w14:textId="77777777" w:rsidR="00FD0348" w:rsidRDefault="00000000" w:rsidP="0BC359BC">
      <w:pPr>
        <w:ind w:left="-284" w:right="-232"/>
        <w:jc w:val="both"/>
        <w:rPr>
          <w:rFonts w:ascii="Verdana" w:eastAsia="Verdana" w:hAnsi="Verdana" w:cs="Verdana"/>
          <w:sz w:val="20"/>
          <w:szCs w:val="20"/>
          <w:lang w:val="es-ES"/>
        </w:rPr>
      </w:pPr>
      <w:r w:rsidRPr="0BC359BC">
        <w:rPr>
          <w:rFonts w:ascii="Verdana" w:eastAsia="Verdana" w:hAnsi="Verdana" w:cs="Verdana"/>
          <w:lang w:val="es-ES"/>
        </w:rPr>
        <w:t>Que el 25 de junio de 2024 mediante Sentencia T 248 de 2024 la Corte Constitucional, falló en favor del Consejo Indígena del Pirá Paraná y de la Asociación de Autoridades Tradicionales Indígenas del Río Pirá Paraná- ACAIPI, acción de tutela interpuesta en contra del Ministerio de Ambiente y Desarrollo Sostenible y otros; providencia que ordenó realizar en el marco de la Comisión de Estudio para la Promoción y Desarrollo de los Mercados de Carbono en Colombia (creada mediante el artículo 20 de la Ley 2169 de 2021), un informe técnico sobre las necesidades y circunstancias específicas para implementar proyectos REDD+ en territorios indígenas. De acuerdo con la Corte, este informe deberá permitir la participación, como mínimo, de la sociedad civil, la academia, representantes de pueblos indígenas y otras entidades involucradas en los proyectos REDD.</w:t>
      </w:r>
      <w:r w:rsidRPr="0BC359BC">
        <w:rPr>
          <w:rFonts w:ascii="Verdana" w:eastAsia="Verdana" w:hAnsi="Verdana" w:cs="Verdana"/>
          <w:sz w:val="20"/>
          <w:szCs w:val="20"/>
          <w:lang w:val="es-ES"/>
        </w:rPr>
        <w:t xml:space="preserve"> </w:t>
      </w:r>
    </w:p>
    <w:p w14:paraId="00000016" w14:textId="48C0B01C" w:rsidR="00FD0348" w:rsidRDefault="00000000">
      <w:pPr>
        <w:ind w:left="-284" w:right="-232"/>
        <w:jc w:val="both"/>
        <w:rPr>
          <w:rFonts w:ascii="Verdana" w:eastAsia="Verdana" w:hAnsi="Verdana" w:cs="Verdana"/>
        </w:rPr>
      </w:pPr>
      <w:r>
        <w:rPr>
          <w:rFonts w:ascii="Verdana" w:eastAsia="Verdana" w:hAnsi="Verdana" w:cs="Verdana"/>
        </w:rPr>
        <w:t>Que el numeral 1 del articulo 38 de la Ley 1952 del 2019, establece como uno de los deberes de todo servidor público “</w:t>
      </w:r>
      <w:r>
        <w:rPr>
          <w:rFonts w:ascii="Verdana" w:eastAsia="Verdana" w:hAnsi="Verdana" w:cs="Verdana"/>
          <w:i/>
        </w:rPr>
        <w:t xml:space="preserve">Cumplir y hacer que se cumplan los deberes contenidos en la Constitución, los tratados de derechos humanos y derecho </w:t>
      </w:r>
      <w:r>
        <w:rPr>
          <w:rFonts w:ascii="Verdana" w:eastAsia="Verdana" w:hAnsi="Verdana" w:cs="Verdana"/>
          <w:i/>
        </w:rPr>
        <w:lastRenderedPageBreak/>
        <w:t>internacional humanitario, los demás ratificados por el Congreso, las leyes, los decretos, las ordenanzas, los acuerdos distritales y municipales, los estatutos, de la entidad, los reglamentos y los manuales de funciones, las decisiones judiciales y disciplinarias, las convenciones colectivas, los contratos de trabajo y las órdenes superiores emitidas por funcionario competente</w:t>
      </w:r>
      <w:r>
        <w:rPr>
          <w:rFonts w:ascii="Verdana" w:eastAsia="Verdana" w:hAnsi="Verdana" w:cs="Verdana"/>
        </w:rPr>
        <w:t>”.</w:t>
      </w:r>
    </w:p>
    <w:p w14:paraId="00000017" w14:textId="77777777" w:rsidR="00FD0348" w:rsidRDefault="00000000">
      <w:pPr>
        <w:ind w:left="-284" w:right="-232"/>
        <w:rPr>
          <w:rFonts w:ascii="Verdana" w:eastAsia="Verdana" w:hAnsi="Verdana" w:cs="Verdana"/>
        </w:rPr>
      </w:pPr>
      <w:r>
        <w:rPr>
          <w:rFonts w:ascii="Verdana" w:eastAsia="Verdana" w:hAnsi="Verdana" w:cs="Verdana"/>
        </w:rPr>
        <w:t>En mérito de lo expuesto,</w:t>
      </w:r>
    </w:p>
    <w:p w14:paraId="00000018" w14:textId="77777777" w:rsidR="00FD0348" w:rsidRDefault="00000000">
      <w:pPr>
        <w:spacing w:line="240" w:lineRule="auto"/>
        <w:ind w:right="-232"/>
        <w:jc w:val="center"/>
        <w:rPr>
          <w:rFonts w:ascii="Verdana" w:eastAsia="Verdana" w:hAnsi="Verdana" w:cs="Verdana"/>
          <w:b/>
        </w:rPr>
      </w:pPr>
      <w:r>
        <w:rPr>
          <w:rFonts w:ascii="Verdana" w:eastAsia="Verdana" w:hAnsi="Verdana" w:cs="Verdana"/>
          <w:b/>
        </w:rPr>
        <w:t>RESUELVE:</w:t>
      </w:r>
    </w:p>
    <w:p w14:paraId="0000001B" w14:textId="1FA9D274" w:rsidR="00FD0348" w:rsidRPr="00213EDD" w:rsidRDefault="00000000">
      <w:pPr>
        <w:ind w:left="-284" w:right="-232"/>
        <w:jc w:val="both"/>
        <w:rPr>
          <w:rFonts w:ascii="Verdana" w:eastAsia="Verdana" w:hAnsi="Verdana" w:cs="Verdana"/>
        </w:rPr>
      </w:pPr>
      <w:r w:rsidRPr="00213EDD">
        <w:rPr>
          <w:rFonts w:ascii="Verdana" w:eastAsia="Verdana" w:hAnsi="Verdana" w:cs="Verdana"/>
          <w:b/>
        </w:rPr>
        <w:t xml:space="preserve">Artículo </w:t>
      </w:r>
      <w:r w:rsidR="00747397">
        <w:rPr>
          <w:rFonts w:ascii="Verdana" w:eastAsia="Verdana" w:hAnsi="Verdana" w:cs="Verdana"/>
          <w:b/>
        </w:rPr>
        <w:t>1</w:t>
      </w:r>
      <w:r w:rsidRPr="00213EDD">
        <w:rPr>
          <w:rFonts w:ascii="Verdana" w:eastAsia="Verdana" w:hAnsi="Verdana" w:cs="Verdana"/>
          <w:b/>
        </w:rPr>
        <w:t>.</w:t>
      </w:r>
      <w:r w:rsidRPr="00213EDD">
        <w:rPr>
          <w:rFonts w:ascii="Verdana" w:eastAsia="Verdana" w:hAnsi="Verdana" w:cs="Verdana"/>
        </w:rPr>
        <w:t xml:space="preserve"> Modif</w:t>
      </w:r>
      <w:r w:rsidR="00CD1622" w:rsidRPr="00213EDD">
        <w:rPr>
          <w:rFonts w:ascii="Verdana" w:eastAsia="Verdana" w:hAnsi="Verdana" w:cs="Verdana"/>
        </w:rPr>
        <w:t>íquese</w:t>
      </w:r>
      <w:r w:rsidRPr="00213EDD">
        <w:rPr>
          <w:rFonts w:ascii="Verdana" w:eastAsia="Verdana" w:hAnsi="Verdana" w:cs="Verdana"/>
        </w:rPr>
        <w:t xml:space="preserve"> el Parágrafo Transitorio del artículo 2 de la Resolución 0552 del 25 de mayo 2022, el cual quedará así: </w:t>
      </w:r>
    </w:p>
    <w:p w14:paraId="1CCE735D" w14:textId="6F099B06" w:rsidR="00D82B94" w:rsidRPr="00095E73" w:rsidRDefault="00000000" w:rsidP="00965CE3">
      <w:pPr>
        <w:ind w:left="708" w:right="-232"/>
        <w:jc w:val="both"/>
        <w:rPr>
          <w:rFonts w:ascii="Verdana" w:eastAsia="Verdana" w:hAnsi="Verdana" w:cs="Verdana"/>
        </w:rPr>
      </w:pPr>
      <w:r w:rsidRPr="00213EDD">
        <w:rPr>
          <w:rFonts w:ascii="Verdana" w:eastAsia="Verdana" w:hAnsi="Verdana" w:cs="Verdana"/>
        </w:rPr>
        <w:t>“</w:t>
      </w:r>
      <w:r w:rsidRPr="00213EDD">
        <w:rPr>
          <w:rFonts w:ascii="Verdana" w:eastAsia="Verdana" w:hAnsi="Verdana" w:cs="Verdana"/>
          <w:b/>
        </w:rPr>
        <w:t>PARÁGRAFO 5.</w:t>
      </w:r>
      <w:r w:rsidRPr="00213EDD">
        <w:rPr>
          <w:rFonts w:ascii="Verdana" w:eastAsia="Verdana" w:hAnsi="Verdana" w:cs="Verdana"/>
        </w:rPr>
        <w:t xml:space="preserve"> La designación de los expertos nacionales e internacionales que </w:t>
      </w:r>
      <w:r w:rsidR="00CD1622" w:rsidRPr="00213EDD">
        <w:rPr>
          <w:rFonts w:ascii="Verdana" w:eastAsia="Verdana" w:hAnsi="Verdana" w:cs="Verdana"/>
        </w:rPr>
        <w:t>conforman</w:t>
      </w:r>
      <w:r w:rsidRPr="00213EDD">
        <w:rPr>
          <w:rFonts w:ascii="Verdana" w:eastAsia="Verdana" w:hAnsi="Verdana" w:cs="Verdana"/>
        </w:rPr>
        <w:t xml:space="preserve"> la Com</w:t>
      </w:r>
      <w:r w:rsidR="00CD1622" w:rsidRPr="00213EDD">
        <w:rPr>
          <w:rFonts w:ascii="Verdana" w:eastAsia="Verdana" w:hAnsi="Verdana" w:cs="Verdana"/>
        </w:rPr>
        <w:t>i</w:t>
      </w:r>
      <w:r w:rsidRPr="00213EDD">
        <w:rPr>
          <w:rFonts w:ascii="Verdana" w:eastAsia="Verdana" w:hAnsi="Verdana" w:cs="Verdana"/>
        </w:rPr>
        <w:t xml:space="preserve">sión de Estudio para la Promoción y Desarrollo de los Mercados de Carbono en </w:t>
      </w:r>
      <w:r w:rsidR="001B610B" w:rsidRPr="00213EDD">
        <w:rPr>
          <w:rFonts w:ascii="Verdana" w:eastAsia="Verdana" w:hAnsi="Verdana" w:cs="Verdana"/>
        </w:rPr>
        <w:t>Colombia</w:t>
      </w:r>
      <w:r w:rsidRPr="00213EDD">
        <w:rPr>
          <w:rFonts w:ascii="Verdana" w:eastAsia="Verdana" w:hAnsi="Verdana" w:cs="Verdana"/>
        </w:rPr>
        <w:t xml:space="preserve"> será realizada por la(el) ministra(o) del </w:t>
      </w:r>
      <w:r w:rsidRPr="00095E73">
        <w:rPr>
          <w:rFonts w:ascii="Verdana" w:eastAsia="Verdana" w:hAnsi="Verdana" w:cs="Verdana"/>
        </w:rPr>
        <w:t>Ministerio de Ambiente y Desarrollo Sostenible”.</w:t>
      </w:r>
    </w:p>
    <w:p w14:paraId="0000001E" w14:textId="2190B07B" w:rsidR="00FD0348" w:rsidRDefault="00000000">
      <w:pPr>
        <w:ind w:left="-284" w:right="-232"/>
        <w:jc w:val="both"/>
        <w:rPr>
          <w:rFonts w:ascii="Verdana" w:eastAsia="Verdana" w:hAnsi="Verdana" w:cs="Verdana"/>
        </w:rPr>
      </w:pPr>
      <w:r>
        <w:rPr>
          <w:rFonts w:ascii="Verdana" w:eastAsia="Verdana" w:hAnsi="Verdana" w:cs="Verdana"/>
          <w:b/>
        </w:rPr>
        <w:t xml:space="preserve">Artículo </w:t>
      </w:r>
      <w:r w:rsidR="0034078A">
        <w:rPr>
          <w:rFonts w:ascii="Verdana" w:eastAsia="Verdana" w:hAnsi="Verdana" w:cs="Verdana"/>
          <w:b/>
        </w:rPr>
        <w:t>2</w:t>
      </w:r>
      <w:r>
        <w:rPr>
          <w:rFonts w:ascii="Verdana" w:eastAsia="Verdana" w:hAnsi="Verdana" w:cs="Verdana"/>
          <w:b/>
        </w:rPr>
        <w:t>.</w:t>
      </w:r>
      <w:r>
        <w:rPr>
          <w:rFonts w:ascii="Verdana" w:eastAsia="Verdana" w:hAnsi="Verdana" w:cs="Verdana"/>
        </w:rPr>
        <w:t xml:space="preserve"> </w:t>
      </w:r>
      <w:r w:rsidR="00745673">
        <w:rPr>
          <w:rFonts w:ascii="Verdana" w:eastAsia="Verdana" w:hAnsi="Verdana" w:cs="Verdana"/>
        </w:rPr>
        <w:t xml:space="preserve">Modifíquese </w:t>
      </w:r>
      <w:r w:rsidR="00BB3712">
        <w:rPr>
          <w:rFonts w:ascii="Verdana" w:eastAsia="Verdana" w:hAnsi="Verdana" w:cs="Verdana"/>
        </w:rPr>
        <w:t xml:space="preserve">el </w:t>
      </w:r>
      <w:r>
        <w:rPr>
          <w:rFonts w:ascii="Verdana" w:eastAsia="Verdana" w:hAnsi="Verdana" w:cs="Verdana"/>
        </w:rPr>
        <w:t>artículo 7° de la Resolución 0552 del 25 de mayo 2022 del Ministerio de Ambiente y Desarrollo Sostenible</w:t>
      </w:r>
      <w:r w:rsidR="00745673">
        <w:rPr>
          <w:rFonts w:ascii="Verdana" w:eastAsia="Verdana" w:hAnsi="Verdana" w:cs="Verdana"/>
        </w:rPr>
        <w:t>, el cual quedará, así:</w:t>
      </w:r>
    </w:p>
    <w:p w14:paraId="301907C5" w14:textId="51EB0757" w:rsidR="00897C22" w:rsidRPr="00745673" w:rsidRDefault="00000000" w:rsidP="0BC359BC">
      <w:pPr>
        <w:ind w:left="708" w:right="-232"/>
        <w:jc w:val="both"/>
        <w:rPr>
          <w:rFonts w:ascii="Verdana" w:eastAsia="Verdana" w:hAnsi="Verdana" w:cs="Verdana"/>
          <w:lang w:val="es-ES"/>
        </w:rPr>
      </w:pPr>
      <w:r w:rsidRPr="0BC359BC">
        <w:rPr>
          <w:rFonts w:ascii="Verdana" w:eastAsia="Verdana" w:hAnsi="Verdana" w:cs="Verdana"/>
          <w:lang w:val="es-ES"/>
        </w:rPr>
        <w:t>“</w:t>
      </w:r>
      <w:r w:rsidRPr="0BC359BC">
        <w:rPr>
          <w:rFonts w:ascii="Verdana" w:eastAsia="Verdana" w:hAnsi="Verdana" w:cs="Verdana"/>
          <w:b/>
          <w:bCs/>
          <w:lang w:val="es-ES"/>
        </w:rPr>
        <w:t>Artículo 7. Divulgación de</w:t>
      </w:r>
      <w:r w:rsidR="002B736F" w:rsidRPr="0BC359BC">
        <w:rPr>
          <w:rFonts w:ascii="Verdana" w:eastAsia="Verdana" w:hAnsi="Verdana" w:cs="Verdana"/>
          <w:b/>
          <w:bCs/>
          <w:lang w:val="es-ES"/>
        </w:rPr>
        <w:t xml:space="preserve"> los</w:t>
      </w:r>
      <w:r w:rsidRPr="0BC359BC">
        <w:rPr>
          <w:rFonts w:ascii="Verdana" w:eastAsia="Verdana" w:hAnsi="Verdana" w:cs="Verdana"/>
          <w:b/>
          <w:bCs/>
          <w:lang w:val="es-ES"/>
        </w:rPr>
        <w:t xml:space="preserve"> </w:t>
      </w:r>
      <w:r w:rsidR="00745673" w:rsidRPr="0BC359BC">
        <w:rPr>
          <w:rFonts w:ascii="Verdana" w:eastAsia="Verdana" w:hAnsi="Verdana" w:cs="Verdana"/>
          <w:b/>
          <w:bCs/>
          <w:lang w:val="es-ES"/>
        </w:rPr>
        <w:t xml:space="preserve">informes en el marco </w:t>
      </w:r>
      <w:r w:rsidRPr="0BC359BC">
        <w:rPr>
          <w:rFonts w:ascii="Verdana" w:eastAsia="Verdana" w:hAnsi="Verdana" w:cs="Verdana"/>
          <w:b/>
          <w:bCs/>
          <w:lang w:val="es-ES"/>
        </w:rPr>
        <w:t>de la Comisión</w:t>
      </w:r>
      <w:r w:rsidRPr="0BC359BC">
        <w:rPr>
          <w:rFonts w:ascii="Verdana" w:eastAsia="Verdana" w:hAnsi="Verdana" w:cs="Verdana"/>
          <w:lang w:val="es-ES"/>
        </w:rPr>
        <w:t xml:space="preserve">: </w:t>
      </w:r>
      <w:r w:rsidR="00745673" w:rsidRPr="0BC359BC">
        <w:rPr>
          <w:rFonts w:ascii="Verdana" w:eastAsia="Verdana" w:hAnsi="Verdana" w:cs="Verdana"/>
          <w:lang w:val="es-ES"/>
        </w:rPr>
        <w:t>El Ministerio de Ambiente y Desarrollo Sostenible</w:t>
      </w:r>
      <w:r w:rsidRPr="0BC359BC">
        <w:rPr>
          <w:rFonts w:ascii="Verdana" w:eastAsia="Verdana" w:hAnsi="Verdana" w:cs="Verdana"/>
          <w:lang w:val="es-ES"/>
        </w:rPr>
        <w:t xml:space="preserve">, remitirá </w:t>
      </w:r>
      <w:r w:rsidR="00897C22" w:rsidRPr="0BC359BC">
        <w:rPr>
          <w:rFonts w:ascii="Verdana" w:eastAsia="Verdana" w:hAnsi="Verdana" w:cs="Verdana"/>
          <w:lang w:val="es-ES"/>
        </w:rPr>
        <w:t>los distintos informes</w:t>
      </w:r>
      <w:r w:rsidRPr="0BC359BC">
        <w:rPr>
          <w:rFonts w:ascii="Verdana" w:eastAsia="Verdana" w:hAnsi="Verdana" w:cs="Verdana"/>
          <w:lang w:val="es-ES"/>
        </w:rPr>
        <w:t xml:space="preserve"> </w:t>
      </w:r>
      <w:r w:rsidR="00745673" w:rsidRPr="0BC359BC">
        <w:rPr>
          <w:rFonts w:ascii="Verdana" w:eastAsia="Verdana" w:hAnsi="Verdana" w:cs="Verdana"/>
          <w:lang w:val="es-ES"/>
        </w:rPr>
        <w:t>que se realicen en el marco de la Comisión de Estudio para la Promoción y Desarrollo de los Mercados de Carbono en Colombia</w:t>
      </w:r>
      <w:r w:rsidR="00747397" w:rsidRPr="0BC359BC">
        <w:rPr>
          <w:rFonts w:ascii="Verdana" w:eastAsia="Verdana" w:hAnsi="Verdana" w:cs="Verdana"/>
          <w:lang w:val="es-ES"/>
        </w:rPr>
        <w:t xml:space="preserve"> </w:t>
      </w:r>
      <w:r w:rsidRPr="0BC359BC">
        <w:rPr>
          <w:rFonts w:ascii="Verdana" w:eastAsia="Verdana" w:hAnsi="Verdana" w:cs="Verdana"/>
          <w:lang w:val="es-ES"/>
        </w:rPr>
        <w:t>a</w:t>
      </w:r>
      <w:r w:rsidR="00745673" w:rsidRPr="0BC359BC">
        <w:rPr>
          <w:rFonts w:ascii="Verdana" w:eastAsia="Verdana" w:hAnsi="Verdana" w:cs="Verdana"/>
          <w:lang w:val="es-ES"/>
        </w:rPr>
        <w:t xml:space="preserve"> los ministerios con competencia en las temáticas abordadas en el informe. </w:t>
      </w:r>
    </w:p>
    <w:p w14:paraId="29FF3A0C" w14:textId="727A1E07" w:rsidR="00FE1C81" w:rsidRPr="00745673" w:rsidRDefault="00FE1C81" w:rsidP="0BC359BC">
      <w:pPr>
        <w:ind w:left="708" w:right="-232"/>
        <w:jc w:val="both"/>
        <w:rPr>
          <w:rFonts w:ascii="Verdana" w:eastAsia="Verdana" w:hAnsi="Verdana" w:cs="Verdana"/>
          <w:lang w:val="es-ES"/>
        </w:rPr>
      </w:pPr>
      <w:r w:rsidRPr="0BC359BC">
        <w:rPr>
          <w:rFonts w:ascii="Verdana" w:eastAsia="Verdana" w:hAnsi="Verdana" w:cs="Verdana"/>
          <w:lang w:val="es-ES"/>
        </w:rPr>
        <w:t xml:space="preserve">Los informes serán divulgados por </w:t>
      </w:r>
      <w:r w:rsidR="00747397" w:rsidRPr="0BC359BC">
        <w:rPr>
          <w:rFonts w:ascii="Verdana" w:eastAsia="Verdana" w:hAnsi="Verdana" w:cs="Verdana"/>
          <w:lang w:val="es-ES"/>
        </w:rPr>
        <w:t xml:space="preserve">el Ministerio de Ambiente y Desarrollo Sostenible </w:t>
      </w:r>
      <w:r w:rsidRPr="0BC359BC">
        <w:rPr>
          <w:rFonts w:ascii="Verdana" w:eastAsia="Verdana" w:hAnsi="Verdana" w:cs="Verdana"/>
          <w:lang w:val="es-ES"/>
        </w:rPr>
        <w:t>de manera amplia y suficiente en diferentes medios a los que tengan acceso las comunidades</w:t>
      </w:r>
      <w:r w:rsidR="0032555E" w:rsidRPr="0BC359BC">
        <w:rPr>
          <w:rFonts w:ascii="Verdana" w:eastAsia="Verdana" w:hAnsi="Verdana" w:cs="Verdana"/>
          <w:lang w:val="es-ES"/>
        </w:rPr>
        <w:t xml:space="preserve">, </w:t>
      </w:r>
      <w:r w:rsidR="00D441DF" w:rsidRPr="0BC359BC">
        <w:rPr>
          <w:rFonts w:ascii="Verdana" w:eastAsia="Verdana" w:hAnsi="Verdana" w:cs="Verdana"/>
          <w:lang w:val="es-ES"/>
        </w:rPr>
        <w:t>y</w:t>
      </w:r>
      <w:r w:rsidR="0032555E" w:rsidRPr="0BC359BC">
        <w:rPr>
          <w:rFonts w:ascii="Verdana" w:eastAsia="Verdana" w:hAnsi="Verdana" w:cs="Verdana"/>
          <w:lang w:val="es-ES"/>
        </w:rPr>
        <w:t xml:space="preserve"> en los espacios de socialización</w:t>
      </w:r>
      <w:r w:rsidRPr="0BC359BC">
        <w:rPr>
          <w:rFonts w:ascii="Verdana" w:eastAsia="Verdana" w:hAnsi="Verdana" w:cs="Verdana"/>
          <w:lang w:val="es-ES"/>
        </w:rPr>
        <w:t>,</w:t>
      </w:r>
      <w:r w:rsidR="0032555E" w:rsidRPr="0BC359BC">
        <w:rPr>
          <w:rFonts w:ascii="Verdana" w:eastAsia="Verdana" w:hAnsi="Verdana" w:cs="Verdana"/>
          <w:lang w:val="es-ES"/>
        </w:rPr>
        <w:t xml:space="preserve"> que </w:t>
      </w:r>
      <w:r w:rsidR="00747397" w:rsidRPr="0BC359BC">
        <w:rPr>
          <w:rFonts w:ascii="Verdana" w:eastAsia="Verdana" w:hAnsi="Verdana" w:cs="Verdana"/>
          <w:lang w:val="es-ES"/>
        </w:rPr>
        <w:t xml:space="preserve">el Ministerio de Ambiente y Desarrollo Sostenible y la Comisión </w:t>
      </w:r>
      <w:r w:rsidR="0032555E" w:rsidRPr="0BC359BC">
        <w:rPr>
          <w:rFonts w:ascii="Verdana" w:eastAsia="Verdana" w:hAnsi="Verdana" w:cs="Verdana"/>
          <w:lang w:val="es-ES"/>
        </w:rPr>
        <w:t>estime</w:t>
      </w:r>
      <w:r w:rsidR="00747397" w:rsidRPr="0BC359BC">
        <w:rPr>
          <w:rFonts w:ascii="Verdana" w:eastAsia="Verdana" w:hAnsi="Verdana" w:cs="Verdana"/>
          <w:lang w:val="es-ES"/>
        </w:rPr>
        <w:t>n</w:t>
      </w:r>
      <w:r w:rsidR="0032555E" w:rsidRPr="0BC359BC">
        <w:rPr>
          <w:rFonts w:ascii="Verdana" w:eastAsia="Verdana" w:hAnsi="Verdana" w:cs="Verdana"/>
          <w:lang w:val="es-ES"/>
        </w:rPr>
        <w:t xml:space="preserve"> para este fin</w:t>
      </w:r>
      <w:r w:rsidR="007D39F8" w:rsidRPr="0BC359BC">
        <w:rPr>
          <w:rFonts w:ascii="Verdana" w:eastAsia="Verdana" w:hAnsi="Verdana" w:cs="Verdana"/>
          <w:lang w:val="es-ES"/>
        </w:rPr>
        <w:t>.</w:t>
      </w:r>
      <w:r w:rsidRPr="0BC359BC">
        <w:rPr>
          <w:rFonts w:ascii="Verdana" w:eastAsia="Verdana" w:hAnsi="Verdana" w:cs="Verdana"/>
          <w:lang w:val="es-ES"/>
        </w:rPr>
        <w:t xml:space="preserve"> </w:t>
      </w:r>
    </w:p>
    <w:p w14:paraId="1AB6F969" w14:textId="77777777" w:rsidR="004679E8" w:rsidRDefault="00000000" w:rsidP="004679E8">
      <w:pPr>
        <w:pBdr>
          <w:top w:val="nil"/>
          <w:left w:val="nil"/>
          <w:bottom w:val="nil"/>
          <w:right w:val="nil"/>
          <w:between w:val="nil"/>
        </w:pBdr>
        <w:spacing w:after="0" w:line="240" w:lineRule="auto"/>
        <w:ind w:left="-284" w:right="-232"/>
        <w:jc w:val="both"/>
        <w:rPr>
          <w:rFonts w:ascii="Verdana" w:eastAsia="Verdana" w:hAnsi="Verdana" w:cs="Verdana"/>
          <w:color w:val="000000"/>
        </w:rPr>
      </w:pPr>
      <w:r>
        <w:rPr>
          <w:rFonts w:ascii="Verdana" w:eastAsia="Verdana" w:hAnsi="Verdana" w:cs="Verdana"/>
          <w:b/>
          <w:color w:val="000000"/>
        </w:rPr>
        <w:t xml:space="preserve">Artículo </w:t>
      </w:r>
      <w:r w:rsidR="0034078A">
        <w:rPr>
          <w:rFonts w:ascii="Verdana" w:eastAsia="Verdana" w:hAnsi="Verdana" w:cs="Verdana"/>
          <w:b/>
          <w:color w:val="000000"/>
        </w:rPr>
        <w:t>3</w:t>
      </w:r>
      <w:r>
        <w:rPr>
          <w:rFonts w:ascii="Verdana" w:eastAsia="Verdana" w:hAnsi="Verdana" w:cs="Verdana"/>
          <w:b/>
          <w:color w:val="000000"/>
        </w:rPr>
        <w:t>.</w:t>
      </w:r>
      <w:r>
        <w:rPr>
          <w:rFonts w:ascii="Verdana" w:eastAsia="Verdana" w:hAnsi="Verdana" w:cs="Verdana"/>
          <w:color w:val="000000"/>
        </w:rPr>
        <w:t xml:space="preserve"> </w:t>
      </w:r>
      <w:r>
        <w:rPr>
          <w:rFonts w:ascii="Verdana" w:eastAsia="Verdana" w:hAnsi="Verdana" w:cs="Verdana"/>
          <w:b/>
          <w:color w:val="000000"/>
        </w:rPr>
        <w:t>Vigencia.</w:t>
      </w:r>
      <w:r>
        <w:rPr>
          <w:rFonts w:ascii="Verdana" w:eastAsia="Verdana" w:hAnsi="Verdana" w:cs="Verdana"/>
          <w:color w:val="000000"/>
        </w:rPr>
        <w:t xml:space="preserve"> La presente Resolución rige a partir de su publicación en el Diario Oficial.</w:t>
      </w:r>
    </w:p>
    <w:p w14:paraId="0365F9F4" w14:textId="77777777" w:rsidR="004679E8" w:rsidRDefault="004679E8" w:rsidP="004679E8">
      <w:pPr>
        <w:pBdr>
          <w:top w:val="nil"/>
          <w:left w:val="nil"/>
          <w:bottom w:val="nil"/>
          <w:right w:val="nil"/>
          <w:between w:val="nil"/>
        </w:pBdr>
        <w:spacing w:after="0" w:line="240" w:lineRule="auto"/>
        <w:ind w:left="-284" w:right="-232"/>
        <w:jc w:val="both"/>
        <w:rPr>
          <w:rFonts w:ascii="Verdana" w:eastAsia="Verdana" w:hAnsi="Verdana" w:cs="Verdana"/>
        </w:rPr>
      </w:pPr>
    </w:p>
    <w:p w14:paraId="00000022" w14:textId="271E7D7A" w:rsidR="00FD0348" w:rsidRDefault="00000000" w:rsidP="0BC359BC">
      <w:pPr>
        <w:pBdr>
          <w:top w:val="nil"/>
          <w:left w:val="nil"/>
          <w:bottom w:val="nil"/>
          <w:right w:val="nil"/>
          <w:between w:val="nil"/>
        </w:pBdr>
        <w:spacing w:after="0" w:line="240" w:lineRule="auto"/>
        <w:ind w:left="-284" w:right="-232"/>
        <w:jc w:val="both"/>
        <w:rPr>
          <w:rFonts w:ascii="Verdana" w:eastAsia="Verdana" w:hAnsi="Verdana" w:cs="Verdana"/>
          <w:lang w:val="es-ES"/>
        </w:rPr>
      </w:pPr>
      <w:r w:rsidRPr="0BC359BC">
        <w:rPr>
          <w:rFonts w:ascii="Verdana" w:eastAsia="Verdana" w:hAnsi="Verdana" w:cs="Verdana"/>
          <w:lang w:val="es-ES"/>
        </w:rPr>
        <w:t xml:space="preserve">Dada en Bogotá, D.C., a los xxx (   ) días del mes de </w:t>
      </w:r>
      <w:r w:rsidR="006140F4" w:rsidRPr="0BC359BC">
        <w:rPr>
          <w:rFonts w:ascii="Verdana" w:eastAsia="Verdana" w:hAnsi="Verdana" w:cs="Verdana"/>
          <w:lang w:val="es-ES"/>
        </w:rPr>
        <w:t>noviembre</w:t>
      </w:r>
      <w:r w:rsidR="000E1CF2" w:rsidRPr="0BC359BC">
        <w:rPr>
          <w:rFonts w:ascii="Verdana" w:eastAsia="Verdana" w:hAnsi="Verdana" w:cs="Verdana"/>
          <w:lang w:val="es-ES"/>
        </w:rPr>
        <w:t xml:space="preserve"> </w:t>
      </w:r>
      <w:r w:rsidRPr="0BC359BC">
        <w:rPr>
          <w:rFonts w:ascii="Verdana" w:eastAsia="Verdana" w:hAnsi="Verdana" w:cs="Verdana"/>
          <w:lang w:val="es-ES"/>
        </w:rPr>
        <w:t>de 2025.</w:t>
      </w:r>
    </w:p>
    <w:p w14:paraId="780C1423" w14:textId="77777777" w:rsidR="004679E8" w:rsidRPr="004679E8" w:rsidRDefault="004679E8" w:rsidP="004679E8">
      <w:pPr>
        <w:pBdr>
          <w:top w:val="nil"/>
          <w:left w:val="nil"/>
          <w:bottom w:val="nil"/>
          <w:right w:val="nil"/>
          <w:between w:val="nil"/>
        </w:pBdr>
        <w:spacing w:after="0" w:line="240" w:lineRule="auto"/>
        <w:ind w:left="-284" w:right="-232"/>
        <w:jc w:val="both"/>
        <w:rPr>
          <w:rFonts w:ascii="Verdana" w:eastAsia="Verdana" w:hAnsi="Verdana" w:cs="Verdana"/>
          <w:color w:val="000000"/>
        </w:rPr>
      </w:pPr>
    </w:p>
    <w:p w14:paraId="00000024" w14:textId="77777777" w:rsidR="00FD0348" w:rsidRDefault="00000000">
      <w:pPr>
        <w:spacing w:line="240" w:lineRule="auto"/>
        <w:ind w:right="-232"/>
        <w:jc w:val="center"/>
        <w:rPr>
          <w:rFonts w:ascii="Verdana" w:eastAsia="Verdana" w:hAnsi="Verdana" w:cs="Verdana"/>
          <w:b/>
        </w:rPr>
      </w:pPr>
      <w:r>
        <w:rPr>
          <w:rFonts w:ascii="Verdana" w:eastAsia="Verdana" w:hAnsi="Verdana" w:cs="Verdana"/>
          <w:b/>
        </w:rPr>
        <w:t>PUBLÍQUESE Y CÚMPLASE</w:t>
      </w:r>
    </w:p>
    <w:p w14:paraId="00000027" w14:textId="77777777" w:rsidR="00FD0348" w:rsidRDefault="00FD0348">
      <w:pPr>
        <w:spacing w:line="240" w:lineRule="auto"/>
        <w:ind w:right="-232"/>
        <w:jc w:val="center"/>
        <w:rPr>
          <w:rFonts w:ascii="Verdana" w:eastAsia="Verdana" w:hAnsi="Verdana" w:cs="Verdana"/>
          <w:b/>
        </w:rPr>
      </w:pPr>
    </w:p>
    <w:p w14:paraId="3D5A3C89" w14:textId="77777777" w:rsidR="004679E8" w:rsidRDefault="004679E8">
      <w:pPr>
        <w:spacing w:line="240" w:lineRule="auto"/>
        <w:ind w:right="-232"/>
        <w:jc w:val="center"/>
        <w:rPr>
          <w:rFonts w:ascii="Verdana" w:eastAsia="Verdana" w:hAnsi="Verdana" w:cs="Verdana"/>
          <w:b/>
        </w:rPr>
      </w:pPr>
    </w:p>
    <w:p w14:paraId="00000028" w14:textId="664DA078" w:rsidR="00FD0348" w:rsidRDefault="00B77C13">
      <w:pPr>
        <w:spacing w:after="0" w:line="240" w:lineRule="auto"/>
        <w:ind w:left="-284" w:right="-232"/>
        <w:jc w:val="center"/>
        <w:rPr>
          <w:rFonts w:ascii="Verdana" w:eastAsia="Verdana" w:hAnsi="Verdana" w:cs="Verdana"/>
          <w:b/>
        </w:rPr>
      </w:pPr>
      <w:r>
        <w:rPr>
          <w:rFonts w:ascii="Verdana" w:eastAsia="Verdana" w:hAnsi="Verdana" w:cs="Verdana"/>
          <w:b/>
        </w:rPr>
        <w:t>IRENE VELEZ TORRES</w:t>
      </w:r>
    </w:p>
    <w:p w14:paraId="0000002A" w14:textId="49402154" w:rsidR="00FD0348" w:rsidRDefault="00000000" w:rsidP="001C19A2">
      <w:pPr>
        <w:spacing w:after="0" w:line="240" w:lineRule="auto"/>
        <w:ind w:left="-284" w:right="-232"/>
        <w:jc w:val="center"/>
        <w:rPr>
          <w:rFonts w:ascii="Verdana" w:eastAsia="Verdana" w:hAnsi="Verdana" w:cs="Verdana"/>
        </w:rPr>
      </w:pPr>
      <w:r>
        <w:rPr>
          <w:rFonts w:ascii="Verdana" w:eastAsia="Verdana" w:hAnsi="Verdana" w:cs="Verdana"/>
        </w:rPr>
        <w:t>Ministra de Ambiente y Desarrollo Sostenible</w:t>
      </w:r>
      <w:r w:rsidR="00B77C13">
        <w:rPr>
          <w:rFonts w:ascii="Verdana" w:eastAsia="Verdana" w:hAnsi="Verdana" w:cs="Verdana"/>
        </w:rPr>
        <w:t xml:space="preserve"> (E)</w:t>
      </w:r>
    </w:p>
    <w:p w14:paraId="354766E1" w14:textId="77777777" w:rsidR="001C19A2" w:rsidRPr="001C19A2" w:rsidRDefault="001C19A2" w:rsidP="001C19A2">
      <w:pPr>
        <w:spacing w:after="0" w:line="240" w:lineRule="auto"/>
        <w:ind w:left="-284" w:right="-232"/>
        <w:jc w:val="center"/>
        <w:rPr>
          <w:rFonts w:ascii="Verdana" w:eastAsia="Verdana" w:hAnsi="Verdana" w:cs="Verdana"/>
        </w:rPr>
      </w:pPr>
    </w:p>
    <w:p w14:paraId="0000002B" w14:textId="57C07D26" w:rsidR="00FD0348" w:rsidRDefault="00000000">
      <w:pPr>
        <w:spacing w:after="0" w:line="240" w:lineRule="auto"/>
        <w:ind w:left="-284" w:right="-232"/>
        <w:rPr>
          <w:rFonts w:ascii="Verdana" w:eastAsia="Verdana" w:hAnsi="Verdana" w:cs="Verdana"/>
          <w:color w:val="404040"/>
          <w:sz w:val="16"/>
          <w:szCs w:val="16"/>
        </w:rPr>
      </w:pPr>
      <w:r>
        <w:rPr>
          <w:rFonts w:ascii="Verdana" w:eastAsia="Verdana" w:hAnsi="Verdana" w:cs="Verdana"/>
          <w:color w:val="404040"/>
          <w:sz w:val="16"/>
          <w:szCs w:val="16"/>
        </w:rPr>
        <w:t>Proyectó: Leydi Azucena Monroy - Contratista Dirección de Cambio Climático y Gestión del Riesgo</w:t>
      </w:r>
    </w:p>
    <w:p w14:paraId="3AA33083" w14:textId="472E603C" w:rsidR="00421C86" w:rsidRDefault="00000000" w:rsidP="006F28DB">
      <w:pPr>
        <w:spacing w:after="0" w:line="240" w:lineRule="auto"/>
        <w:ind w:left="-284" w:right="-232"/>
        <w:rPr>
          <w:rFonts w:ascii="Verdana" w:eastAsia="Verdana" w:hAnsi="Verdana" w:cs="Verdana"/>
          <w:color w:val="404040"/>
          <w:sz w:val="16"/>
          <w:szCs w:val="16"/>
        </w:rPr>
      </w:pPr>
      <w:r>
        <w:rPr>
          <w:rFonts w:ascii="Verdana" w:eastAsia="Verdana" w:hAnsi="Verdana" w:cs="Verdana"/>
          <w:color w:val="404040"/>
          <w:sz w:val="16"/>
          <w:szCs w:val="16"/>
        </w:rPr>
        <w:t xml:space="preserve">Revisó:    </w:t>
      </w:r>
      <w:r w:rsidR="00421C86">
        <w:rPr>
          <w:rFonts w:ascii="Verdana" w:eastAsia="Verdana" w:hAnsi="Verdana" w:cs="Verdana"/>
          <w:color w:val="404040"/>
          <w:sz w:val="16"/>
          <w:szCs w:val="16"/>
        </w:rPr>
        <w:t>Diana Milena Holguin-Contratista-</w:t>
      </w:r>
      <w:r w:rsidR="00421C86" w:rsidRPr="00421C86">
        <w:rPr>
          <w:rFonts w:ascii="Verdana" w:eastAsia="Verdana" w:hAnsi="Verdana" w:cs="Verdana"/>
          <w:color w:val="404040"/>
          <w:sz w:val="16"/>
          <w:szCs w:val="16"/>
        </w:rPr>
        <w:t xml:space="preserve"> </w:t>
      </w:r>
      <w:r w:rsidR="00421C86">
        <w:rPr>
          <w:rFonts w:ascii="Verdana" w:eastAsia="Verdana" w:hAnsi="Verdana" w:cs="Verdana"/>
          <w:color w:val="404040"/>
          <w:sz w:val="16"/>
          <w:szCs w:val="16"/>
        </w:rPr>
        <w:t xml:space="preserve">Dirección de Cambio Climático y Gestión del Riesgo </w:t>
      </w:r>
    </w:p>
    <w:p w14:paraId="0000002C" w14:textId="7C4E65F4" w:rsidR="006F28DB" w:rsidRDefault="00421C86" w:rsidP="006F28DB">
      <w:pPr>
        <w:spacing w:after="0" w:line="240" w:lineRule="auto"/>
        <w:ind w:left="-284" w:right="-232"/>
        <w:rPr>
          <w:rFonts w:ascii="Verdana" w:eastAsia="Verdana" w:hAnsi="Verdana" w:cs="Verdana"/>
          <w:color w:val="404040"/>
          <w:sz w:val="16"/>
          <w:szCs w:val="16"/>
        </w:rPr>
      </w:pPr>
      <w:r>
        <w:rPr>
          <w:rFonts w:ascii="Verdana" w:eastAsia="Verdana" w:hAnsi="Verdana" w:cs="Verdana"/>
          <w:color w:val="404040"/>
          <w:sz w:val="16"/>
          <w:szCs w:val="16"/>
        </w:rPr>
        <w:t xml:space="preserve">              </w:t>
      </w:r>
      <w:r w:rsidR="006F28DB">
        <w:rPr>
          <w:rFonts w:ascii="Verdana" w:eastAsia="Verdana" w:hAnsi="Verdana" w:cs="Verdana"/>
          <w:color w:val="404040"/>
          <w:sz w:val="16"/>
          <w:szCs w:val="16"/>
        </w:rPr>
        <w:t>Mauricio Galván Gómez</w:t>
      </w:r>
      <w:r>
        <w:rPr>
          <w:rFonts w:ascii="Verdana" w:eastAsia="Verdana" w:hAnsi="Verdana" w:cs="Verdana"/>
          <w:color w:val="404040"/>
          <w:sz w:val="16"/>
          <w:szCs w:val="16"/>
        </w:rPr>
        <w:t xml:space="preserve"> </w:t>
      </w:r>
      <w:r w:rsidR="006F28DB">
        <w:rPr>
          <w:rFonts w:ascii="Verdana" w:eastAsia="Verdana" w:hAnsi="Verdana" w:cs="Verdana"/>
          <w:color w:val="404040"/>
          <w:sz w:val="16"/>
          <w:szCs w:val="16"/>
        </w:rPr>
        <w:t>–</w:t>
      </w:r>
      <w:r>
        <w:rPr>
          <w:rFonts w:ascii="Verdana" w:eastAsia="Verdana" w:hAnsi="Verdana" w:cs="Verdana"/>
          <w:color w:val="404040"/>
          <w:sz w:val="16"/>
          <w:szCs w:val="16"/>
        </w:rPr>
        <w:t xml:space="preserve"> </w:t>
      </w:r>
      <w:r w:rsidR="006F28DB">
        <w:rPr>
          <w:rFonts w:ascii="Verdana" w:eastAsia="Verdana" w:hAnsi="Verdana" w:cs="Verdana"/>
          <w:color w:val="404040"/>
          <w:sz w:val="16"/>
          <w:szCs w:val="16"/>
        </w:rPr>
        <w:t xml:space="preserve">Coordinador Grupo de Mitigación – Dirección de Cambio Climático y Gestión del Riesgo </w:t>
      </w:r>
    </w:p>
    <w:p w14:paraId="0000002E" w14:textId="5FE62B33" w:rsidR="00FD0348" w:rsidRDefault="00FD0348">
      <w:pPr>
        <w:spacing w:after="0" w:line="240" w:lineRule="auto"/>
        <w:ind w:left="-284" w:right="-232"/>
        <w:rPr>
          <w:rFonts w:ascii="Verdana" w:eastAsia="Verdana" w:hAnsi="Verdana" w:cs="Verdana"/>
          <w:color w:val="404040"/>
          <w:sz w:val="16"/>
          <w:szCs w:val="16"/>
        </w:rPr>
      </w:pPr>
    </w:p>
    <w:p w14:paraId="0000002F" w14:textId="70796617" w:rsidR="00FD0348" w:rsidRDefault="00000000" w:rsidP="0BC359BC">
      <w:pPr>
        <w:spacing w:after="0" w:line="240" w:lineRule="auto"/>
        <w:ind w:left="-284" w:right="-232"/>
        <w:rPr>
          <w:rFonts w:ascii="Verdana" w:eastAsia="Verdana" w:hAnsi="Verdana" w:cs="Verdana"/>
          <w:color w:val="404040"/>
          <w:sz w:val="16"/>
          <w:szCs w:val="16"/>
          <w:lang w:val="es-ES"/>
        </w:rPr>
      </w:pPr>
      <w:r w:rsidRPr="0BC359BC">
        <w:rPr>
          <w:rFonts w:ascii="Verdana" w:eastAsia="Verdana" w:hAnsi="Verdana" w:cs="Verdana"/>
          <w:color w:val="404040" w:themeColor="text1" w:themeTint="BF"/>
          <w:sz w:val="16"/>
          <w:szCs w:val="16"/>
          <w:lang w:val="es-ES"/>
        </w:rPr>
        <w:t xml:space="preserve">Aprobó: </w:t>
      </w:r>
      <w:r>
        <w:tab/>
      </w:r>
      <w:r w:rsidR="006140F4">
        <w:rPr>
          <w:rFonts w:ascii="Verdana" w:eastAsia="Verdana" w:hAnsi="Verdana" w:cs="Verdana"/>
          <w:color w:val="404040" w:themeColor="text1" w:themeTint="BF"/>
          <w:sz w:val="16"/>
          <w:szCs w:val="16"/>
          <w:lang w:val="es-ES"/>
        </w:rPr>
        <w:t>María Fernanda Torres</w:t>
      </w:r>
      <w:r w:rsidR="00C945F2" w:rsidRPr="0BC359BC">
        <w:rPr>
          <w:rFonts w:ascii="Verdana" w:eastAsia="Verdana" w:hAnsi="Verdana" w:cs="Verdana"/>
          <w:color w:val="404040" w:themeColor="text1" w:themeTint="BF"/>
          <w:sz w:val="16"/>
          <w:szCs w:val="16"/>
          <w:lang w:val="es-ES"/>
        </w:rPr>
        <w:t xml:space="preserve"> </w:t>
      </w:r>
      <w:r w:rsidR="006140F4">
        <w:rPr>
          <w:rFonts w:ascii="Verdana" w:eastAsia="Verdana" w:hAnsi="Verdana" w:cs="Verdana"/>
          <w:color w:val="404040" w:themeColor="text1" w:themeTint="BF"/>
          <w:sz w:val="16"/>
          <w:szCs w:val="16"/>
          <w:lang w:val="es-ES"/>
        </w:rPr>
        <w:t>Penagos</w:t>
      </w:r>
      <w:r w:rsidR="00C945F2" w:rsidRPr="0BC359BC">
        <w:rPr>
          <w:rFonts w:ascii="Verdana" w:eastAsia="Verdana" w:hAnsi="Verdana" w:cs="Verdana"/>
          <w:color w:val="404040" w:themeColor="text1" w:themeTint="BF"/>
          <w:sz w:val="16"/>
          <w:szCs w:val="16"/>
          <w:lang w:val="es-ES"/>
        </w:rPr>
        <w:t>–</w:t>
      </w:r>
      <w:r w:rsidRPr="0BC359BC">
        <w:rPr>
          <w:rFonts w:ascii="Verdana" w:eastAsia="Verdana" w:hAnsi="Verdana" w:cs="Verdana"/>
          <w:color w:val="404040" w:themeColor="text1" w:themeTint="BF"/>
          <w:sz w:val="16"/>
          <w:szCs w:val="16"/>
          <w:lang w:val="es-ES"/>
        </w:rPr>
        <w:t xml:space="preserve"> Directo</w:t>
      </w:r>
      <w:r w:rsidR="006F28DB" w:rsidRPr="0BC359BC">
        <w:rPr>
          <w:rFonts w:ascii="Verdana" w:eastAsia="Verdana" w:hAnsi="Verdana" w:cs="Verdana"/>
          <w:color w:val="404040" w:themeColor="text1" w:themeTint="BF"/>
          <w:sz w:val="16"/>
          <w:szCs w:val="16"/>
          <w:lang w:val="es-ES"/>
        </w:rPr>
        <w:t>r</w:t>
      </w:r>
      <w:r w:rsidR="00C945F2" w:rsidRPr="0BC359BC">
        <w:rPr>
          <w:rFonts w:ascii="Verdana" w:eastAsia="Verdana" w:hAnsi="Verdana" w:cs="Verdana"/>
          <w:color w:val="404040" w:themeColor="text1" w:themeTint="BF"/>
          <w:sz w:val="16"/>
          <w:szCs w:val="16"/>
          <w:lang w:val="es-ES"/>
        </w:rPr>
        <w:t xml:space="preserve">a </w:t>
      </w:r>
      <w:r w:rsidRPr="0BC359BC">
        <w:rPr>
          <w:rFonts w:ascii="Verdana" w:eastAsia="Verdana" w:hAnsi="Verdana" w:cs="Verdana"/>
          <w:color w:val="404040" w:themeColor="text1" w:themeTint="BF"/>
          <w:sz w:val="16"/>
          <w:szCs w:val="16"/>
          <w:lang w:val="es-ES"/>
        </w:rPr>
        <w:t>de Cambio Climático y Gestión del Riesg</w:t>
      </w:r>
      <w:r w:rsidR="00C945F2" w:rsidRPr="0BC359BC">
        <w:rPr>
          <w:rFonts w:ascii="Verdana" w:eastAsia="Verdana" w:hAnsi="Verdana" w:cs="Verdana"/>
          <w:color w:val="404040" w:themeColor="text1" w:themeTint="BF"/>
          <w:sz w:val="16"/>
          <w:szCs w:val="16"/>
          <w:lang w:val="es-ES"/>
        </w:rPr>
        <w:t>o</w:t>
      </w:r>
    </w:p>
    <w:p w14:paraId="4A8EE7FB" w14:textId="2FE080BD" w:rsidR="007A4783" w:rsidRDefault="007A4783" w:rsidP="002B4C60">
      <w:pPr>
        <w:spacing w:after="0" w:line="240" w:lineRule="auto"/>
        <w:ind w:left="-284" w:right="-232"/>
        <w:rPr>
          <w:rFonts w:ascii="Verdana" w:eastAsia="Verdana" w:hAnsi="Verdana" w:cs="Verdana"/>
          <w:color w:val="404040"/>
          <w:sz w:val="16"/>
          <w:szCs w:val="16"/>
        </w:rPr>
      </w:pPr>
      <w:r>
        <w:rPr>
          <w:rFonts w:ascii="Verdana" w:eastAsia="Verdana" w:hAnsi="Verdana" w:cs="Verdana"/>
          <w:color w:val="404040"/>
          <w:sz w:val="16"/>
          <w:szCs w:val="16"/>
        </w:rPr>
        <w:tab/>
      </w:r>
      <w:r>
        <w:rPr>
          <w:rFonts w:ascii="Verdana" w:eastAsia="Verdana" w:hAnsi="Verdana" w:cs="Verdana"/>
          <w:color w:val="404040"/>
          <w:sz w:val="16"/>
          <w:szCs w:val="16"/>
        </w:rPr>
        <w:tab/>
      </w:r>
      <w:r w:rsidR="002B4C60" w:rsidRPr="002B4C60">
        <w:rPr>
          <w:rFonts w:ascii="Verdana" w:eastAsia="Verdana" w:hAnsi="Verdana" w:cs="Verdana"/>
          <w:color w:val="404040"/>
          <w:sz w:val="16"/>
          <w:szCs w:val="16"/>
        </w:rPr>
        <w:t>Lilia Tatiana Roa Avendaño, Viceministra de Ordenamiento Ambiental del Territorio, Ambiente</w:t>
      </w:r>
    </w:p>
    <w:p w14:paraId="6C4FCD33" w14:textId="1831CADC" w:rsidR="001C19A2" w:rsidRPr="002B4C60" w:rsidRDefault="001C19A2" w:rsidP="002B4C60">
      <w:pPr>
        <w:spacing w:after="0" w:line="240" w:lineRule="auto"/>
        <w:ind w:left="-284" w:right="-232"/>
        <w:rPr>
          <w:rFonts w:ascii="Verdana" w:eastAsia="Verdana" w:hAnsi="Verdana" w:cs="Verdana"/>
          <w:color w:val="404040"/>
          <w:sz w:val="16"/>
          <w:szCs w:val="16"/>
          <w:lang w:val="es-CO"/>
        </w:rPr>
      </w:pPr>
      <w:r>
        <w:rPr>
          <w:rFonts w:ascii="Verdana" w:eastAsia="Verdana" w:hAnsi="Verdana" w:cs="Verdana"/>
          <w:color w:val="404040"/>
          <w:sz w:val="16"/>
          <w:szCs w:val="16"/>
        </w:rPr>
        <w:t xml:space="preserve">                  Laura Camila Ramos Díaz – Jefe Oficina Asesora Jurídica</w:t>
      </w:r>
    </w:p>
    <w:p w14:paraId="00000032" w14:textId="57F6EEAC" w:rsidR="00FD0348" w:rsidRPr="004679E8" w:rsidRDefault="00FD0348" w:rsidP="004679E8">
      <w:pPr>
        <w:spacing w:after="0" w:line="240" w:lineRule="auto"/>
        <w:ind w:right="-232"/>
        <w:rPr>
          <w:rFonts w:ascii="Verdana" w:eastAsia="Verdana" w:hAnsi="Verdana" w:cs="Verdana"/>
          <w:color w:val="404040"/>
          <w:sz w:val="16"/>
          <w:szCs w:val="16"/>
        </w:rPr>
      </w:pPr>
    </w:p>
    <w:sectPr w:rsidR="00FD0348" w:rsidRPr="004679E8">
      <w:headerReference w:type="default" r:id="rId8"/>
      <w:footerReference w:type="default" r:id="rId9"/>
      <w:headerReference w:type="first" r:id="rId10"/>
      <w:footerReference w:type="first" r:id="rId11"/>
      <w:pgSz w:w="12242" w:h="18722"/>
      <w:pgMar w:top="2410" w:right="1469" w:bottom="1418" w:left="1843" w:header="709" w:footer="35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9FDDC" w14:textId="77777777" w:rsidR="000A15B4" w:rsidRDefault="000A15B4">
      <w:pPr>
        <w:spacing w:after="0" w:line="240" w:lineRule="auto"/>
      </w:pPr>
      <w:r>
        <w:separator/>
      </w:r>
    </w:p>
  </w:endnote>
  <w:endnote w:type="continuationSeparator" w:id="0">
    <w:p w14:paraId="0752DDC1" w14:textId="77777777" w:rsidR="000A15B4" w:rsidRDefault="000A1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5" w14:textId="5D9EFB17" w:rsidR="00FD0348" w:rsidRDefault="00000000">
    <w:pPr>
      <w:pBdr>
        <w:top w:val="nil"/>
        <w:left w:val="nil"/>
        <w:bottom w:val="nil"/>
        <w:right w:val="nil"/>
        <w:between w:val="nil"/>
      </w:pBdr>
      <w:tabs>
        <w:tab w:val="center" w:pos="4419"/>
        <w:tab w:val="right" w:pos="8838"/>
      </w:tabs>
      <w:spacing w:after="0" w:line="240" w:lineRule="auto"/>
      <w:jc w:val="right"/>
      <w:rPr>
        <w:rFonts w:ascii="Verdana" w:eastAsia="Verdana" w:hAnsi="Verdana" w:cs="Verdana"/>
        <w:b/>
        <w:color w:val="000000"/>
        <w:sz w:val="18"/>
        <w:szCs w:val="18"/>
      </w:rPr>
    </w:pPr>
    <w:r>
      <w:rPr>
        <w:rFonts w:ascii="Verdana" w:eastAsia="Verdana" w:hAnsi="Verdana" w:cs="Verdana"/>
        <w:color w:val="000000"/>
        <w:sz w:val="18"/>
        <w:szCs w:val="18"/>
      </w:rPr>
      <w:t xml:space="preserve">Página </w:t>
    </w:r>
    <w:r>
      <w:rPr>
        <w:rFonts w:ascii="Verdana" w:eastAsia="Verdana" w:hAnsi="Verdana" w:cs="Verdana"/>
        <w:b/>
        <w:color w:val="000000"/>
        <w:sz w:val="18"/>
        <w:szCs w:val="18"/>
      </w:rPr>
      <w:fldChar w:fldCharType="begin"/>
    </w:r>
    <w:r>
      <w:rPr>
        <w:rFonts w:ascii="Verdana" w:eastAsia="Verdana" w:hAnsi="Verdana" w:cs="Verdana"/>
        <w:b/>
        <w:color w:val="000000"/>
        <w:sz w:val="18"/>
        <w:szCs w:val="18"/>
      </w:rPr>
      <w:instrText>PAGE</w:instrText>
    </w:r>
    <w:r>
      <w:rPr>
        <w:rFonts w:ascii="Verdana" w:eastAsia="Verdana" w:hAnsi="Verdana" w:cs="Verdana"/>
        <w:b/>
        <w:color w:val="000000"/>
        <w:sz w:val="18"/>
        <w:szCs w:val="18"/>
      </w:rPr>
      <w:fldChar w:fldCharType="separate"/>
    </w:r>
    <w:r w:rsidR="00A07F16">
      <w:rPr>
        <w:rFonts w:ascii="Verdana" w:eastAsia="Verdana" w:hAnsi="Verdana" w:cs="Verdana"/>
        <w:b/>
        <w:noProof/>
        <w:color w:val="000000"/>
        <w:sz w:val="18"/>
        <w:szCs w:val="18"/>
      </w:rPr>
      <w:t>2</w:t>
    </w:r>
    <w:r>
      <w:rPr>
        <w:rFonts w:ascii="Verdana" w:eastAsia="Verdana" w:hAnsi="Verdana" w:cs="Verdana"/>
        <w:b/>
        <w:color w:val="000000"/>
        <w:sz w:val="18"/>
        <w:szCs w:val="18"/>
      </w:rPr>
      <w:fldChar w:fldCharType="end"/>
    </w:r>
    <w:r>
      <w:rPr>
        <w:rFonts w:ascii="Verdana" w:eastAsia="Verdana" w:hAnsi="Verdana" w:cs="Verdana"/>
        <w:color w:val="000000"/>
        <w:sz w:val="18"/>
        <w:szCs w:val="18"/>
      </w:rPr>
      <w:t xml:space="preserve"> de </w:t>
    </w:r>
    <w:r>
      <w:rPr>
        <w:rFonts w:ascii="Verdana" w:eastAsia="Verdana" w:hAnsi="Verdana" w:cs="Verdana"/>
        <w:b/>
        <w:color w:val="000000"/>
        <w:sz w:val="18"/>
        <w:szCs w:val="18"/>
      </w:rPr>
      <w:fldChar w:fldCharType="begin"/>
    </w:r>
    <w:r>
      <w:rPr>
        <w:rFonts w:ascii="Verdana" w:eastAsia="Verdana" w:hAnsi="Verdana" w:cs="Verdana"/>
        <w:b/>
        <w:color w:val="000000"/>
        <w:sz w:val="18"/>
        <w:szCs w:val="18"/>
      </w:rPr>
      <w:instrText>NUMPAGES</w:instrText>
    </w:r>
    <w:r>
      <w:rPr>
        <w:rFonts w:ascii="Verdana" w:eastAsia="Verdana" w:hAnsi="Verdana" w:cs="Verdana"/>
        <w:b/>
        <w:color w:val="000000"/>
        <w:sz w:val="18"/>
        <w:szCs w:val="18"/>
      </w:rPr>
      <w:fldChar w:fldCharType="separate"/>
    </w:r>
    <w:r w:rsidR="00A07F16">
      <w:rPr>
        <w:rFonts w:ascii="Verdana" w:eastAsia="Verdana" w:hAnsi="Verdana" w:cs="Verdana"/>
        <w:b/>
        <w:noProof/>
        <w:color w:val="000000"/>
        <w:sz w:val="18"/>
        <w:szCs w:val="18"/>
      </w:rPr>
      <w:t>3</w:t>
    </w:r>
    <w:r>
      <w:rPr>
        <w:rFonts w:ascii="Verdana" w:eastAsia="Verdana" w:hAnsi="Verdana" w:cs="Verdana"/>
        <w:b/>
        <w:color w:val="000000"/>
        <w:sz w:val="18"/>
        <w:szCs w:val="18"/>
      </w:rPr>
      <w:fldChar w:fldCharType="end"/>
    </w:r>
  </w:p>
  <w:p w14:paraId="00000036" w14:textId="77777777" w:rsidR="00FD0348" w:rsidRDefault="0BC359BC" w:rsidP="0BC359BC">
    <w:pPr>
      <w:pBdr>
        <w:top w:val="nil"/>
        <w:left w:val="nil"/>
        <w:bottom w:val="nil"/>
        <w:right w:val="nil"/>
        <w:between w:val="nil"/>
      </w:pBdr>
      <w:tabs>
        <w:tab w:val="center" w:pos="4419"/>
        <w:tab w:val="right" w:pos="8838"/>
      </w:tabs>
      <w:spacing w:after="0" w:line="240" w:lineRule="auto"/>
      <w:jc w:val="right"/>
      <w:rPr>
        <w:rFonts w:ascii="Verdana" w:eastAsia="Verdana" w:hAnsi="Verdana" w:cs="Verdana"/>
        <w:color w:val="000000"/>
        <w:sz w:val="18"/>
        <w:szCs w:val="18"/>
        <w:lang w:val="es-ES"/>
      </w:rPr>
    </w:pPr>
    <w:r w:rsidRPr="0BC359BC">
      <w:rPr>
        <w:rFonts w:ascii="Verdana" w:eastAsia="Verdana" w:hAnsi="Verdana" w:cs="Verdana"/>
        <w:color w:val="000000" w:themeColor="text1"/>
        <w:sz w:val="18"/>
        <w:szCs w:val="18"/>
        <w:lang w:val="es-ES"/>
      </w:rPr>
      <w:t>F-M-INA-46:V5 17-02-2025</w:t>
    </w:r>
  </w:p>
  <w:p w14:paraId="00000037" w14:textId="77777777" w:rsidR="00FD0348" w:rsidRDefault="00FD0348">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8" w14:textId="00B28767" w:rsidR="00FD0348" w:rsidRDefault="00000000">
    <w:pPr>
      <w:pBdr>
        <w:top w:val="nil"/>
        <w:left w:val="nil"/>
        <w:bottom w:val="nil"/>
        <w:right w:val="nil"/>
        <w:between w:val="nil"/>
      </w:pBdr>
      <w:tabs>
        <w:tab w:val="center" w:pos="4419"/>
        <w:tab w:val="right" w:pos="8838"/>
      </w:tabs>
      <w:spacing w:after="0" w:line="240" w:lineRule="auto"/>
      <w:jc w:val="right"/>
      <w:rPr>
        <w:rFonts w:ascii="Verdana" w:eastAsia="Verdana" w:hAnsi="Verdana" w:cs="Verdana"/>
        <w:b/>
        <w:color w:val="000000"/>
        <w:sz w:val="18"/>
        <w:szCs w:val="18"/>
      </w:rPr>
    </w:pPr>
    <w:r>
      <w:rPr>
        <w:rFonts w:ascii="Verdana" w:eastAsia="Verdana" w:hAnsi="Verdana" w:cs="Verdana"/>
        <w:color w:val="000000"/>
        <w:sz w:val="18"/>
        <w:szCs w:val="18"/>
      </w:rPr>
      <w:t xml:space="preserve">Página </w:t>
    </w:r>
    <w:r>
      <w:rPr>
        <w:rFonts w:ascii="Verdana" w:eastAsia="Verdana" w:hAnsi="Verdana" w:cs="Verdana"/>
        <w:b/>
        <w:color w:val="000000"/>
        <w:sz w:val="18"/>
        <w:szCs w:val="18"/>
      </w:rPr>
      <w:fldChar w:fldCharType="begin"/>
    </w:r>
    <w:r>
      <w:rPr>
        <w:rFonts w:ascii="Verdana" w:eastAsia="Verdana" w:hAnsi="Verdana" w:cs="Verdana"/>
        <w:b/>
        <w:color w:val="000000"/>
        <w:sz w:val="18"/>
        <w:szCs w:val="18"/>
      </w:rPr>
      <w:instrText>PAGE</w:instrText>
    </w:r>
    <w:r>
      <w:rPr>
        <w:rFonts w:ascii="Verdana" w:eastAsia="Verdana" w:hAnsi="Verdana" w:cs="Verdana"/>
        <w:b/>
        <w:color w:val="000000"/>
        <w:sz w:val="18"/>
        <w:szCs w:val="18"/>
      </w:rPr>
      <w:fldChar w:fldCharType="separate"/>
    </w:r>
    <w:r w:rsidR="00A07F16">
      <w:rPr>
        <w:rFonts w:ascii="Verdana" w:eastAsia="Verdana" w:hAnsi="Verdana" w:cs="Verdana"/>
        <w:b/>
        <w:noProof/>
        <w:color w:val="000000"/>
        <w:sz w:val="18"/>
        <w:szCs w:val="18"/>
      </w:rPr>
      <w:t>1</w:t>
    </w:r>
    <w:r>
      <w:rPr>
        <w:rFonts w:ascii="Verdana" w:eastAsia="Verdana" w:hAnsi="Verdana" w:cs="Verdana"/>
        <w:b/>
        <w:color w:val="000000"/>
        <w:sz w:val="18"/>
        <w:szCs w:val="18"/>
      </w:rPr>
      <w:fldChar w:fldCharType="end"/>
    </w:r>
    <w:r>
      <w:rPr>
        <w:rFonts w:ascii="Verdana" w:eastAsia="Verdana" w:hAnsi="Verdana" w:cs="Verdana"/>
        <w:color w:val="000000"/>
        <w:sz w:val="18"/>
        <w:szCs w:val="18"/>
      </w:rPr>
      <w:t xml:space="preserve"> de </w:t>
    </w:r>
    <w:r>
      <w:rPr>
        <w:rFonts w:ascii="Verdana" w:eastAsia="Verdana" w:hAnsi="Verdana" w:cs="Verdana"/>
        <w:b/>
        <w:color w:val="000000"/>
        <w:sz w:val="18"/>
        <w:szCs w:val="18"/>
      </w:rPr>
      <w:fldChar w:fldCharType="begin"/>
    </w:r>
    <w:r>
      <w:rPr>
        <w:rFonts w:ascii="Verdana" w:eastAsia="Verdana" w:hAnsi="Verdana" w:cs="Verdana"/>
        <w:b/>
        <w:color w:val="000000"/>
        <w:sz w:val="18"/>
        <w:szCs w:val="18"/>
      </w:rPr>
      <w:instrText>NUMPAGES</w:instrText>
    </w:r>
    <w:r>
      <w:rPr>
        <w:rFonts w:ascii="Verdana" w:eastAsia="Verdana" w:hAnsi="Verdana" w:cs="Verdana"/>
        <w:b/>
        <w:color w:val="000000"/>
        <w:sz w:val="18"/>
        <w:szCs w:val="18"/>
      </w:rPr>
      <w:fldChar w:fldCharType="separate"/>
    </w:r>
    <w:r w:rsidR="00A07F16">
      <w:rPr>
        <w:rFonts w:ascii="Verdana" w:eastAsia="Verdana" w:hAnsi="Verdana" w:cs="Verdana"/>
        <w:b/>
        <w:noProof/>
        <w:color w:val="000000"/>
        <w:sz w:val="18"/>
        <w:szCs w:val="18"/>
      </w:rPr>
      <w:t>2</w:t>
    </w:r>
    <w:r>
      <w:rPr>
        <w:rFonts w:ascii="Verdana" w:eastAsia="Verdana" w:hAnsi="Verdana" w:cs="Verdana"/>
        <w:b/>
        <w:color w:val="000000"/>
        <w:sz w:val="18"/>
        <w:szCs w:val="18"/>
      </w:rPr>
      <w:fldChar w:fldCharType="end"/>
    </w:r>
  </w:p>
  <w:p w14:paraId="00000039" w14:textId="77777777" w:rsidR="00FD0348" w:rsidRDefault="0BC359BC" w:rsidP="0BC359BC">
    <w:pPr>
      <w:pBdr>
        <w:top w:val="nil"/>
        <w:left w:val="nil"/>
        <w:bottom w:val="nil"/>
        <w:right w:val="nil"/>
        <w:between w:val="nil"/>
      </w:pBdr>
      <w:tabs>
        <w:tab w:val="center" w:pos="4419"/>
        <w:tab w:val="right" w:pos="8838"/>
      </w:tabs>
      <w:spacing w:after="0" w:line="240" w:lineRule="auto"/>
      <w:jc w:val="right"/>
      <w:rPr>
        <w:rFonts w:ascii="Verdana" w:eastAsia="Verdana" w:hAnsi="Verdana" w:cs="Verdana"/>
        <w:color w:val="000000"/>
        <w:sz w:val="18"/>
        <w:szCs w:val="18"/>
        <w:lang w:val="es-ES"/>
      </w:rPr>
    </w:pPr>
    <w:r w:rsidRPr="0BC359BC">
      <w:rPr>
        <w:rFonts w:ascii="Verdana" w:eastAsia="Verdana" w:hAnsi="Verdana" w:cs="Verdana"/>
        <w:color w:val="000000" w:themeColor="text1"/>
        <w:sz w:val="18"/>
        <w:szCs w:val="18"/>
        <w:lang w:val="es-ES"/>
      </w:rPr>
      <w:t>F-M-INA-46:V5 17-02-2025</w:t>
    </w:r>
  </w:p>
  <w:p w14:paraId="0000003A" w14:textId="77777777" w:rsidR="00FD0348" w:rsidRDefault="00FD0348">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9086E" w14:textId="77777777" w:rsidR="000A15B4" w:rsidRDefault="000A15B4">
      <w:pPr>
        <w:spacing w:after="0" w:line="240" w:lineRule="auto"/>
      </w:pPr>
      <w:r>
        <w:separator/>
      </w:r>
    </w:p>
  </w:footnote>
  <w:footnote w:type="continuationSeparator" w:id="0">
    <w:p w14:paraId="29185A00" w14:textId="77777777" w:rsidR="000A15B4" w:rsidRDefault="000A15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3" w14:textId="77777777" w:rsidR="00FD0348" w:rsidRDefault="00000000">
    <w:pPr>
      <w:pBdr>
        <w:top w:val="nil"/>
        <w:left w:val="nil"/>
        <w:bottom w:val="nil"/>
        <w:right w:val="nil"/>
        <w:between w:val="nil"/>
      </w:pBdr>
      <w:tabs>
        <w:tab w:val="center" w:pos="4419"/>
        <w:tab w:val="right" w:pos="8838"/>
      </w:tabs>
      <w:spacing w:after="0" w:line="240" w:lineRule="auto"/>
      <w:rPr>
        <w:color w:val="000000"/>
      </w:rPr>
    </w:pPr>
    <w:r>
      <w:rPr>
        <w:noProof/>
      </w:rPr>
      <w:drawing>
        <wp:anchor distT="0" distB="0" distL="114300" distR="114300" simplePos="0" relativeHeight="251658240" behindDoc="0" locked="0" layoutInCell="1" hidden="0" allowOverlap="1" wp14:anchorId="5D191BBF" wp14:editId="274A5E24">
          <wp:simplePos x="0" y="0"/>
          <wp:positionH relativeFrom="column">
            <wp:posOffset>-664209</wp:posOffset>
          </wp:positionH>
          <wp:positionV relativeFrom="paragraph">
            <wp:posOffset>-262436</wp:posOffset>
          </wp:positionV>
          <wp:extent cx="7056663" cy="11657330"/>
          <wp:effectExtent l="0" t="0" r="0" b="0"/>
          <wp:wrapNone/>
          <wp:docPr id="20370334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56663" cy="1165733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6B0A60CB" wp14:editId="08304429">
              <wp:simplePos x="0" y="0"/>
              <wp:positionH relativeFrom="column">
                <wp:posOffset>-190499</wp:posOffset>
              </wp:positionH>
              <wp:positionV relativeFrom="paragraph">
                <wp:posOffset>1125220</wp:posOffset>
              </wp:positionV>
              <wp:extent cx="6101715" cy="710565"/>
              <wp:effectExtent l="0" t="0" r="0" b="0"/>
              <wp:wrapSquare wrapText="bothSides" distT="45720" distB="45720" distL="114300" distR="114300"/>
              <wp:docPr id="2037033422" name="Rectángulo 2037033422"/>
              <wp:cNvGraphicFramePr/>
              <a:graphic xmlns:a="http://schemas.openxmlformats.org/drawingml/2006/main">
                <a:graphicData uri="http://schemas.microsoft.com/office/word/2010/wordprocessingShape">
                  <wps:wsp>
                    <wps:cNvSpPr/>
                    <wps:spPr>
                      <a:xfrm>
                        <a:off x="2299905" y="3429480"/>
                        <a:ext cx="6092190" cy="701040"/>
                      </a:xfrm>
                      <a:prstGeom prst="rect">
                        <a:avLst/>
                      </a:prstGeom>
                      <a:solidFill>
                        <a:srgbClr val="FFFFFF"/>
                      </a:solidFill>
                      <a:ln>
                        <a:noFill/>
                      </a:ln>
                    </wps:spPr>
                    <wps:txbx>
                      <w:txbxContent>
                        <w:p w14:paraId="466BE030" w14:textId="77777777" w:rsidR="00FD0348" w:rsidRDefault="00000000">
                          <w:pPr>
                            <w:spacing w:line="255" w:lineRule="auto"/>
                            <w:ind w:right="50"/>
                            <w:jc w:val="center"/>
                            <w:textDirection w:val="btLr"/>
                          </w:pPr>
                          <w:r>
                            <w:rPr>
                              <w:rFonts w:ascii="Verdana" w:eastAsia="Verdana" w:hAnsi="Verdana" w:cs="Verdana"/>
                              <w:color w:val="000000"/>
                            </w:rPr>
                            <w:t>Por la cual se modifica la Resolución 0552 del 25 de mayo de 2022  “</w:t>
                          </w:r>
                          <w:r>
                            <w:rPr>
                              <w:rFonts w:ascii="Verdana" w:eastAsia="Verdana" w:hAnsi="Verdana" w:cs="Verdana"/>
                              <w:i/>
                              <w:color w:val="000000"/>
                            </w:rPr>
                            <w:t>Por la cual se implementa la operación de la Comisión de Estudio para la Promoción y Desarrollo de los Mercados de Carbono en Colombia</w:t>
                          </w:r>
                          <w:r>
                            <w:rPr>
                              <w:rFonts w:ascii="Verdana" w:eastAsia="Verdana" w:hAnsi="Verdana" w:cs="Verdana"/>
                              <w:color w:val="000000"/>
                            </w:rPr>
                            <w:t>”</w:t>
                          </w:r>
                        </w:p>
                      </w:txbxContent>
                    </wps:txbx>
                    <wps:bodyPr spcFirstLastPara="1" wrap="square" lIns="91425" tIns="45700" rIns="91425" bIns="45700" anchor="t" anchorCtr="0">
                      <a:noAutofit/>
                    </wps:bodyPr>
                  </wps:wsp>
                </a:graphicData>
              </a:graphic>
            </wp:anchor>
          </w:drawing>
        </mc:Choice>
        <mc:Fallback xmlns:a="http://schemas.openxmlformats.org/drawingml/2006/main" xmlns:pic="http://schemas.openxmlformats.org/drawingml/2006/picture">
          <w:pict w14:anchorId="4446057B">
            <v:rect id="Rectángulo 2037033422" style="position:absolute;margin-left:-15pt;margin-top:88.6pt;width:480.45pt;height:55.9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spid="_x0000_s1026" stroked="f" w14:anchorId="6B0A60C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WaQzwEAAIMDAAAOAAAAZHJzL2Uyb0RvYy54bWysU9uO2yAQfa/Uf0C8N77Ue3EUZ1XtKlWl&#10;VRtp2w/AGGIkDHQgsfP3HbB3k7ZvVf2AB89hOOfMePMwDZqcBHhlTUOLVU6JMNx2yhwa+uP77sM9&#10;JT4w0zFtjWjoWXj6sH3/bjO6tShtb3UngGAR49eja2gfgltnmee9GJhfWScMJqWFgQXcwiHrgI1Y&#10;fdBZmee32Wihc2C58B6/Ps1Juk31pRQ8fJPSi0B0Q5FbSCuktY1rtt2w9QGY6xVfaLB/YDEwZfDS&#10;t1JPLDByBPVXqUFxsN7KsOJ2yKyUioukAdUU+R9qXnrmRNKC5nj3ZpP/f2X519OL2wPaMDq/9hhG&#10;FZOEIb6RH5kaWpZ1Xec3lJwb+rEq6+p+MU5MgXAE3OZ1WdToL0fEHQqpEiC7VHLgw2dhBxKDhgI2&#10;JvnFTs8+4O0IfYXEi73VqtsprdMGDu2jBnJi2MRdemLf8MhvMG0i2Nh4bE7HL9lFV4zC1E6L2NZ2&#10;5z0Q7/hOIaln5sOeAXa/oGTEiWio/3lkICjRXwxaXhdViR6EtKlu7nLUC9eZ9jrDDO8tDlqgZA4f&#10;Qxq7meOnY7BSJeGR1UxlIYudTuKWqYyjdL1PqMu/s/0FAAD//wMAUEsDBBQABgAIAAAAIQAADQdh&#10;5QAAABABAAAPAAAAZHJzL2Rvd25yZXYueG1sTI/NTsMwEITvSLyDtUjcWrsp0CSNU6EibkiIAIKj&#10;Ey9JVP9EsZOGt2c5wWWl1czOzlccFmvYjGPovZOwWQtg6Bqve9dKeHt9XKXAQlROK+MdSvjGAIfy&#10;8qJQufZn94JzFVtGIS7kSkIX45BzHpoOrQprP6Aj7cuPVkVax5brUZ0p3BqeCHHHreodfejUgMcO&#10;m1M1WQlmFjfvH/XtZ1r1LT6dlvnop2cpr6+Whz2N+z2wiEv8u4BfBuoPJRWr/eR0YEbCaisIKJKw&#10;2yXAyJFtRQaslpCk2QZ4WfD/IOUPAAAA//8DAFBLAQItABQABgAIAAAAIQC2gziS/gAAAOEBAAAT&#10;AAAAAAAAAAAAAAAAAAAAAABbQ29udGVudF9UeXBlc10ueG1sUEsBAi0AFAAGAAgAAAAhADj9If/W&#10;AAAAlAEAAAsAAAAAAAAAAAAAAAAALwEAAF9yZWxzLy5yZWxzUEsBAi0AFAAGAAgAAAAhAGntZpDP&#10;AQAAgwMAAA4AAAAAAAAAAAAAAAAALgIAAGRycy9lMm9Eb2MueG1sUEsBAi0AFAAGAAgAAAAhAAAN&#10;B2HlAAAAEAEAAA8AAAAAAAAAAAAAAAAAKQQAAGRycy9kb3ducmV2LnhtbFBLBQYAAAAABAAEAPMA&#10;AAA7BQAAAAA=&#10;">
              <v:textbox inset="2.53958mm,1.2694mm,2.53958mm,1.2694mm">
                <w:txbxContent>
                  <w:p w:rsidR="00FD0348" w:rsidRDefault="00000000" w14:paraId="6E8E0318" w14:textId="77777777">
                    <w:pPr>
                      <w:spacing w:line="255" w:lineRule="auto"/>
                      <w:ind w:right="50"/>
                      <w:jc w:val="center"/>
                      <w:textDirection w:val="btLr"/>
                    </w:pPr>
                    <w:r>
                      <w:rPr>
                        <w:rFonts w:ascii="Verdana" w:hAnsi="Verdana" w:eastAsia="Verdana" w:cs="Verdana"/>
                        <w:color w:val="000000"/>
                      </w:rPr>
                      <w:t xml:space="preserve">Por la cual se modifica la Resolución 0552 del 25 de mayo de </w:t>
                    </w:r>
                    <w:proofErr w:type="gramStart"/>
                    <w:r>
                      <w:rPr>
                        <w:rFonts w:ascii="Verdana" w:hAnsi="Verdana" w:eastAsia="Verdana" w:cs="Verdana"/>
                        <w:color w:val="000000"/>
                      </w:rPr>
                      <w:t>2022  “</w:t>
                    </w:r>
                    <w:proofErr w:type="gramEnd"/>
                    <w:r>
                      <w:rPr>
                        <w:rFonts w:ascii="Verdana" w:hAnsi="Verdana" w:eastAsia="Verdana" w:cs="Verdana"/>
                        <w:i/>
                        <w:color w:val="000000"/>
                      </w:rPr>
                      <w:t>Por la cual se implementa la operación de la Comisión de Estudio para la Promoción y Desarrollo de los Mercados de Carbono en Colombia</w:t>
                    </w:r>
                    <w:r>
                      <w:rPr>
                        <w:rFonts w:ascii="Verdana" w:hAnsi="Verdana" w:eastAsia="Verdana" w:cs="Verdana"/>
                        <w:color w:val="000000"/>
                      </w:rPr>
                      <w:t>”</w:t>
                    </w:r>
                  </w:p>
                </w:txbxContent>
              </v:textbox>
              <w10:wrap type="squar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4" w14:textId="77777777" w:rsidR="00FD0348" w:rsidRDefault="00000000">
    <w:pPr>
      <w:pBdr>
        <w:top w:val="nil"/>
        <w:left w:val="nil"/>
        <w:bottom w:val="nil"/>
        <w:right w:val="nil"/>
        <w:between w:val="nil"/>
      </w:pBdr>
      <w:tabs>
        <w:tab w:val="center" w:pos="4419"/>
        <w:tab w:val="right" w:pos="8838"/>
      </w:tabs>
      <w:spacing w:after="0" w:line="240" w:lineRule="auto"/>
      <w:rPr>
        <w:color w:val="000000"/>
      </w:rPr>
    </w:pPr>
    <w:r>
      <w:rPr>
        <w:noProof/>
      </w:rPr>
      <w:drawing>
        <wp:anchor distT="0" distB="0" distL="114300" distR="114300" simplePos="0" relativeHeight="251660288" behindDoc="0" locked="0" layoutInCell="1" hidden="0" allowOverlap="1" wp14:anchorId="3EB38879" wp14:editId="088770EA">
          <wp:simplePos x="0" y="0"/>
          <wp:positionH relativeFrom="column">
            <wp:posOffset>-734059</wp:posOffset>
          </wp:positionH>
          <wp:positionV relativeFrom="paragraph">
            <wp:posOffset>-450214</wp:posOffset>
          </wp:positionV>
          <wp:extent cx="7120857" cy="11763375"/>
          <wp:effectExtent l="0" t="0" r="0" b="0"/>
          <wp:wrapNone/>
          <wp:docPr id="2037033423" name="image2.png" descr="Imagen que contiene Rectángul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Imagen que contiene Rectángulo&#10;&#10;Descripción generada automáticamente"/>
                  <pic:cNvPicPr preferRelativeResize="0"/>
                </pic:nvPicPr>
                <pic:blipFill>
                  <a:blip r:embed="rId1"/>
                  <a:srcRect/>
                  <a:stretch>
                    <a:fillRect/>
                  </a:stretch>
                </pic:blipFill>
                <pic:spPr>
                  <a:xfrm>
                    <a:off x="0" y="0"/>
                    <a:ext cx="7120857" cy="1176337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48"/>
    <w:rsid w:val="000065FD"/>
    <w:rsid w:val="00095E73"/>
    <w:rsid w:val="000A15B4"/>
    <w:rsid w:val="000A256A"/>
    <w:rsid w:val="000A74E7"/>
    <w:rsid w:val="000C2FD5"/>
    <w:rsid w:val="000D2573"/>
    <w:rsid w:val="000D65FD"/>
    <w:rsid w:val="000E1CF2"/>
    <w:rsid w:val="000F770D"/>
    <w:rsid w:val="00113B5B"/>
    <w:rsid w:val="0011553A"/>
    <w:rsid w:val="00120B26"/>
    <w:rsid w:val="00152945"/>
    <w:rsid w:val="001563B4"/>
    <w:rsid w:val="00163503"/>
    <w:rsid w:val="001B610B"/>
    <w:rsid w:val="001C19A2"/>
    <w:rsid w:val="00213EDD"/>
    <w:rsid w:val="00291256"/>
    <w:rsid w:val="002B4C60"/>
    <w:rsid w:val="002B736F"/>
    <w:rsid w:val="002C2F69"/>
    <w:rsid w:val="0032555E"/>
    <w:rsid w:val="00326C01"/>
    <w:rsid w:val="0034078A"/>
    <w:rsid w:val="00382A8E"/>
    <w:rsid w:val="00391F3B"/>
    <w:rsid w:val="003D7211"/>
    <w:rsid w:val="003E0450"/>
    <w:rsid w:val="003E20B2"/>
    <w:rsid w:val="00421C86"/>
    <w:rsid w:val="00455364"/>
    <w:rsid w:val="004679E8"/>
    <w:rsid w:val="004929D9"/>
    <w:rsid w:val="004B1181"/>
    <w:rsid w:val="004B2ECE"/>
    <w:rsid w:val="004C3E4B"/>
    <w:rsid w:val="005168BF"/>
    <w:rsid w:val="0051760B"/>
    <w:rsid w:val="00531922"/>
    <w:rsid w:val="00532442"/>
    <w:rsid w:val="005433FF"/>
    <w:rsid w:val="00585273"/>
    <w:rsid w:val="005B3B9B"/>
    <w:rsid w:val="005D6173"/>
    <w:rsid w:val="006140F4"/>
    <w:rsid w:val="0062418B"/>
    <w:rsid w:val="00651E2F"/>
    <w:rsid w:val="00663958"/>
    <w:rsid w:val="006728D3"/>
    <w:rsid w:val="00685CFC"/>
    <w:rsid w:val="006A6ED2"/>
    <w:rsid w:val="006C223E"/>
    <w:rsid w:val="006F28DB"/>
    <w:rsid w:val="0070195D"/>
    <w:rsid w:val="00701DAF"/>
    <w:rsid w:val="00745673"/>
    <w:rsid w:val="00747397"/>
    <w:rsid w:val="0079300C"/>
    <w:rsid w:val="007937BA"/>
    <w:rsid w:val="007967A0"/>
    <w:rsid w:val="007A4783"/>
    <w:rsid w:val="007D39F8"/>
    <w:rsid w:val="007E2F79"/>
    <w:rsid w:val="007E4520"/>
    <w:rsid w:val="008072D3"/>
    <w:rsid w:val="00825D31"/>
    <w:rsid w:val="00865195"/>
    <w:rsid w:val="00876359"/>
    <w:rsid w:val="00897C22"/>
    <w:rsid w:val="008C0E4C"/>
    <w:rsid w:val="00901526"/>
    <w:rsid w:val="00905CEC"/>
    <w:rsid w:val="00926D2D"/>
    <w:rsid w:val="00933FA4"/>
    <w:rsid w:val="009361DF"/>
    <w:rsid w:val="00965CE3"/>
    <w:rsid w:val="00987747"/>
    <w:rsid w:val="009C420B"/>
    <w:rsid w:val="00A07F16"/>
    <w:rsid w:val="00A136DA"/>
    <w:rsid w:val="00A14921"/>
    <w:rsid w:val="00A2206D"/>
    <w:rsid w:val="00A23501"/>
    <w:rsid w:val="00A463B9"/>
    <w:rsid w:val="00A475F5"/>
    <w:rsid w:val="00A94BAD"/>
    <w:rsid w:val="00B26CF6"/>
    <w:rsid w:val="00B66AA3"/>
    <w:rsid w:val="00B75A14"/>
    <w:rsid w:val="00B775DA"/>
    <w:rsid w:val="00B77C13"/>
    <w:rsid w:val="00B81CC2"/>
    <w:rsid w:val="00BA6A8B"/>
    <w:rsid w:val="00BB3712"/>
    <w:rsid w:val="00BC3613"/>
    <w:rsid w:val="00BC7B4D"/>
    <w:rsid w:val="00BE73CC"/>
    <w:rsid w:val="00BF06AD"/>
    <w:rsid w:val="00C37B2A"/>
    <w:rsid w:val="00C37FA1"/>
    <w:rsid w:val="00C945F2"/>
    <w:rsid w:val="00C95F0D"/>
    <w:rsid w:val="00CC1B7C"/>
    <w:rsid w:val="00CD1622"/>
    <w:rsid w:val="00D441DF"/>
    <w:rsid w:val="00D80713"/>
    <w:rsid w:val="00D82B94"/>
    <w:rsid w:val="00D95230"/>
    <w:rsid w:val="00E42E70"/>
    <w:rsid w:val="00E7401D"/>
    <w:rsid w:val="00E9699B"/>
    <w:rsid w:val="00E9719F"/>
    <w:rsid w:val="00E97A26"/>
    <w:rsid w:val="00ED1B0B"/>
    <w:rsid w:val="00EF385E"/>
    <w:rsid w:val="00F02858"/>
    <w:rsid w:val="00F8628D"/>
    <w:rsid w:val="00FD0348"/>
    <w:rsid w:val="00FE1C81"/>
    <w:rsid w:val="00FE519F"/>
    <w:rsid w:val="00FF11C7"/>
    <w:rsid w:val="0BC359B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B4CDA"/>
  <w15:docId w15:val="{229E33BB-F9A9-4E56-AF7C-D117D4D7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ES_tradnl" w:eastAsia="es-CO"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8CD"/>
    <w:rPr>
      <w:kern w:val="2"/>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2B2B9E"/>
    <w:pPr>
      <w:spacing w:after="0" w:line="240" w:lineRule="auto"/>
    </w:pPr>
    <w:rPr>
      <w:rFonts w:ascii="Arial" w:eastAsia="Times New Roman" w:hAnsi="Arial" w:cs="Arial"/>
      <w:color w:val="000000"/>
      <w:sz w:val="24"/>
      <w:szCs w:val="24"/>
      <w:lang w:eastAsia="es-ES"/>
    </w:rPr>
  </w:style>
  <w:style w:type="character" w:styleId="Refdecomentario">
    <w:name w:val="annotation reference"/>
    <w:basedOn w:val="Fuentedeprrafopredeter"/>
    <w:uiPriority w:val="99"/>
    <w:semiHidden/>
    <w:unhideWhenUsed/>
    <w:rsid w:val="005B097E"/>
    <w:rPr>
      <w:sz w:val="16"/>
      <w:szCs w:val="16"/>
    </w:rPr>
  </w:style>
  <w:style w:type="paragraph" w:styleId="Textocomentario">
    <w:name w:val="annotation text"/>
    <w:basedOn w:val="Normal"/>
    <w:link w:val="TextocomentarioCar"/>
    <w:uiPriority w:val="99"/>
    <w:semiHidden/>
    <w:unhideWhenUsed/>
    <w:rsid w:val="005B097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B097E"/>
    <w:rPr>
      <w:kern w:val="2"/>
      <w:sz w:val="20"/>
      <w:szCs w:val="20"/>
    </w:rPr>
  </w:style>
  <w:style w:type="paragraph" w:styleId="Asuntodelcomentario">
    <w:name w:val="annotation subject"/>
    <w:basedOn w:val="Textocomentario"/>
    <w:next w:val="Textocomentario"/>
    <w:link w:val="AsuntodelcomentarioCar"/>
    <w:uiPriority w:val="99"/>
    <w:semiHidden/>
    <w:unhideWhenUsed/>
    <w:rsid w:val="005B097E"/>
    <w:rPr>
      <w:b/>
      <w:bCs/>
    </w:rPr>
  </w:style>
  <w:style w:type="character" w:customStyle="1" w:styleId="AsuntodelcomentarioCar">
    <w:name w:val="Asunto del comentario Car"/>
    <w:basedOn w:val="TextocomentarioCar"/>
    <w:link w:val="Asuntodelcomentario"/>
    <w:uiPriority w:val="99"/>
    <w:semiHidden/>
    <w:rsid w:val="005B097E"/>
    <w:rPr>
      <w:b/>
      <w:bCs/>
      <w:kern w:val="2"/>
      <w:sz w:val="20"/>
      <w:szCs w:val="20"/>
    </w:rPr>
  </w:style>
  <w:style w:type="paragraph" w:styleId="Revisin">
    <w:name w:val="Revision"/>
    <w:hidden/>
    <w:uiPriority w:val="99"/>
    <w:semiHidden/>
    <w:rsid w:val="005B097E"/>
    <w:pPr>
      <w:spacing w:after="0" w:line="240" w:lineRule="auto"/>
    </w:pPr>
    <w:rPr>
      <w:kern w:val="2"/>
    </w:rPr>
  </w:style>
  <w:style w:type="paragraph" w:styleId="Prrafodelista">
    <w:name w:val="List Paragraph"/>
    <w:basedOn w:val="Normal"/>
    <w:uiPriority w:val="34"/>
    <w:qFormat/>
    <w:rsid w:val="00703AC0"/>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nn/XB62RVJtgVpoh7ZTFEipLQ==">CgMxLjAaJwoBMBIiCiAIBCocCgtBQUFCaTlzb1NnRRAIGgtBQUFCaTlzb1NnRRonCgExEiIKIAgEKhwKC0FBQUJpOXNvU2dvEAgaC0FBQUJpOXNvU2dvIqoRCgtBQUFCaTlzb1NnbxL7EAoLQUFBQmk5c29TZ28SC0FBQUJpOXNvU2dvGugECgl0ZXh0L2h0bWwS2gQxLiBFbCBtZWNhbmlzbW8gZGUgZGl2dWxnYWNpb24gZGViZXMgc2VyIG3DoXMgcHJlY2lzbywgcG9yIGVqLiAzIGV2ZW50b3MgZW4gdGVycml0b3Jpb3MgZGUgY29tdW5pZGFkZXMgY29uIHByb3llY3RvcyByZWRkKy4gMi4gVGFtcG9jbyBlcyByZWNvbWVuZGFibGUgcXVlIGxhIGRpdnVsZ2FjacOzbiBkZXBlbmRlIGRlIGxvcyBtZWRpb3MgZGUgYWNjZXNvIGRlIGxhIGNvbXVuaWRhZCAoeWEgcXVlIHNvbiBtdXkgbGltaXRhZG9zLCByZXF1ZXJpcmlhbiBkZSB0cmFkdWNjaW9uZXMgYSBvdHJhcyBsZW5ndWFzIHkgdW4gbXVzY3VsbyBwcmVzdXB1ZXN0YWwpIDMuIFRhbXBvY28gZGViZSBsaW1pdGFyc2UgYSBsYXMgY29tdW5pZGFkZXMgcXVlIHJlZmllcmEgZWwgaW5mb3JtZSwgZXN0YXJpYW1vcyBjcmVhbmRvIHVuYSBkaXNjcmltaW5hY2nDs24gcG9zaXRpdmEgaW5uZWNlc2FyaWEgeSBhZGVtw6FzIGRhbmRvIGx1Z2FyIGEgYWNjaW9uZXMganVyZGljaWFsZXMgcG9yIHBhcnRlIGRlIGxhcyBjb211bmlkYWRlcyBxdWUgZXN0ZW4gcmVsYWNpb25hZGFzIGVuIGVsIGluZm9ybWUgeSBubyBzZSB0ZW5nYW4gZW4gY3VlbnRhIHBhcmEgbGEgZGl2dWxnYWNpw7NuLiLpBAoKdGV4dC9wbGFpbhLaBDEuIEVsIG1lY2FuaXNtbyBkZSBkaXZ1bGdhY2lvbiBkZWJlcyBzZXIgbcOhcyBwcmVjaXNvLCBwb3IgZWouIDMgZXZlbnRvcyBlbiB0ZXJyaXRvcmlvcyBkZSBjb211bmlkYWRlcyBjb24gcHJveWVjdG9zIHJlZGQrLiAyLiBUYW1wb2NvIGVzIHJlY29tZW5kYWJsZSBxdWUgbGEgZGl2dWxnYWNpw7NuIGRlcGVuZGUgZGUgbG9zIG1lZGlvcyBkZSBhY2Nlc28gZGUgbGEgY29tdW5pZGFkICh5YSBxdWUgc29uIG11eSBsaW1pdGFkb3MsIHJlcXVlcmlyaWFuIGRlIHRyYWR1Y2Npb25lcyBhIG90cmFzIGxlbmd1YXMgeSB1biBtdXNjdWxvIHByZXN1cHVlc3RhbCkgMy4gVGFtcG9jbyBkZWJlIGxpbWl0YXJzZSBhIGxhcyBjb211bmlkYWRlcyBxdWUgcmVmaWVyYSBlbCBpbmZvcm1lLCBlc3RhcmlhbW9zIGNyZWFuZG8gdW5hIGRpc2NyaW1pbmFjacOzbiBwb3NpdGl2YSBpbm5lY2VzYXJpYSB5IGFkZW3DoXMgZGFuZG8gbHVnYXIgYSBhY2Npb25lcyBqdXJkaWNpYWxlcyBwb3IgcGFydGUgZGUgbGFzIGNvbXVuaWRhZGVzIHF1ZSBlc3RlbiByZWxhY2lvbmFkYXMgZW4gZWwgaW5mb3JtZSB5IG5vIHNlIHRlbmdhbiBlbiBjdWVudGEgcGFyYSBsYSBkaXZ1bGdhY2nDs24uKhsiFTEwMTIyNzIxMTE3NjY2MTY2MjUyNigAOAAw6fnH2uoyOOn5x9rqMkreAQoKdGV4dC9wbGFpbhLPAUVzdGUgaW5mb3JtZSBzZXLDoSBkaXZ1bGdhZG8gcG9yIGVsIE1pbmlzdGVyaW8gZGUgQW1iaWVudGUgeSBEZXNhcnJvbGxvIFNvc3RlbmlibGUsIGRlIG1hbmVyYSBhbXBsaWEgeSBzdWZpY2llbnRlIGVuIGRpZmVyZW50ZXMgbWVkaW9zIGEgbG9zIHF1ZSB0ZW5nYW4gYWNjZXNvIGxhcyBjb211bmlkYWRlcyBhIGxhcyBxdWUgc2UgcmVmaWVyYSBlbCBpbmZvcm1lLloMeGFkancxejA3OHhicgIgAHgAmgEGCAAQABgAqgHdBBLaBDEuIEVsIG1lY2FuaXNtbyBkZSBkaXZ1bGdhY2lvbiBkZWJlcyBzZXIgbcOhcyBwcmVjaXNvLCBwb3IgZWouIDMgZXZlbnRvcyBlbiB0ZXJyaXRvcmlvcyBkZSBjb211bmlkYWRlcyBjb24gcHJveWVjdG9zIHJlZGQrLiAyLiBUYW1wb2NvIGVzIHJlY29tZW5kYWJsZSBxdWUgbGEgZGl2dWxnYWNpw7NuIGRlcGVuZGUgZGUgbG9zIG1lZGlvcyBkZSBhY2Nlc28gZGUgbGEgY29tdW5pZGFkICh5YSBxdWUgc29uIG11eSBsaW1pdGFkb3MsIHJlcXVlcmlyaWFuIGRlIHRyYWR1Y2Npb25lcyBhIG90cmFzIGxlbmd1YXMgeSB1biBtdXNjdWxvIHByZXN1cHVlc3RhbCkgMy4gVGFtcG9jbyBkZWJlIGxpbWl0YXJzZSBhIGxhcyBjb211bmlkYWRlcyBxdWUgcmVmaWVyYSBlbCBpbmZvcm1lLCBlc3RhcmlhbW9zIGNyZWFuZG8gdW5hIGRpc2NyaW1pbmFjacOzbiBwb3NpdGl2YSBpbm5lY2VzYXJpYSB5IGFkZW3DoXMgZGFuZG8gbHVnYXIgYSBhY2Npb25lcyBqdXJkaWNpYWxlcyBwb3IgcGFydGUgZGUgbGFzIGNvbXVuaWRhZGVzIHF1ZSBlc3RlbiByZWxhY2lvbmFkYXMgZW4gZWwgaW5mb3JtZSB5IG5vIHNlIHRlbmdhbiBlbiBjdWVudGEgcGFyYSBsYSBkaXZ1bGdhY2nDs24uGOn5x9rqMiDp+cfa6jJCD2tpeC45OWZxOHB1cnYzYSLtHAoLQUFBQmk5c29TZ0USvRwKC0FBQUJpOXNvU2dFEgtBQUFCaTlzb1NnRRqbCQoJdGV4dC9odG1sEo0JTGEgb3JkZW4gMTAgZGUgbGEgc3RjIFQgMjQ4IC0gMjAyNCBvcmRlbmEgJnF1b3Q7RXN0ZSBpbmZvcm1lIGRlYmVyw6EgcGVybWl0aXIgbGEgcGFydGljaXBhY2nDs24sIGNvbW8gbcOtbmltbywgZGUgbGEgc29jaWVkYWQgY2l2aWwsIGxhIGFjYWRlbWlhLCByZXByZXNlbnRhbnRlcyBkZSBwdWVibG9zIGluZMOtZ2VuYXMgeSBvdHJhcyBlbnRpZGFkZXMgaW52b2x1Y3JhZGFzIGVuIGxvcyBwcm95ZWN0b3MgUkVERCsmcXVvdDsgc2Ugc3VnaWVyZSBpbmNsdWlyIGN1YWwgc2VyaWEgZWwgbWVjYW5pc21vIGRlIHBhcnRpY2lwYWNpw7NuIGRlIGVzdG9zIGFjdG9yZXMgcXVlIG5vIG5lY2VzYXJpYW1lbnRlIGVzdGFuIHJlcHJlc2VudGFkb3MgcG9yIGxvcyBtaWVtYnJvcyBkZSBsYSBjb21pc2nDs24gKHggZWouIG1lc2FzIGRlIHRyYWJham8sIGVudHJlZ2EgZGUgaW5mb3JtZXMgbyBkb2N1bWVudG9zIGRlIGFuw6FsaXNpcyk6IFByb3BvbmdvIGluY2x1aXJsbyBjb24gYWxndW5hIGRlIGVzdGFzIHZpYXM6IDEuIGHDsWFkaXIgYSBlc3RlIHBhcmFncmFmbyAmcXVvdDtxdWUgY3VlbnRlIGNvbiBsYSBwYXJ0aWNpcGFjacOzbiBjb21vIG3DrW5pbW8sIGRlIGxhIHNvY2llZGFkIGNpdmlsLCBsYSBhY2FkZW1pYSwgcmVwcmVzZW50YW50ZXMgZGUgcHVlYmxvcyBpbmTDrWdlbmFzIHkgb3RyYXMgZW50aWRhZGVzIGludm9sdWNyYWRhcyBlbiBsb3MgcHJveWVjdG9zIFJFREQrJnF1b3Q7wqAgwqAyLiBDb21vIG9ibGlnYWNpb24gZGUgbGEgY29taXNpb24gZ2FyYW50aXphciBsYSBwYXJ0aWNpcGFjaW9uIGRlIGVzdG9zIGFjdG9yZXMgbW9kaWZpY2FuZG8gZWwgYXJ0LiAzIGRlIGxhIFJlcy4gNTUyIGRlIDIwMjIgbyAzLiBpbmNsdWlybG8gZW4gbGEgbW9kaWZpY2FjacOzbiBkZWwgcmVnbGFtZW50byBvcGVyYXRpdm8uIFBlcm8gZGViZSBxdWVkYXIgY2xhcm8gcXVlIGVsIGVzdGFuZGFyIGRlIGxhIHBhcnRpY2lwYWNpw7JuIG5vIHNlIGN1bXBsZSBjb24gbGEgc29sYSBleGlzdGVuY2lhIGRlIGxhIGNvbWlzaW9uIHkgc3UgZGl2ZXJzaWRhZCBkZSB2b2Nlcywgc2lubywgY29uIHN1IGNhcGFjaWRhZCBkZSBlbGFib3JhciB1biBpbmZvcm1lIHF1ZSB0ZW5nYSBlbiBjdWVudGEgbGFzIHZvY2VzIGRlIGxvcyBhY3RvcmVzIGVudW5jaWFkb3MgZW4gbGEgc3RjLiKICQoKdGV4dC9wbGFpbhL5CExhIG9yZGVuIDEwIGRlIGxhIHN0YyBUIDI0OCAtIDIwMjQgb3JkZW5hICJFc3RlIGluZm9ybWUgZGViZXLDoSBwZXJtaXRpciBsYSBwYXJ0aWNpcGFjacOzbiwgY29tbyBtw61uaW1vLCBkZSBsYSBzb2NpZWRhZCBjaXZpbCwgbGEgYWNhZGVtaWEsIHJlcHJlc2VudGFudGVzIGRlIHB1ZWJsb3MgaW5kw61nZW5hcyB5IG90cmFzIGVudGlkYWRlcyBpbnZvbHVjcmFkYXMgZW4gbG9zIHByb3llY3RvcyBSRUREKyIgc2Ugc3VnaWVyZSBpbmNsdWlyIGN1YWwgc2VyaWEgZWwgbWVjYW5pc21vIGRlIHBhcnRpY2lwYWNpw7NuIGRlIGVzdG9zIGFjdG9yZXMgcXVlIG5vIG5lY2VzYXJpYW1lbnRlIGVzdGFuIHJlcHJlc2VudGFkb3MgcG9yIGxvcyBtaWVtYnJvcyBkZSBsYSBjb21pc2nDs24gKHggZWouIG1lc2FzIGRlIHRyYWJham8sIGVudHJlZ2EgZGUgaW5mb3JtZXMgbyBkb2N1bWVudG9zIGRlIGFuw6FsaXNpcyk6IFByb3BvbmdvIGluY2x1aXJsbyBjb24gYWxndW5hIGRlIGVzdGFzIHZpYXM6IDEuIGHDsWFkaXIgYSBlc3RlIHBhcmFncmFmbyAicXVlIGN1ZW50ZSBjb24gbGEgcGFydGljaXBhY2nDs24gY29tbyBtw61uaW1vLCBkZSBsYSBzb2NpZWRhZCBjaXZpbCwgbGEgYWNhZGVtaWEsIHJlcHJlc2VudGFudGVzIGRlIHB1ZWJsb3MgaW5kw61nZW5hcyB5IG90cmFzIGVudGlkYWRlcyBpbnZvbHVjcmFkYXMgZW4gbG9zIHByb3llY3RvcyBSRUREKyLCoCDCoDIuIENvbW8gb2JsaWdhY2lvbiBkZSBsYSBjb21pc2lvbiBnYXJhbnRpemFyIGxhIHBhcnRpY2lwYWNpb24gZGUgZXN0b3MgYWN0b3JlcyBtb2RpZmljYW5kbyBlbCBhcnQuIDMgZGUgbGEgUmVzLiA1NTIgZGUgMjAyMiBvIDMuIGluY2x1aXJsbyBlbiBsYSBtb2RpZmljYWNpw7NuIGRlbCByZWdsYW1lbnRvIG9wZXJhdGl2by4gUGVybyBkZWJlIHF1ZWRhciBjbGFybyBxdWUgZWwgZXN0YW5kYXIgZGUgbGEgcGFydGljaXBhY2nDsm4gbm8gc2UgY3VtcGxlIGNvbiBsYSBzb2xhIGV4aXN0ZW5jaWEgZGUgbGEgY29taXNpb24geSBzdSBkaXZlcnNpZGFkIGRlIHZvY2VzLCBzaW5vLCBjb24gc3UgY2FwYWNpZGFkIGRlIGVsYWJvcmFyIHVuIGluZm9ybWUgcXVlIHRlbmdhIGVuIGN1ZW50YSBsYXMgdm9jZXMgZGUgbG9zIGFjdG9yZXMgZW51bmNpYWRvcyBlbiBsYSBzdGMuKhsiFTEwMTIyNzIxMTE3NjY2MTY2MjUyNigAOAAwgJer2uoyOICXq9rqMkocCgp0ZXh0L3BsYWluEg7igJxQQVLDgUdSQUZPLloMdTdydGE5YXIyNHN4cgIgAHgAmgEGCAAQABgAqgGQCRKNCUxhIG9yZGVuIDEwIGRlIGxhIHN0YyBUIDI0OCAtIDIwMjQgb3JkZW5hICZxdW90O0VzdGUgaW5mb3JtZSBkZWJlcsOhIHBlcm1pdGlyIGxhIHBhcnRpY2lwYWNpw7NuLCBjb21vIG3DrW5pbW8sIGRlIGxhIHNvY2llZGFkIGNpdmlsLCBsYSBhY2FkZW1pYSwgcmVwcmVzZW50YW50ZXMgZGUgcHVlYmxvcyBpbmTDrWdlbmFzIHkgb3RyYXMgZW50aWRhZGVzIGludm9sdWNyYWRhcyBlbiBsb3MgcHJveWVjdG9zIFJFREQrJnF1b3Q7IHNlIHN1Z2llcmUgaW5jbHVpciBjdWFsIHNlcmlhIGVsIG1lY2FuaXNtbyBkZSBwYXJ0aWNpcGFjacOzbiBkZSBlc3RvcyBhY3RvcmVzIHF1ZSBubyBuZWNlc2FyaWFtZW50ZSBlc3RhbiByZXByZXNlbnRhZG9zIHBvciBsb3MgbWllbWJyb3MgZGUgbGEgY29taXNpw7NuICh4IGVqLiBtZXNhcyBkZSB0cmFiYWpvLCBlbnRyZWdhIGRlIGluZm9ybWVzIG8gZG9jdW1lbnRvcyBkZSBhbsOhbGlzaXMpOiBQcm9wb25nbyBpbmNsdWlybG8gY29uIGFsZ3VuYSBkZSBlc3RhcyB2aWFzOiAxLiBhw7FhZGlyIGEgZXN0ZSBwYXJhZ3JhZm8gJnF1b3Q7cXVlIGN1ZW50ZSBjb24gbGEgcGFydGljaXBhY2nDs24gY29tbyBtw61uaW1vLCBkZSBsYSBzb2NpZWRhZCBjaXZpbCwgbGEgYWNhZGVtaWEsIHJlcHJlc2VudGFudGVzIGRlIHB1ZWJsb3MgaW5kw61nZW5hcyB5IG90cmFzIGVudGlkYWRlcyBpbnZvbHVjcmFkYXMgZW4gbG9zIHByb3llY3RvcyBSRUREKyZxdW90O8KgIMKgMi4gQ29tbyBvYmxpZ2FjaW9uIGRlIGxhIGNvbWlzaW9uIGdhcmFudGl6YXIgbGEgcGFydGljaXBhY2lvbiBkZSBlc3RvcyBhY3RvcmVzIG1vZGlmaWNhbmRvIGVsIGFydC4gMyBkZSBsYSBSZXMuIDU1MiBkZSAyMDIyIG8gMy4gaW5jbHVpcmxvIGVuIGxhIG1vZGlmaWNhY2nDs24gZGVsIHJlZ2xhbWVudG8gb3BlcmF0aXZvLiBQZXJvIGRlYmUgcXVlZGFyIGNsYXJvIHF1ZSBlbCBlc3RhbmRhciBkZSBsYSBwYXJ0aWNpcGFjacOybiBubyBzZSBjdW1wbGUgY29uIGxhIHNvbGEgZXhpc3RlbmNpYSBkZSBsYSBjb21pc2lvbiB5IHN1IGRpdmVyc2lkYWQgZGUgdm9jZXMsIHNpbm8sIGNvbiBzdSBjYXBhY2lkYWQgZGUgZWxhYm9yYXIgdW4gaW5mb3JtZSBxdWUgdGVuZ2EgZW4gY3VlbnRhIGxhcyB2b2NlcyBkZSBsb3MgYWN0b3JlcyBlbnVuY2lhZG9zIGVuIGxhIHN0Yy4YgJer2uoyIICXq9rqMkIQa2l4LnY1NzYzdjVsNDNyNDgAciExYXlHREZNQTdFdXRQVGw4cE81Mm9QZVRVdlpPM2VDU1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0ABC1C6-1F60-4E5E-8A52-BAE515661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1383</Words>
  <Characters>7612</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Ambiente</dc:creator>
  <cp:lastModifiedBy>Diana Milena Holguin Alfonso</cp:lastModifiedBy>
  <cp:revision>3</cp:revision>
  <dcterms:created xsi:type="dcterms:W3CDTF">2025-12-01T20:19:00Z</dcterms:created>
  <dcterms:modified xsi:type="dcterms:W3CDTF">2025-12-01T20:35:00Z</dcterms:modified>
</cp:coreProperties>
</file>