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Verdana" w:hAnsi="Verdana"/>
          <w:sz w:val="24"/>
          <w:szCs w:val="24"/>
          <w:lang w:val="es-ES"/>
        </w:rPr>
        <w:id w:val="-827902970"/>
        <w:docPartObj>
          <w:docPartGallery w:val="Table of Contents"/>
          <w:docPartUnique/>
        </w:docPartObj>
      </w:sdtPr>
      <w:sdtEndPr>
        <w:rPr>
          <w:rFonts w:ascii="Verdana" w:hAnsi="Verdana" w:eastAsia="Calibri" w:cs="" w:eastAsiaTheme="minorAscii" w:cstheme="minorBidi"/>
          <w:b w:val="1"/>
          <w:bCs w:val="1"/>
          <w:color w:val="auto"/>
          <w:kern w:val="2"/>
          <w:sz w:val="24"/>
          <w:szCs w:val="24"/>
          <w:lang w:val="es-ES" w:eastAsia="en-US"/>
          <w14:ligatures w14:val="standardContextual"/>
        </w:rPr>
      </w:sdtEndPr>
      <w:sdtContent>
        <w:p w:rsidRPr="00ED3E24" w:rsidR="00A07468" w:rsidP="00ED3E24" w:rsidRDefault="00A07468" w14:paraId="6C2680E3" w14:textId="7748169A">
          <w:pPr>
            <w:pStyle w:val="TtuloTDC"/>
            <w:spacing w:line="360" w:lineRule="auto"/>
            <w:jc w:val="center"/>
            <w:rPr>
              <w:rFonts w:ascii="Verdana" w:hAnsi="Verdana"/>
              <w:b/>
              <w:bCs/>
              <w:color w:val="auto"/>
              <w:sz w:val="24"/>
              <w:szCs w:val="24"/>
            </w:rPr>
          </w:pPr>
          <w:r w:rsidRPr="00ED3E24">
            <w:rPr>
              <w:rFonts w:ascii="Verdana" w:hAnsi="Verdana"/>
              <w:b/>
              <w:bCs/>
              <w:color w:val="auto"/>
              <w:sz w:val="24"/>
              <w:szCs w:val="24"/>
              <w:lang w:val="es-ES"/>
            </w:rPr>
            <w:t>Contenido</w:t>
          </w:r>
        </w:p>
        <w:p w:rsidRPr="00ED3E24" w:rsidR="00ED3E24" w:rsidP="00ED3E24" w:rsidRDefault="00A07468" w14:paraId="606CD0EC" w14:textId="5E72F310">
          <w:pPr>
            <w:pStyle w:val="TDC1"/>
            <w:tabs>
              <w:tab w:val="left" w:pos="440"/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r w:rsidRPr="00ED3E24">
            <w:rPr>
              <w:rFonts w:ascii="Verdana" w:hAnsi="Verdana"/>
              <w:sz w:val="24"/>
              <w:szCs w:val="24"/>
            </w:rPr>
            <w:fldChar w:fldCharType="begin"/>
          </w:r>
          <w:r w:rsidRPr="00ED3E24">
            <w:rPr>
              <w:rFonts w:ascii="Verdana" w:hAnsi="Verdana"/>
              <w:sz w:val="24"/>
              <w:szCs w:val="24"/>
            </w:rPr>
            <w:instrText xml:space="preserve"> TOC \o "1-3" \h \z \u </w:instrText>
          </w:r>
          <w:r w:rsidRPr="00ED3E24">
            <w:rPr>
              <w:rFonts w:ascii="Verdana" w:hAnsi="Verdana"/>
              <w:sz w:val="24"/>
              <w:szCs w:val="24"/>
            </w:rPr>
            <w:fldChar w:fldCharType="separate"/>
          </w:r>
          <w:hyperlink w:history="1" w:anchor="_Toc211063409">
            <w:r w:rsidRPr="00ED3E24" w:rsid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ES_tradnl" w:eastAsia="es-ES"/>
              </w:rPr>
              <w:t>1.</w:t>
            </w:r>
            <w:r w:rsidRPr="00ED3E24" w:rsidR="00ED3E24">
              <w:rPr>
                <w:rFonts w:ascii="Verdana" w:hAnsi="Verdana" w:eastAsiaTheme="minorEastAsia"/>
                <w:noProof/>
                <w:sz w:val="24"/>
                <w:szCs w:val="24"/>
                <w:lang w:eastAsia="es-CO"/>
              </w:rPr>
              <w:tab/>
            </w:r>
            <w:r w:rsidRPr="00ED3E24" w:rsidR="00ED3E24">
              <w:rPr>
                <w:rStyle w:val="Hipervnculo"/>
                <w:rFonts w:ascii="Verdana" w:hAnsi="Verdana"/>
                <w:noProof/>
                <w:sz w:val="24"/>
                <w:szCs w:val="24"/>
              </w:rPr>
              <w:t>Contexto</w:t>
            </w:r>
            <w:r w:rsidRPr="00ED3E24" w:rsid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ES_tradnl" w:eastAsia="es-ES"/>
              </w:rPr>
              <w:t xml:space="preserve"> general</w:t>
            </w:r>
            <w:r w:rsidRPr="00ED3E24" w:rsid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 w:rsid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 w:rsid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_Toc211063409 \h </w:instrText>
            </w:r>
            <w:r w:rsidRPr="00ED3E24" w:rsid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 w:rsid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 w:rsidR="00ED3E24">
              <w:rPr>
                <w:rFonts w:ascii="Verdana" w:hAnsi="Verdana"/>
                <w:noProof/>
                <w:webHidden/>
                <w:sz w:val="24"/>
                <w:szCs w:val="24"/>
              </w:rPr>
              <w:t>2</w:t>
            </w:r>
            <w:r w:rsidRPr="00ED3E24" w:rsid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4997D942" w14:textId="06E238A3">
          <w:pPr>
            <w:pStyle w:val="TDC1"/>
            <w:tabs>
              <w:tab w:val="left" w:pos="440"/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10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ES_tradnl" w:eastAsia="es-ES"/>
              </w:rPr>
              <w:t>2.</w:t>
            </w:r>
            <w:r w:rsidRPr="00ED3E24">
              <w:rPr>
                <w:rFonts w:ascii="Verdana" w:hAnsi="Verdana" w:eastAsiaTheme="minorEastAsia"/>
                <w:noProof/>
                <w:sz w:val="24"/>
                <w:szCs w:val="24"/>
                <w:lang w:eastAsia="es-CO"/>
              </w:rPr>
              <w:tab/>
            </w:r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ES_tradnl" w:eastAsia="es-ES"/>
              </w:rPr>
              <w:t>Relación entre la Ley 2374 y el Fondo SINAPYBA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_Toc211063410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2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6176858D" w14:textId="2B0F8A5B">
          <w:pPr>
            <w:pStyle w:val="TDC1"/>
            <w:tabs>
              <w:tab w:val="left" w:pos="440"/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11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ES_tradnl" w:eastAsia="es-ES"/>
              </w:rPr>
              <w:t>3.</w:t>
            </w:r>
            <w:r w:rsidRPr="00ED3E24">
              <w:rPr>
                <w:rFonts w:ascii="Verdana" w:hAnsi="Verdana" w:eastAsiaTheme="minorEastAsia"/>
                <w:noProof/>
                <w:sz w:val="24"/>
                <w:szCs w:val="24"/>
                <w:lang w:eastAsia="es-CO"/>
              </w:rPr>
              <w:tab/>
            </w:r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ES_tradnl" w:eastAsia="es-ES"/>
              </w:rPr>
              <w:t>Compromisos interministeriales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_Toc211063411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4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1AEE647E" w14:textId="1FBBF5B2">
          <w:pPr>
            <w:pStyle w:val="TDC1"/>
            <w:tabs>
              <w:tab w:val="left" w:pos="440"/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12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ES_tradnl" w:eastAsia="es-ES"/>
              </w:rPr>
              <w:t>4.</w:t>
            </w:r>
            <w:r w:rsidRPr="00ED3E24">
              <w:rPr>
                <w:rFonts w:ascii="Verdana" w:hAnsi="Verdana" w:eastAsiaTheme="minorEastAsia"/>
                <w:noProof/>
                <w:sz w:val="24"/>
                <w:szCs w:val="24"/>
                <w:lang w:eastAsia="es-CO"/>
              </w:rPr>
              <w:tab/>
            </w:r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ES_tradnl" w:eastAsia="es-ES"/>
              </w:rPr>
              <w:t>Proceso participativo y técnico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_Toc211063412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4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4691E953" w14:textId="4C255BF4">
          <w:pPr>
            <w:pStyle w:val="TDC1"/>
            <w:tabs>
              <w:tab w:val="left" w:pos="440"/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13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ES_tradnl" w:eastAsia="es-ES"/>
              </w:rPr>
              <w:t>5.</w:t>
            </w:r>
            <w:r w:rsidRPr="00ED3E24">
              <w:rPr>
                <w:rFonts w:ascii="Verdana" w:hAnsi="Verdana" w:eastAsiaTheme="minorEastAsia"/>
                <w:noProof/>
                <w:sz w:val="24"/>
                <w:szCs w:val="24"/>
                <w:lang w:eastAsia="es-CO"/>
              </w:rPr>
              <w:tab/>
            </w:r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ES_tradnl" w:eastAsia="es-ES"/>
              </w:rPr>
              <w:t>Fundamento jurídico y competencial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_Toc211063413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5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66B0EDCA" w14:textId="1599E69D">
          <w:pPr>
            <w:pStyle w:val="TDC2"/>
            <w:tabs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14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ES_tradnl" w:eastAsia="es-ES"/>
              </w:rPr>
              <w:t>5.1. Marco normativo principal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_Toc211063414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5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2C9F5A04" w14:textId="0ACD6A1F">
          <w:pPr>
            <w:pStyle w:val="TDC2"/>
            <w:tabs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15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ES_tradnl" w:eastAsia="es-ES"/>
              </w:rPr>
              <w:t>5.2. Competencias institucionales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_Toc211063415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7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784D1A0D" w14:textId="3D078B36">
          <w:pPr>
            <w:pStyle w:val="TDC2"/>
            <w:tabs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16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ES_tradnl" w:eastAsia="es-ES"/>
              </w:rPr>
              <w:t>5.3. Justificación de la resolución interministerial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_Toc211063416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8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40ED5351" w14:textId="3D9B1ABB">
          <w:pPr>
            <w:pStyle w:val="TDC1"/>
            <w:tabs>
              <w:tab w:val="left" w:pos="440"/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17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MX" w:eastAsia="es-ES"/>
              </w:rPr>
              <w:t>6.</w:t>
            </w:r>
            <w:r w:rsidRPr="00ED3E24">
              <w:rPr>
                <w:rFonts w:ascii="Verdana" w:hAnsi="Verdana" w:eastAsiaTheme="minorEastAsia"/>
                <w:noProof/>
                <w:sz w:val="24"/>
                <w:szCs w:val="24"/>
                <w:lang w:eastAsia="es-CO"/>
              </w:rPr>
              <w:tab/>
            </w:r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MX" w:eastAsia="es-ES"/>
              </w:rPr>
              <w:t>Diagnóstico y análisis del contexto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_Toc211063417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9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6BA22829" w14:textId="4F95BBEE">
          <w:pPr>
            <w:pStyle w:val="TDC2"/>
            <w:tabs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18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MX" w:eastAsia="es-ES"/>
              </w:rPr>
              <w:t>6.1. Antecedentes del proceso de reglamentación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_Toc211063418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9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46EB8FA6" w14:textId="3E22A04D">
          <w:pPr>
            <w:pStyle w:val="TDC2"/>
            <w:tabs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19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MX" w:eastAsia="es-ES"/>
              </w:rPr>
              <w:t>6.2. Cronología de las acciones interinstitucionales (julio 2024 – octubre 2025)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_Toc211063419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9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55F2BCBA" w14:textId="494C0848">
          <w:pPr>
            <w:pStyle w:val="TDC2"/>
            <w:tabs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20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MX" w:eastAsia="es-ES"/>
              </w:rPr>
              <w:t>6.3. Problemáticas y limitaciones identificadas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_Toc211063420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10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5C3F1B36" w14:textId="1981BF3D">
          <w:pPr>
            <w:pStyle w:val="TDC2"/>
            <w:tabs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21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MX" w:eastAsia="es-ES"/>
              </w:rPr>
              <w:t>6.4. Avances institucionales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_Toc211063421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11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7C03D92E" w14:textId="01143A13">
          <w:pPr>
            <w:pStyle w:val="TDC2"/>
            <w:tabs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22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MX" w:eastAsia="es-ES"/>
              </w:rPr>
              <w:t>6.5. Estado actual (octubre de 2025)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_Toc211063422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11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3AAFAF80" w14:textId="4A067A63">
          <w:pPr>
            <w:pStyle w:val="TDC1"/>
            <w:tabs>
              <w:tab w:val="left" w:pos="440"/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23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MX" w:eastAsia="es-ES"/>
              </w:rPr>
              <w:t>7.</w:t>
            </w:r>
            <w:r w:rsidRPr="00ED3E24">
              <w:rPr>
                <w:rFonts w:ascii="Verdana" w:hAnsi="Verdana" w:eastAsiaTheme="minorEastAsia"/>
                <w:noProof/>
                <w:sz w:val="24"/>
                <w:szCs w:val="24"/>
                <w:lang w:eastAsia="es-CO"/>
              </w:rPr>
              <w:tab/>
            </w:r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MX" w:eastAsia="es-ES"/>
              </w:rPr>
              <w:t>Fundamento técnico y científico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_Toc211063423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12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00EC89A9" w14:textId="7FF28B0D">
          <w:pPr>
            <w:pStyle w:val="TDC2"/>
            <w:tabs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24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MX" w:eastAsia="es-ES"/>
              </w:rPr>
              <w:t>7.2. Protocolos quirúrgicos nacionales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_Toc211063424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12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0D69C8CD" w14:textId="63AC566D">
          <w:pPr>
            <w:pStyle w:val="TDC2"/>
            <w:tabs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25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MX" w:eastAsia="es-ES"/>
              </w:rPr>
              <w:t>7.3. Lineamientos de bioseguridad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_Toc211063425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14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2E4920FD" w14:textId="766D1A95">
          <w:pPr>
            <w:pStyle w:val="TDC2"/>
            <w:tabs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26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MX" w:eastAsia="es-ES"/>
              </w:rPr>
              <w:t>7.4. Líneas especiales de intervención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_Toc211063426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14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468357F3" w14:textId="224867CE">
          <w:pPr>
            <w:pStyle w:val="TDC2"/>
            <w:tabs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27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MX" w:eastAsia="es-ES"/>
              </w:rPr>
              <w:t>7.5. Estándares técnicos mínimos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_Toc211063427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15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37D1D2CB" w14:textId="2B68419F">
          <w:pPr>
            <w:pStyle w:val="TDC2"/>
            <w:tabs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28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MX" w:eastAsia="es-ES"/>
              </w:rPr>
              <w:t>7.6. Evaluación técnica y seguimiento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_Toc211063428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15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079078E3" w14:textId="72CC40D5">
          <w:pPr>
            <w:pStyle w:val="TDC1"/>
            <w:tabs>
              <w:tab w:val="left" w:pos="440"/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29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MX" w:eastAsia="es-ES"/>
              </w:rPr>
              <w:t>8.</w:t>
            </w:r>
            <w:r w:rsidRPr="00ED3E24">
              <w:rPr>
                <w:rFonts w:ascii="Verdana" w:hAnsi="Verdana" w:eastAsiaTheme="minorEastAsia"/>
                <w:noProof/>
                <w:sz w:val="24"/>
                <w:szCs w:val="24"/>
                <w:lang w:eastAsia="es-CO"/>
              </w:rPr>
              <w:tab/>
            </w:r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MX" w:eastAsia="es-ES"/>
              </w:rPr>
              <w:t>Fundamento económico y financiero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_Toc211063429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16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4C7A4659" w14:textId="5295E938">
          <w:pPr>
            <w:pStyle w:val="TDC2"/>
            <w:tabs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30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MX" w:eastAsia="es-ES"/>
              </w:rPr>
              <w:t>8.1. Enfoque general de sostenibilidad financiera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_Toc211063430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16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09E9B2C8" w14:textId="741FFA99">
          <w:pPr>
            <w:pStyle w:val="TDC2"/>
            <w:tabs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31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MX" w:eastAsia="es-ES"/>
              </w:rPr>
              <w:t>8.3. Fuentes de financiación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_Toc211063431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17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657C4C17" w14:textId="193EC8C6">
          <w:pPr>
            <w:pStyle w:val="TDC2"/>
            <w:tabs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32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MX" w:eastAsia="es-ES"/>
              </w:rPr>
              <w:t>8.4. Análisis de costos y requerimientos financieros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_Toc211063432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17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6C7FF95A" w14:textId="2A6AF17A">
          <w:pPr>
            <w:pStyle w:val="TDC2"/>
            <w:tabs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33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MX" w:eastAsia="es-ES"/>
              </w:rPr>
              <w:t>8.5. Restricciones presupuestales y oportunidades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_Toc211063433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18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ED3E24" w:rsidP="00ED3E24" w:rsidRDefault="00ED3E24" w14:paraId="048DDA39" w14:textId="22FF8457">
          <w:pPr>
            <w:pStyle w:val="TDC2"/>
            <w:tabs>
              <w:tab w:val="right" w:leader="dot" w:pos="8828"/>
            </w:tabs>
            <w:spacing w:line="360" w:lineRule="auto"/>
            <w:rPr>
              <w:rFonts w:ascii="Verdana" w:hAnsi="Verdana" w:eastAsiaTheme="minorEastAsia"/>
              <w:noProof/>
              <w:sz w:val="24"/>
              <w:szCs w:val="24"/>
              <w:lang w:eastAsia="es-CO"/>
            </w:rPr>
          </w:pPr>
          <w:hyperlink w:history="1" w:anchor="_Toc211063434">
            <w:r w:rsidRPr="00ED3E24">
              <w:rPr>
                <w:rStyle w:val="Hipervnculo"/>
                <w:rFonts w:ascii="Verdana" w:hAnsi="Verdana" w:eastAsia="Times New Roman"/>
                <w:noProof/>
                <w:sz w:val="24"/>
                <w:szCs w:val="24"/>
                <w:lang w:val="es-MX" w:eastAsia="es-ES"/>
              </w:rPr>
              <w:t>8.6. Mecanismos de control y seguimiento financiero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ab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begin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instrText xml:space="preserve"> PAGEREF _Toc211063434 \h </w:instrTex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separate"/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t>18</w:t>
            </w:r>
            <w:r w:rsidRPr="00ED3E24">
              <w:rPr>
                <w:rFonts w:ascii="Verdana" w:hAnsi="Verdan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Pr="00ED3E24" w:rsidR="00A07468" w:rsidP="00ED3E24" w:rsidRDefault="00A07468" w14:paraId="1C2B6C2B" w14:textId="50F97F2B">
          <w:pPr>
            <w:spacing w:line="360" w:lineRule="auto"/>
            <w:rPr>
              <w:rFonts w:ascii="Verdana" w:hAnsi="Verdana"/>
              <w:sz w:val="24"/>
              <w:szCs w:val="24"/>
            </w:rPr>
          </w:pPr>
          <w:r w:rsidRPr="00ED3E24">
            <w:rPr>
              <w:rFonts w:ascii="Verdana" w:hAnsi="Verdana"/>
              <w:b/>
              <w:bCs/>
              <w:sz w:val="24"/>
              <w:szCs w:val="24"/>
              <w:lang w:val="es-ES"/>
            </w:rPr>
            <w:fldChar w:fldCharType="end"/>
          </w:r>
        </w:p>
      </w:sdtContent>
    </w:sdt>
    <w:p w:rsidRPr="00ED3E24" w:rsidR="00ED3E24" w:rsidP="00ED3E24" w:rsidRDefault="00ED3E24" w14:paraId="6DD4BF3A" w14:textId="77777777">
      <w:pPr>
        <w:spacing w:after="0" w:line="360" w:lineRule="auto"/>
        <w:jc w:val="center"/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</w:pPr>
    </w:p>
    <w:p w:rsidR="00ED3E24" w:rsidP="00ED3E24" w:rsidRDefault="00ED3E24" w14:paraId="743B01FD" w14:textId="77777777">
      <w:pPr>
        <w:spacing w:after="0" w:line="360" w:lineRule="auto"/>
        <w:jc w:val="center"/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</w:pPr>
    </w:p>
    <w:p w:rsidR="00ED3E24" w:rsidP="00ED3E24" w:rsidRDefault="00ED3E24" w14:paraId="00E0AA8C" w14:textId="77777777">
      <w:pPr>
        <w:spacing w:after="0" w:line="360" w:lineRule="auto"/>
        <w:jc w:val="center"/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</w:pPr>
    </w:p>
    <w:p w:rsidR="00ED3E24" w:rsidP="00ED3E24" w:rsidRDefault="00ED3E24" w14:paraId="5CD64410" w14:textId="77777777">
      <w:pPr>
        <w:spacing w:after="0" w:line="360" w:lineRule="auto"/>
        <w:jc w:val="center"/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</w:pPr>
    </w:p>
    <w:p w:rsidR="00ED3E24" w:rsidP="00ED3E24" w:rsidRDefault="00ED3E24" w14:paraId="058CE76B" w14:textId="77777777">
      <w:pPr>
        <w:spacing w:after="0" w:line="360" w:lineRule="auto"/>
        <w:jc w:val="center"/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</w:pPr>
    </w:p>
    <w:p w:rsidR="00ED3E24" w:rsidP="00ED3E24" w:rsidRDefault="00ED3E24" w14:paraId="74486B5F" w14:textId="77777777">
      <w:pPr>
        <w:spacing w:after="0" w:line="360" w:lineRule="auto"/>
        <w:jc w:val="center"/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</w:pPr>
    </w:p>
    <w:p w:rsidR="00ED3E24" w:rsidP="00ED3E24" w:rsidRDefault="00ED3E24" w14:paraId="15CD844E" w14:textId="77777777">
      <w:pPr>
        <w:spacing w:after="0" w:line="360" w:lineRule="auto"/>
        <w:jc w:val="center"/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</w:pPr>
    </w:p>
    <w:p w:rsidR="00ED3E24" w:rsidP="00ED3E24" w:rsidRDefault="00ED3E24" w14:paraId="67C9A9E1" w14:textId="77777777">
      <w:pPr>
        <w:spacing w:after="0" w:line="360" w:lineRule="auto"/>
        <w:jc w:val="center"/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</w:pPr>
    </w:p>
    <w:p w:rsidR="00ED3E24" w:rsidP="00ED3E24" w:rsidRDefault="00ED3E24" w14:paraId="5B0D392B" w14:textId="77777777">
      <w:pPr>
        <w:spacing w:after="0" w:line="360" w:lineRule="auto"/>
        <w:jc w:val="center"/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</w:pPr>
    </w:p>
    <w:p w:rsidR="00ED3E24" w:rsidP="00ED3E24" w:rsidRDefault="00ED3E24" w14:paraId="1846032F" w14:textId="77777777">
      <w:pPr>
        <w:spacing w:after="0" w:line="360" w:lineRule="auto"/>
        <w:jc w:val="center"/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</w:pPr>
    </w:p>
    <w:p w:rsidR="00ED3E24" w:rsidP="00ED3E24" w:rsidRDefault="00ED3E24" w14:paraId="5F298BEE" w14:textId="77777777">
      <w:pPr>
        <w:spacing w:after="0" w:line="360" w:lineRule="auto"/>
        <w:jc w:val="center"/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</w:pPr>
    </w:p>
    <w:p w:rsidR="00ED3E24" w:rsidP="00ED3E24" w:rsidRDefault="00ED3E24" w14:paraId="4C1F5E02" w14:textId="77777777">
      <w:pPr>
        <w:spacing w:after="0" w:line="360" w:lineRule="auto"/>
        <w:jc w:val="center"/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</w:pPr>
    </w:p>
    <w:p w:rsidR="00ED3E24" w:rsidP="00ED3E24" w:rsidRDefault="00ED3E24" w14:paraId="731DF6A1" w14:textId="77777777">
      <w:pPr>
        <w:spacing w:after="0" w:line="360" w:lineRule="auto"/>
        <w:jc w:val="center"/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</w:pPr>
    </w:p>
    <w:p w:rsidR="00ED3E24" w:rsidP="00ED3E24" w:rsidRDefault="00ED3E24" w14:paraId="0157EE5D" w14:textId="77777777">
      <w:pPr>
        <w:spacing w:after="0" w:line="360" w:lineRule="auto"/>
        <w:jc w:val="center"/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</w:pPr>
    </w:p>
    <w:p w:rsidR="00ED3E24" w:rsidP="00ED3E24" w:rsidRDefault="00ED3E24" w14:paraId="751FF534" w14:textId="77777777">
      <w:pPr>
        <w:spacing w:after="0" w:line="360" w:lineRule="auto"/>
        <w:jc w:val="center"/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</w:pPr>
    </w:p>
    <w:p w:rsidR="00ED3E24" w:rsidP="00ED3E24" w:rsidRDefault="00ED3E24" w14:paraId="61D3A9B0" w14:textId="77777777">
      <w:pPr>
        <w:spacing w:after="0" w:line="360" w:lineRule="auto"/>
        <w:jc w:val="center"/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</w:pPr>
    </w:p>
    <w:p w:rsidR="00ED3E24" w:rsidP="00ED3E24" w:rsidRDefault="00ED3E24" w14:paraId="77B208FC" w14:textId="77777777">
      <w:pPr>
        <w:spacing w:after="0" w:line="360" w:lineRule="auto"/>
        <w:jc w:val="center"/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</w:pPr>
    </w:p>
    <w:p w:rsidR="00ED3E24" w:rsidP="00ED3E24" w:rsidRDefault="00ED3E24" w14:paraId="65E9B131" w14:textId="77777777">
      <w:pPr>
        <w:spacing w:after="0" w:line="360" w:lineRule="auto"/>
        <w:jc w:val="center"/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</w:pPr>
    </w:p>
    <w:p w:rsidRPr="00ED3E24" w:rsidR="00ED3E24" w:rsidP="00ED3E24" w:rsidRDefault="00ED3E24" w14:paraId="0D34BC62" w14:textId="77777777">
      <w:pPr>
        <w:spacing w:after="0" w:line="360" w:lineRule="auto"/>
        <w:jc w:val="center"/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</w:pPr>
    </w:p>
    <w:p w:rsidRPr="00ED3E24" w:rsidR="00757B36" w:rsidP="00ED3E24" w:rsidRDefault="005B2247" w14:paraId="5FB2FD9B" w14:textId="15B8F927">
      <w:pPr>
        <w:spacing w:after="0" w:line="360" w:lineRule="auto"/>
        <w:jc w:val="center"/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  <w:lastRenderedPageBreak/>
        <w:t>DOCUMENTO TÉCNICO DE SOPORTE</w:t>
      </w:r>
    </w:p>
    <w:p w:rsidR="003E6E21" w:rsidP="00ED3E24" w:rsidRDefault="005B2247" w14:paraId="124F5C5D" w14:textId="13CEDC20">
      <w:pPr>
        <w:spacing w:after="0" w:line="360" w:lineRule="auto"/>
        <w:jc w:val="center"/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  <w:t>LEY 2</w:t>
      </w:r>
      <w:r w:rsidRPr="00ED3E24" w:rsidR="00CF22BB"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  <w:t>3</w:t>
      </w:r>
      <w:r w:rsidRPr="00ED3E24"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  <w:t>74 DE 2024-ESTERILIZAR SALVA</w:t>
      </w:r>
    </w:p>
    <w:p w:rsidRPr="00ED3E24" w:rsidR="00ED3E24" w:rsidP="00ED3E24" w:rsidRDefault="00ED3E24" w14:paraId="738CB112" w14:textId="77777777">
      <w:pPr>
        <w:spacing w:after="0" w:line="360" w:lineRule="auto"/>
        <w:jc w:val="center"/>
        <w:rPr>
          <w:rFonts w:ascii="Verdana" w:hAnsi="Verdana" w:eastAsia="Times New Roman"/>
          <w:b/>
          <w:bCs/>
          <w:sz w:val="24"/>
          <w:szCs w:val="24"/>
          <w:lang w:val="es-ES_tradnl" w:eastAsia="es-ES"/>
        </w:rPr>
      </w:pPr>
    </w:p>
    <w:p w:rsidRPr="00ED3E24" w:rsidR="003E6E21" w:rsidP="00ED3E24" w:rsidRDefault="003E6E21" w14:paraId="61E12CF9" w14:textId="3B2BA111">
      <w:pPr>
        <w:pStyle w:val="Ttulo"/>
        <w:spacing w:line="360" w:lineRule="auto"/>
        <w:rPr>
          <w:rFonts w:eastAsia="Times New Roman"/>
          <w:sz w:val="24"/>
          <w:szCs w:val="24"/>
          <w:lang w:val="es-ES_tradnl" w:eastAsia="es-ES"/>
        </w:rPr>
      </w:pPr>
      <w:r w:rsidRPr="00ED3E24">
        <w:rPr>
          <w:rFonts w:eastAsia="Times New Roman"/>
          <w:sz w:val="24"/>
          <w:szCs w:val="24"/>
          <w:lang w:val="es-ES_tradnl" w:eastAsia="es-ES"/>
        </w:rPr>
        <w:t>Introducción y antecedentes</w:t>
      </w:r>
    </w:p>
    <w:p w:rsidRPr="00ED3E24" w:rsidR="003E6E21" w:rsidP="00ED3E24" w:rsidRDefault="003E6E21" w14:paraId="16873057" w14:textId="76CCF48E">
      <w:pPr>
        <w:pStyle w:val="Ttulo1"/>
        <w:spacing w:line="360" w:lineRule="auto"/>
        <w:rPr>
          <w:rFonts w:eastAsia="Times New Roman"/>
          <w:szCs w:val="24"/>
          <w:lang w:val="es-ES_tradnl" w:eastAsia="es-ES"/>
        </w:rPr>
      </w:pPr>
      <w:bookmarkStart w:name="_Toc211063409" w:id="0"/>
      <w:r w:rsidRPr="00ED3E24">
        <w:rPr>
          <w:szCs w:val="24"/>
        </w:rPr>
        <w:t>Contexto</w:t>
      </w:r>
      <w:r w:rsidRPr="00ED3E24">
        <w:rPr>
          <w:rFonts w:eastAsia="Times New Roman"/>
          <w:szCs w:val="24"/>
          <w:lang w:val="es-ES_tradnl" w:eastAsia="es-ES"/>
        </w:rPr>
        <w:t xml:space="preserve"> general</w:t>
      </w:r>
      <w:bookmarkEnd w:id="0"/>
    </w:p>
    <w:p w:rsidRPr="00ED3E24" w:rsidR="00E05115" w:rsidP="00ED3E24" w:rsidRDefault="00E05115" w14:paraId="2393C3D8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E05115" w14:paraId="5B5631F3" w14:textId="40EA1D66">
      <w:pPr>
        <w:spacing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El presente Documento Técnico de Soporte respalda la reglamentación de la Ley 2374 de 2024, que crea el Programa Nacional de Esterilización Quirúrgica de Gatos y Perros como estrategia permanente de bienestar animal, salud pública y gestión poblacional ética. El documento presenta el diagnóstico del problema, el marco normativo, los compromisos interinstitucionales, los protocolos técnicos y quirúrgicos, y la estructura operativa y presupuestal del Fondo SINAPYBA. Su elaboración responde a las directrices de técnica normativa establecidas en el Decreto 1609 de 2015 y se fundamenta en un proceso participativo, técnico y territorial que garantiza la viabilidad jurídica, financiera y operativa del programa.</w:t>
      </w:r>
    </w:p>
    <w:p w:rsidRPr="00ED3E24" w:rsidR="003E6E21" w:rsidP="1A0ABAD1" w:rsidRDefault="003E6E21" w14:paraId="14C727E6" w14:textId="77E55321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" w:eastAsia="es-ES"/>
        </w:rPr>
      </w:pP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La Ley 2374 de 2024 establece el marco normativo para la creación e implementación del Programa Nacional de Esterilización Quirúrgica de Gatos y Perros, un instrumento orientado a la gestión poblacional ética y sanitaria de animales de compañía. Esta ley constituye un hito en la política pública de bienestar animal en Colombia, al articular las dimensiones ambiental, sanitaria y social en torno a la reducción del abandono, la prevención de enfermedades zoonóticas</w:t>
      </w:r>
      <w:r w:rsidRPr="1A0ABAD1" w:rsidR="00433B66">
        <w:rPr>
          <w:rFonts w:ascii="Verdana" w:hAnsi="Verdana" w:eastAsia="Times New Roman"/>
          <w:sz w:val="24"/>
          <w:szCs w:val="24"/>
          <w:lang w:val="es-ES" w:eastAsia="es-ES"/>
        </w:rPr>
        <w:t xml:space="preserve">, la mitigación del impacto de poblaciones silvestres por </w:t>
      </w:r>
      <w:r w:rsidRPr="1A0ABAD1" w:rsidR="00433B66">
        <w:rPr>
          <w:rFonts w:ascii="Verdana" w:hAnsi="Verdana" w:eastAsia="Times New Roman"/>
          <w:sz w:val="24"/>
          <w:szCs w:val="24"/>
          <w:lang w:val="es-ES" w:eastAsia="es-ES"/>
        </w:rPr>
        <w:t>predación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 xml:space="preserve"> y la promoción de la tenencia responsable.</w:t>
      </w:r>
    </w:p>
    <w:p w:rsidRPr="00ED3E24" w:rsidR="003E6E21" w:rsidP="00ED3E24" w:rsidRDefault="003E6E21" w14:paraId="37525642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1A0ABAD1" w:rsidRDefault="003E6E21" w14:paraId="6CC3E230" w14:noSpellErr="1" w14:textId="3A099E48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" w:eastAsia="es-ES"/>
        </w:rPr>
      </w:pP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 xml:space="preserve">Su alcance </w:t>
      </w:r>
      <w:r w:rsidRPr="1A0ABAD1" w:rsidR="00433B66">
        <w:rPr>
          <w:rFonts w:ascii="Verdana" w:hAnsi="Verdana" w:eastAsia="Times New Roman"/>
          <w:sz w:val="24"/>
          <w:szCs w:val="24"/>
          <w:lang w:val="es-ES" w:eastAsia="es-ES"/>
        </w:rPr>
        <w:t xml:space="preserve">va más allá </w:t>
      </w:r>
      <w:r w:rsidRPr="1A0ABAD1" w:rsidR="24366DDD">
        <w:rPr>
          <w:rFonts w:ascii="Verdana" w:hAnsi="Verdana" w:eastAsia="Times New Roman"/>
          <w:sz w:val="24"/>
          <w:szCs w:val="24"/>
          <w:lang w:val="es-ES" w:eastAsia="es-ES"/>
        </w:rPr>
        <w:t>de la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 xml:space="preserve"> ejecución de jornadas quirúrgicas: busca </w:t>
      </w:r>
      <w:r w:rsidRPr="1A0ABAD1" w:rsidR="00433B66">
        <w:rPr>
          <w:rFonts w:ascii="Verdana" w:hAnsi="Verdana" w:eastAsia="Times New Roman"/>
          <w:sz w:val="24"/>
          <w:szCs w:val="24"/>
          <w:lang w:val="es-ES" w:eastAsia="es-ES"/>
        </w:rPr>
        <w:t>establecer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 xml:space="preserve"> una estrategia nacional permanente, técnica y financieramente sostenible, que garantice cobertura en todos los departamentos del país, incluyendo territorios rurales y poblaciones vulnerables. En este marco, el Fondo SINAPYBA se configura como el mecanismo financiero central para la financiación de los programas de esterilización, educación, vigilancia sanitaria y fortalecimiento institucional.</w:t>
      </w:r>
    </w:p>
    <w:p w:rsidRPr="00ED3E24" w:rsidR="003E6E21" w:rsidP="00ED3E24" w:rsidRDefault="003E6E21" w14:paraId="31C93ED4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107C1A5E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La reglamentación de esta ley responde a la necesidad de armonizar competencias sectoriales y definir mecanismos claros para la planeación, ejecución, seguimiento y evaluación del programa, garantizando que los procesos de esterilización cumplan con los más altos estándares de bienestar animal, salud pública y bioseguridad.</w:t>
      </w:r>
    </w:p>
    <w:p w:rsidRPr="00ED3E24" w:rsidR="003E6E21" w:rsidP="00ED3E24" w:rsidRDefault="003E6E21" w14:paraId="040C4957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66664321" w14:textId="200A5083">
      <w:pPr>
        <w:pStyle w:val="Ttulo1"/>
        <w:spacing w:line="360" w:lineRule="auto"/>
        <w:rPr>
          <w:rFonts w:eastAsia="Times New Roman"/>
          <w:szCs w:val="24"/>
          <w:lang w:val="es-ES_tradnl" w:eastAsia="es-ES"/>
        </w:rPr>
      </w:pPr>
      <w:r w:rsidRPr="00ED3E24">
        <w:rPr>
          <w:rFonts w:eastAsia="Times New Roman"/>
          <w:szCs w:val="24"/>
          <w:lang w:val="es-ES_tradnl" w:eastAsia="es-ES"/>
        </w:rPr>
        <w:t xml:space="preserve"> </w:t>
      </w:r>
      <w:bookmarkStart w:name="_Toc211063410" w:id="1"/>
      <w:r w:rsidRPr="00ED3E24">
        <w:rPr>
          <w:rFonts w:eastAsia="Times New Roman"/>
          <w:szCs w:val="24"/>
          <w:lang w:val="es-ES_tradnl" w:eastAsia="es-ES"/>
        </w:rPr>
        <w:t>Relación entre la Ley 2374 y el Fondo SINAPYBA</w:t>
      </w:r>
      <w:bookmarkEnd w:id="1"/>
    </w:p>
    <w:p w:rsidRPr="00ED3E24" w:rsidR="003E6E21" w:rsidP="00ED3E24" w:rsidRDefault="003E6E21" w14:paraId="7C2A2F7D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796CBAD4" w14:textId="0A251B4B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El SINAPYBA (Sistema Nacional de Protección y Bienestar Animal) fue concebido como un</w:t>
      </w:r>
      <w:r w:rsidRPr="00ED3E24" w:rsidR="00CF22BB">
        <w:rPr>
          <w:rFonts w:ascii="Verdana" w:hAnsi="Verdana" w:eastAsia="Times New Roman"/>
          <w:sz w:val="24"/>
          <w:szCs w:val="24"/>
          <w:lang w:val="es-ES_tradnl" w:eastAsia="es-ES"/>
        </w:rPr>
        <w:t xml:space="preserve"> conjunto de políticas, orientaciones, normas, actividades, programas, instituciones y actores </w:t>
      </w: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 xml:space="preserve">del orden nacional y territorial. Su creación tiene origen </w:t>
      </w:r>
      <w:r w:rsidRPr="00ED3E24" w:rsidR="00AD2263">
        <w:rPr>
          <w:rFonts w:ascii="Verdana" w:hAnsi="Verdana" w:eastAsia="Times New Roman"/>
          <w:sz w:val="24"/>
          <w:szCs w:val="24"/>
          <w:lang w:val="es-ES_tradnl" w:eastAsia="es-ES"/>
        </w:rPr>
        <w:t>en el artículo 31 de</w:t>
      </w:r>
      <w:r w:rsidRPr="00ED3E24" w:rsidR="00CF22BB">
        <w:rPr>
          <w:rFonts w:ascii="Verdana" w:hAnsi="Verdana" w:eastAsia="Times New Roman"/>
          <w:sz w:val="24"/>
          <w:szCs w:val="24"/>
          <w:lang w:val="es-ES_tradnl" w:eastAsia="es-ES"/>
        </w:rPr>
        <w:t xml:space="preserve"> la ley 2294 de 2023, que corresponde al Plan Nacional de Desarrollo, “Colombia, potencia mundial de la vida</w:t>
      </w:r>
      <w:r w:rsidRPr="00ED3E24" w:rsidR="00AD2263">
        <w:rPr>
          <w:rFonts w:ascii="Verdana" w:hAnsi="Verdana" w:eastAsia="Times New Roman"/>
          <w:sz w:val="24"/>
          <w:szCs w:val="24"/>
          <w:lang w:val="es-ES_tradnl" w:eastAsia="es-ES"/>
        </w:rPr>
        <w:t xml:space="preserve">”.  Por otra </w:t>
      </w:r>
      <w:r w:rsidRPr="00ED3E24" w:rsidR="00DE5B88">
        <w:rPr>
          <w:rFonts w:ascii="Verdana" w:hAnsi="Verdana" w:eastAsia="Times New Roman"/>
          <w:sz w:val="24"/>
          <w:szCs w:val="24"/>
          <w:lang w:val="es-ES_tradnl" w:eastAsia="es-ES"/>
        </w:rPr>
        <w:t>parte, el</w:t>
      </w:r>
      <w:r w:rsidRPr="00ED3E24" w:rsidR="00AD2263">
        <w:rPr>
          <w:rFonts w:ascii="Verdana" w:hAnsi="Verdana" w:eastAsia="Times New Roman"/>
          <w:sz w:val="24"/>
          <w:szCs w:val="24"/>
          <w:lang w:val="es-ES_tradnl" w:eastAsia="es-ES"/>
        </w:rPr>
        <w:t xml:space="preserve"> artículo 10 </w:t>
      </w: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de la Ley 2374 de 2024, ordena la conformación de un fondo</w:t>
      </w:r>
      <w:r w:rsidRPr="00ED3E24" w:rsidR="00AD2263">
        <w:rPr>
          <w:rFonts w:ascii="Verdana" w:hAnsi="Verdana" w:eastAsia="Times New Roman"/>
          <w:sz w:val="24"/>
          <w:szCs w:val="24"/>
          <w:lang w:val="es-ES_tradnl" w:eastAsia="es-ES"/>
        </w:rPr>
        <w:t xml:space="preserve">, denominado fondo SINAPYBA, indicando que será </w:t>
      </w: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específico para financiar las acciones derivadas del Programa Nacional de Esterilización y otras estrategias complementarias de bienestar animal.</w:t>
      </w:r>
    </w:p>
    <w:p w:rsidRPr="00ED3E24" w:rsidR="003E6E21" w:rsidP="00ED3E24" w:rsidRDefault="003E6E21" w14:paraId="5B4850EC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00555BF5" w14:textId="22353882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lastRenderedPageBreak/>
        <w:t>Este fondo será administrado por el Ministerio de Ambiente y Desarrollo Sostenible y contará con la participación del Departamento Nacional de Planeación (DNP) y el Ministerio de Hacienda y Crédito Público (MHCP) en la definición de los mecanismos de asignación, ejecución y seguimiento presupuestal. De igual manera, se articulará con Colombia Compra Eficiente (CCE), responsable de diseñar los pliegos tipo que faciliten la contratación de unidades móviles, jornadas quirúrgicas y servicios veterinarios especializados</w:t>
      </w:r>
      <w:r w:rsidRPr="00ED3E24" w:rsidR="00DE5B88">
        <w:rPr>
          <w:rFonts w:ascii="Verdana" w:hAnsi="Verdana" w:eastAsia="Times New Roman"/>
          <w:sz w:val="24"/>
          <w:szCs w:val="24"/>
          <w:lang w:val="es-ES_tradnl" w:eastAsia="es-ES"/>
        </w:rPr>
        <w:t xml:space="preserve"> en los territorios que se vean beneficiados con la ley</w:t>
      </w: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.</w:t>
      </w:r>
    </w:p>
    <w:p w:rsidRPr="00ED3E24" w:rsidR="003E6E21" w:rsidP="00ED3E24" w:rsidRDefault="003E6E21" w14:paraId="65B580E5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2C0F57" w:rsidP="1A0ABAD1" w:rsidRDefault="003E6E21" w14:paraId="72F61A85" w14:textId="66644DC9" w14:noSpellErr="1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" w:eastAsia="es-ES"/>
        </w:rPr>
      </w:pP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El decreto reglamentario del Fondo SINAPYBA se encuentra actualmente en proceso de revisión final.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 xml:space="preserve"> Este documento establecerá los mecanismos operativos para la administración de recursos, priorización de proyectos y criterios de elegibilidad de beneficiarios, en concordancia con los lineamientos del Programa Nacional de Esterilización.</w:t>
      </w:r>
    </w:p>
    <w:p w:rsidRPr="00ED3E24" w:rsidR="002C0F57" w:rsidP="00ED3E24" w:rsidRDefault="002C0F57" w14:paraId="61DC8C0E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2C0F57" w:rsidP="00ED3E24" w:rsidRDefault="002C0F57" w14:paraId="58F7091A" w14:textId="37C746DB">
      <w:pPr>
        <w:spacing w:line="360" w:lineRule="auto"/>
        <w:rPr>
          <w:rFonts w:ascii="Verdana" w:hAnsi="Verdana"/>
          <w:b/>
          <w:bCs/>
          <w:sz w:val="24"/>
          <w:szCs w:val="24"/>
        </w:rPr>
      </w:pPr>
      <w:r w:rsidRPr="00ED3E24">
        <w:rPr>
          <w:rFonts w:ascii="Verdana" w:hAnsi="Verdana"/>
          <w:b/>
          <w:bCs/>
          <w:sz w:val="24"/>
          <w:szCs w:val="24"/>
        </w:rPr>
        <w:t>Ficha técnica del Fondo SINAPYBA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22"/>
        <w:gridCol w:w="6006"/>
      </w:tblGrid>
      <w:tr w:rsidRPr="00ED3E24" w:rsidR="002C0F57" w:rsidTr="008174C2" w14:paraId="47E92667" w14:textId="77777777">
        <w:tc>
          <w:tcPr>
            <w:tcW w:w="1980" w:type="dxa"/>
          </w:tcPr>
          <w:p w:rsidRPr="00ED3E24" w:rsidR="002C0F57" w:rsidP="00ED3E24" w:rsidRDefault="002C0F57" w14:paraId="182516A5" w14:textId="77777777">
            <w:pPr>
              <w:spacing w:line="36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ED3E24">
              <w:rPr>
                <w:rFonts w:ascii="Verdana" w:hAnsi="Verdana"/>
                <w:b/>
                <w:bCs/>
                <w:sz w:val="24"/>
                <w:szCs w:val="24"/>
              </w:rPr>
              <w:t>Nombre del fondo:</w:t>
            </w:r>
          </w:p>
        </w:tc>
        <w:tc>
          <w:tcPr>
            <w:tcW w:w="6848" w:type="dxa"/>
          </w:tcPr>
          <w:p w:rsidRPr="00ED3E24" w:rsidR="002C0F57" w:rsidP="00ED3E24" w:rsidRDefault="002C0F57" w14:paraId="61E27681" w14:textId="77777777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ED3E24">
              <w:rPr>
                <w:rFonts w:ascii="Verdana" w:hAnsi="Verdana"/>
                <w:sz w:val="24"/>
                <w:szCs w:val="24"/>
              </w:rPr>
              <w:t xml:space="preserve">Fondo Nacional del Sistema de Protección y Bienestar Animal (SINAPYBA)  </w:t>
            </w:r>
          </w:p>
        </w:tc>
      </w:tr>
      <w:tr w:rsidRPr="00ED3E24" w:rsidR="002C0F57" w:rsidTr="008174C2" w14:paraId="234290AB" w14:textId="77777777">
        <w:tc>
          <w:tcPr>
            <w:tcW w:w="1980" w:type="dxa"/>
          </w:tcPr>
          <w:p w:rsidRPr="00ED3E24" w:rsidR="002C0F57" w:rsidP="00ED3E24" w:rsidRDefault="002C0F57" w14:paraId="56731AB4" w14:textId="77777777">
            <w:pPr>
              <w:spacing w:line="36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ED3E24">
              <w:rPr>
                <w:rFonts w:ascii="Verdana" w:hAnsi="Verdana"/>
                <w:b/>
                <w:bCs/>
                <w:sz w:val="24"/>
                <w:szCs w:val="24"/>
              </w:rPr>
              <w:t>Norma de creación:</w:t>
            </w:r>
          </w:p>
        </w:tc>
        <w:tc>
          <w:tcPr>
            <w:tcW w:w="6848" w:type="dxa"/>
          </w:tcPr>
          <w:p w:rsidRPr="00ED3E24" w:rsidR="002C0F57" w:rsidP="00ED3E24" w:rsidRDefault="002C0F57" w14:paraId="18D44AB4" w14:textId="77777777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ED3E24">
              <w:rPr>
                <w:rFonts w:ascii="Verdana" w:hAnsi="Verdana"/>
                <w:sz w:val="24"/>
                <w:szCs w:val="24"/>
              </w:rPr>
              <w:t xml:space="preserve">Artículo 10 de la Ley 2374 de 2024  </w:t>
            </w:r>
          </w:p>
        </w:tc>
      </w:tr>
      <w:tr w:rsidRPr="00ED3E24" w:rsidR="002C0F57" w:rsidTr="008174C2" w14:paraId="7E38FACD" w14:textId="77777777">
        <w:tc>
          <w:tcPr>
            <w:tcW w:w="1980" w:type="dxa"/>
          </w:tcPr>
          <w:p w:rsidRPr="00ED3E24" w:rsidR="002C0F57" w:rsidP="00ED3E24" w:rsidRDefault="002C0F57" w14:paraId="4BB4A937" w14:textId="77777777">
            <w:pPr>
              <w:spacing w:line="36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ED3E24">
              <w:rPr>
                <w:rFonts w:ascii="Verdana" w:hAnsi="Verdana"/>
                <w:b/>
                <w:bCs/>
                <w:sz w:val="24"/>
                <w:szCs w:val="24"/>
              </w:rPr>
              <w:t>Entidad administradora:</w:t>
            </w:r>
          </w:p>
        </w:tc>
        <w:tc>
          <w:tcPr>
            <w:tcW w:w="6848" w:type="dxa"/>
          </w:tcPr>
          <w:p w:rsidRPr="00ED3E24" w:rsidR="002C0F57" w:rsidP="00ED3E24" w:rsidRDefault="002C0F57" w14:paraId="6CCC8C8D" w14:textId="77777777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ED3E24">
              <w:rPr>
                <w:rFonts w:ascii="Verdana" w:hAnsi="Verdana"/>
                <w:sz w:val="24"/>
                <w:szCs w:val="24"/>
              </w:rPr>
              <w:t xml:space="preserve">Ministerio de Ambiente y Desarrollo Sostenible  </w:t>
            </w:r>
          </w:p>
        </w:tc>
      </w:tr>
      <w:tr w:rsidRPr="00ED3E24" w:rsidR="002C0F57" w:rsidTr="008174C2" w14:paraId="5CB23F94" w14:textId="77777777">
        <w:tc>
          <w:tcPr>
            <w:tcW w:w="1980" w:type="dxa"/>
          </w:tcPr>
          <w:p w:rsidRPr="00ED3E24" w:rsidR="002C0F57" w:rsidP="00ED3E24" w:rsidRDefault="002C0F57" w14:paraId="6AFA74CB" w14:textId="77777777">
            <w:pPr>
              <w:spacing w:line="36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ED3E24">
              <w:rPr>
                <w:rFonts w:ascii="Verdana" w:hAnsi="Verdana"/>
                <w:b/>
                <w:bCs/>
                <w:sz w:val="24"/>
                <w:szCs w:val="24"/>
              </w:rPr>
              <w:t>Entidades coadministradoras:</w:t>
            </w:r>
          </w:p>
        </w:tc>
        <w:tc>
          <w:tcPr>
            <w:tcW w:w="6848" w:type="dxa"/>
          </w:tcPr>
          <w:p w:rsidRPr="00ED3E24" w:rsidR="002C0F57" w:rsidP="00ED3E24" w:rsidRDefault="002C0F57" w14:paraId="255F865C" w14:textId="77777777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ED3E24">
              <w:rPr>
                <w:rFonts w:ascii="Verdana" w:hAnsi="Verdana"/>
                <w:sz w:val="24"/>
                <w:szCs w:val="24"/>
              </w:rPr>
              <w:t xml:space="preserve">DNP, MHCP, Colombia Compra Eficiente  </w:t>
            </w:r>
          </w:p>
        </w:tc>
      </w:tr>
      <w:tr w:rsidRPr="00ED3E24" w:rsidR="002C0F57" w:rsidTr="008174C2" w14:paraId="02341051" w14:textId="77777777">
        <w:tc>
          <w:tcPr>
            <w:tcW w:w="1980" w:type="dxa"/>
          </w:tcPr>
          <w:p w:rsidRPr="00ED3E24" w:rsidR="002C0F57" w:rsidP="00ED3E24" w:rsidRDefault="002C0F57" w14:paraId="3D3DE788" w14:textId="77777777">
            <w:pPr>
              <w:spacing w:line="36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ED3E24">
              <w:rPr>
                <w:rFonts w:ascii="Verdana" w:hAnsi="Verdana"/>
                <w:b/>
                <w:bCs/>
                <w:sz w:val="24"/>
                <w:szCs w:val="24"/>
              </w:rPr>
              <w:lastRenderedPageBreak/>
              <w:t>Finalidad:</w:t>
            </w:r>
          </w:p>
        </w:tc>
        <w:tc>
          <w:tcPr>
            <w:tcW w:w="6848" w:type="dxa"/>
          </w:tcPr>
          <w:p w:rsidRPr="00ED3E24" w:rsidR="002C0F57" w:rsidP="00ED3E24" w:rsidRDefault="002C0F57" w14:paraId="09043A0F" w14:textId="71482199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C02D94">
              <w:rPr>
                <w:rFonts w:ascii="Verdana" w:hAnsi="Verdana"/>
                <w:sz w:val="24"/>
                <w:szCs w:val="24"/>
              </w:rPr>
              <w:t xml:space="preserve">Financiar jornadas de esterilización, educación, vigilancia sanitaria y fortalecimiento institucional  </w:t>
            </w:r>
          </w:p>
        </w:tc>
      </w:tr>
      <w:tr w:rsidRPr="00ED3E24" w:rsidR="002C0F57" w:rsidTr="008174C2" w14:paraId="19DA0793" w14:textId="77777777">
        <w:tc>
          <w:tcPr>
            <w:tcW w:w="1980" w:type="dxa"/>
          </w:tcPr>
          <w:p w:rsidRPr="00ED3E24" w:rsidR="002C0F57" w:rsidP="00ED3E24" w:rsidRDefault="002C0F57" w14:paraId="2262B61D" w14:textId="77777777">
            <w:pPr>
              <w:spacing w:line="36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ED3E24">
              <w:rPr>
                <w:rFonts w:ascii="Verdana" w:hAnsi="Verdana"/>
                <w:b/>
                <w:bCs/>
                <w:sz w:val="24"/>
                <w:szCs w:val="24"/>
              </w:rPr>
              <w:t>Fuentes de financiación:</w:t>
            </w:r>
          </w:p>
        </w:tc>
        <w:tc>
          <w:tcPr>
            <w:tcW w:w="6848" w:type="dxa"/>
          </w:tcPr>
          <w:p w:rsidRPr="00ED3E24" w:rsidR="002C0F57" w:rsidP="00ED3E24" w:rsidRDefault="002C0F57" w14:paraId="25B1320E" w14:textId="11547CE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C02D94">
              <w:rPr>
                <w:rFonts w:ascii="Verdana" w:hAnsi="Verdana"/>
                <w:sz w:val="24"/>
                <w:szCs w:val="24"/>
              </w:rPr>
              <w:t xml:space="preserve">Presupuesto General de la Nación, transferencias territoriales, cooperación internacional  </w:t>
            </w:r>
          </w:p>
        </w:tc>
      </w:tr>
      <w:tr w:rsidRPr="00ED3E24" w:rsidR="002C0F57" w:rsidTr="008174C2" w14:paraId="056AAA72" w14:textId="77777777">
        <w:tc>
          <w:tcPr>
            <w:tcW w:w="1980" w:type="dxa"/>
          </w:tcPr>
          <w:p w:rsidRPr="00ED3E24" w:rsidR="002C0F57" w:rsidP="00ED3E24" w:rsidRDefault="002C0F57" w14:paraId="5C6146A0" w14:textId="77777777">
            <w:pPr>
              <w:spacing w:line="36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ED3E24">
              <w:rPr>
                <w:rFonts w:ascii="Verdana" w:hAnsi="Verdana"/>
                <w:b/>
                <w:bCs/>
                <w:sz w:val="24"/>
                <w:szCs w:val="24"/>
              </w:rPr>
              <w:t>Instrumentos de ejecución:</w:t>
            </w:r>
          </w:p>
        </w:tc>
        <w:tc>
          <w:tcPr>
            <w:tcW w:w="6848" w:type="dxa"/>
          </w:tcPr>
          <w:p w:rsidRPr="00ED3E24" w:rsidR="002C0F57" w:rsidP="00ED3E24" w:rsidRDefault="002C0F57" w14:paraId="1ADF591F" w14:textId="77777777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ED3E24">
              <w:rPr>
                <w:rFonts w:ascii="Verdana" w:hAnsi="Verdana"/>
                <w:sz w:val="24"/>
                <w:szCs w:val="24"/>
              </w:rPr>
              <w:t xml:space="preserve">Pliegos tipo, convenios interadministrativos, contratación directa  </w:t>
            </w:r>
          </w:p>
        </w:tc>
      </w:tr>
      <w:tr w:rsidRPr="00ED3E24" w:rsidR="002C0F57" w:rsidTr="008174C2" w14:paraId="22CE2CC4" w14:textId="77777777">
        <w:tc>
          <w:tcPr>
            <w:tcW w:w="1980" w:type="dxa"/>
          </w:tcPr>
          <w:p w:rsidRPr="00ED3E24" w:rsidR="002C0F57" w:rsidP="00ED3E24" w:rsidRDefault="002C0F57" w14:paraId="68198305" w14:textId="77777777">
            <w:pPr>
              <w:spacing w:line="360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ED3E24">
              <w:rPr>
                <w:rFonts w:ascii="Verdana" w:hAnsi="Verdana"/>
                <w:b/>
                <w:bCs/>
                <w:sz w:val="24"/>
                <w:szCs w:val="24"/>
              </w:rPr>
              <w:t>Marco fiscal</w:t>
            </w:r>
          </w:p>
        </w:tc>
        <w:tc>
          <w:tcPr>
            <w:tcW w:w="6848" w:type="dxa"/>
          </w:tcPr>
          <w:p w:rsidRPr="00ED3E24" w:rsidR="002C0F57" w:rsidP="00ED3E24" w:rsidRDefault="002C0F57" w14:paraId="46A77F5F" w14:textId="70769C3B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C02D94">
              <w:rPr>
                <w:rFonts w:ascii="Verdana" w:hAnsi="Verdana"/>
                <w:sz w:val="24"/>
                <w:szCs w:val="24"/>
              </w:rPr>
              <w:t>Marco de Gasto de Mediano Plazo 2026–2029</w:t>
            </w:r>
          </w:p>
        </w:tc>
      </w:tr>
    </w:tbl>
    <w:p w:rsidRPr="00ED3E24" w:rsidR="002C0F57" w:rsidP="00ED3E24" w:rsidRDefault="002C0F57" w14:paraId="4549A92F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46AC9E3F" w14:textId="07A61C0F">
      <w:pPr>
        <w:pStyle w:val="Ttulo1"/>
        <w:spacing w:line="360" w:lineRule="auto"/>
        <w:rPr>
          <w:rFonts w:eastAsia="Times New Roman"/>
          <w:szCs w:val="24"/>
          <w:lang w:val="es-ES_tradnl" w:eastAsia="es-ES"/>
        </w:rPr>
      </w:pPr>
      <w:bookmarkStart w:name="_Toc211063411" w:id="2"/>
      <w:r w:rsidRPr="00ED3E24">
        <w:rPr>
          <w:rFonts w:eastAsia="Times New Roman"/>
          <w:szCs w:val="24"/>
          <w:lang w:val="es-ES_tradnl" w:eastAsia="es-ES"/>
        </w:rPr>
        <w:t>Compromisos interministeriales</w:t>
      </w:r>
      <w:bookmarkEnd w:id="2"/>
    </w:p>
    <w:p w:rsidRPr="00ED3E24" w:rsidR="003E6E21" w:rsidP="00ED3E24" w:rsidRDefault="003E6E21" w14:paraId="673FADA7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10F5C68C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El proceso de reglamentación de la Ley 2374 ha implicado un esfuerzo conjunto entre cuatro entidades clave del Gobierno Nacional:</w:t>
      </w:r>
    </w:p>
    <w:p w:rsidRPr="00ED3E24" w:rsidR="003E6E21" w:rsidP="1A0ABAD1" w:rsidRDefault="003E6E21" w14:paraId="769226EB" w14:textId="77777777" w14:noSpellErr="1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" w:eastAsia="es-ES"/>
        </w:rPr>
      </w:pP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Ministerio de Ambiente y Desarrollo Sostenible (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MinAmbiente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): ejerce la coordinación técnica general del proceso y la formulación de los lineamientos de bienestar animal y manejo poblacional. A través de la Dirección de Bosques, Biodiversidad y Servicios Ecosistémicos (DBBSE), lidera la articulación de los componentes técnicos y financieros del programa, así como la estructuración del Fondo SINAPYBA.</w:t>
      </w:r>
    </w:p>
    <w:p w:rsidRPr="00ED3E24" w:rsidR="003E6E21" w:rsidP="00ED3E24" w:rsidRDefault="003E6E21" w14:paraId="5FEBEE6B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1A0ABAD1" w:rsidRDefault="003E6E21" w14:paraId="7926722F" w14:textId="77777777" w14:noSpellErr="1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" w:eastAsia="es-ES"/>
        </w:rPr>
      </w:pP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Ministerio de Salud y Protección Social (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MinSalud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): define los criterios sanitarios, protocolos de bioseguridad, habilitación de servicios veterinarios y lineamientos de inspección, vigilancia y control (IVC). Participa como coautor de la resolución conjunta que reglamentará los procedimientos técnicos y quirúrgicos.</w:t>
      </w:r>
    </w:p>
    <w:p w:rsidRPr="00ED3E24" w:rsidR="003E6E21" w:rsidP="00ED3E24" w:rsidRDefault="003E6E21" w14:paraId="52F763D1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77BD34BF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lastRenderedPageBreak/>
        <w:t>Departamento Nacional de Planeación (DNP): apoya el diseño de los mecanismos de focalización territorial y el seguimiento a la eficiencia del gasto, asegurando que los recursos se destinen de manera equitativa y estratégica en el territorio nacional.</w:t>
      </w:r>
    </w:p>
    <w:p w:rsidRPr="00ED3E24" w:rsidR="003E6E21" w:rsidP="00ED3E24" w:rsidRDefault="003E6E21" w14:paraId="309D6BD7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223ED2AD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Ministerio de Hacienda y Crédito Público (MHCP): analiza la viabilidad presupuestal del Fondo SINAPYBA e incorpora las asignaciones necesarias en el Marco de Gasto de Mediano Plazo 2026–2029. Además, respalda los ajustes presupuestales mediante adiciones o modificaciones durante la vigencia fiscal.</w:t>
      </w:r>
    </w:p>
    <w:p w:rsidRPr="00ED3E24" w:rsidR="003E6E21" w:rsidP="00ED3E24" w:rsidRDefault="003E6E21" w14:paraId="5F24F9D5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68AC6E68" w14:textId="13FAC6EE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 xml:space="preserve">Estos compromisos interministeriales se </w:t>
      </w:r>
      <w:r w:rsidRPr="00ED3E24" w:rsidR="00B05BD2">
        <w:rPr>
          <w:rFonts w:ascii="Verdana" w:hAnsi="Verdana" w:eastAsia="Times New Roman"/>
          <w:sz w:val="24"/>
          <w:szCs w:val="24"/>
          <w:lang w:val="es-ES_tradnl" w:eastAsia="es-ES"/>
        </w:rPr>
        <w:t>afianzaron</w:t>
      </w: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 xml:space="preserve"> a través de mesas técnicas permanentes entre 2024 y 2025, donde cada entidad asumió funciones específicas según su competencia normativa. Su articulación ha permitido la construcción de un esquema institucional coherente que respalda la operatividad del programa y su sostenibilidad financiera.</w:t>
      </w:r>
    </w:p>
    <w:p w:rsidRPr="00ED3E24" w:rsidR="003E6E21" w:rsidP="00ED3E24" w:rsidRDefault="003E6E21" w14:paraId="3A148132" w14:textId="0096D31B">
      <w:pPr>
        <w:pStyle w:val="Ttulo1"/>
        <w:spacing w:line="360" w:lineRule="auto"/>
        <w:rPr>
          <w:rFonts w:eastAsia="Times New Roman"/>
          <w:szCs w:val="24"/>
          <w:lang w:val="es-ES_tradnl" w:eastAsia="es-ES"/>
        </w:rPr>
      </w:pPr>
      <w:bookmarkStart w:name="_Toc211063412" w:id="3"/>
      <w:r w:rsidRPr="00ED3E24">
        <w:rPr>
          <w:rFonts w:eastAsia="Times New Roman"/>
          <w:szCs w:val="24"/>
          <w:lang w:val="es-ES_tradnl" w:eastAsia="es-ES"/>
        </w:rPr>
        <w:t>Proceso participativo y técnico</w:t>
      </w:r>
      <w:bookmarkEnd w:id="3"/>
    </w:p>
    <w:p w:rsidRPr="00ED3E24" w:rsidR="003E6E21" w:rsidP="00ED3E24" w:rsidRDefault="003E6E21" w14:paraId="3FAD26D8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70B7F17A" w14:textId="009C8A23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El proceso de formulación de la reglamentación técnica y jurídica ha sido amplio, participativo y con enfoque territorial. Desde julio de 2024 se estableció una ruta interinstitucional que incluyó reuniones con actores gubernamentales, universidades, gremios, y autoridades locales. Entre los hitos más relevantes se destacan:</w:t>
      </w:r>
    </w:p>
    <w:p w:rsidRPr="00ED3E24" w:rsidR="003E6E21" w:rsidP="00ED3E24" w:rsidRDefault="003E6E21" w14:paraId="5BB7BA53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1A0ABAD1" w:rsidRDefault="003E6E21" w14:paraId="3273D64C" w14:textId="1D98295A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" w:eastAsia="es-ES"/>
        </w:rPr>
      </w:pP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 xml:space="preserve">Mesas académicas con UDEA y CES: </w:t>
      </w:r>
      <w:r w:rsidRPr="1A0ABAD1" w:rsidR="00DE5B88">
        <w:rPr>
          <w:rFonts w:ascii="Verdana" w:hAnsi="Verdana" w:eastAsia="Times New Roman"/>
          <w:sz w:val="24"/>
          <w:szCs w:val="24"/>
          <w:lang w:val="es-ES" w:eastAsia="es-ES"/>
        </w:rPr>
        <w:t>cesión y revisión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 xml:space="preserve"> de los protocolos quirúrgicos, lineamientos sobre bioseguridad, tamización de 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FeLV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 xml:space="preserve">/FIV y 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criterios técnicos de las líneas especiales (CER, TVT, zoonosis y poblaciones vulnerables).</w:t>
      </w:r>
    </w:p>
    <w:p w:rsidRPr="00ED3E24" w:rsidR="003E6E21" w:rsidP="00ED3E24" w:rsidRDefault="003E6E21" w14:paraId="20F0FAC7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57D15D9D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Reuniones técnicas con el Fondo Nacional de Estupefacientes (FNE): definición de mecanismos para el uso y control de medicamentos de manejo especial, esenciales para las cirugías en campo.</w:t>
      </w:r>
    </w:p>
    <w:p w:rsidRPr="00ED3E24" w:rsidR="003E6E21" w:rsidP="00ED3E24" w:rsidRDefault="003E6E21" w14:paraId="16012827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456E2B05" w14:textId="074E3E85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S</w:t>
      </w:r>
      <w:r w:rsidRPr="00ED3E24" w:rsidR="00DE5B88">
        <w:rPr>
          <w:rFonts w:ascii="Verdana" w:hAnsi="Verdana" w:eastAsia="Times New Roman"/>
          <w:sz w:val="24"/>
          <w:szCs w:val="24"/>
          <w:lang w:val="es-ES_tradnl" w:eastAsia="es-ES"/>
        </w:rPr>
        <w:t>olicitud de conceptos y viabilidad al</w:t>
      </w: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 xml:space="preserve"> DNP y MHCP: revisión de los costos estimados y estructura presupuestal del Fondo SINAPYBA, además de la inclusión del programa en el Marco de Gasto de Mediano Plazo.</w:t>
      </w:r>
    </w:p>
    <w:p w:rsidRPr="00ED3E24" w:rsidR="003E6E21" w:rsidP="00ED3E24" w:rsidRDefault="003E6E21" w14:paraId="2E754A44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64AED84F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Participación de Colombia Compra Eficiente: construcción de los pliegos tipo para la contratación de unidades quirúrgicas móviles y servicios veterinarios.</w:t>
      </w:r>
    </w:p>
    <w:p w:rsidRPr="00ED3E24" w:rsidR="003E6E21" w:rsidP="00ED3E24" w:rsidRDefault="003E6E21" w14:paraId="22AD4517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6C403687" w14:textId="74D7A700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 xml:space="preserve">Socialización </w:t>
      </w:r>
      <w:r w:rsidRPr="00ED3E24" w:rsidR="00157EA4">
        <w:rPr>
          <w:rFonts w:ascii="Verdana" w:hAnsi="Verdana" w:eastAsia="Times New Roman"/>
          <w:sz w:val="24"/>
          <w:szCs w:val="24"/>
          <w:lang w:val="es-ES_tradnl" w:eastAsia="es-ES"/>
        </w:rPr>
        <w:t xml:space="preserve">y mesas técnicas </w:t>
      </w: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 xml:space="preserve">con entes </w:t>
      </w:r>
      <w:r w:rsidRPr="00ED3E24" w:rsidR="00157EA4">
        <w:rPr>
          <w:rFonts w:ascii="Verdana" w:hAnsi="Verdana" w:eastAsia="Times New Roman"/>
          <w:sz w:val="24"/>
          <w:szCs w:val="24"/>
          <w:lang w:val="es-ES_tradnl" w:eastAsia="es-ES"/>
        </w:rPr>
        <w:t xml:space="preserve">nacionales y </w:t>
      </w: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territoriales:</w:t>
      </w:r>
      <w:r w:rsidRPr="00ED3E24" w:rsidR="00157EA4">
        <w:rPr>
          <w:rFonts w:ascii="Verdana" w:hAnsi="Verdana"/>
          <w:sz w:val="24"/>
          <w:szCs w:val="24"/>
        </w:rPr>
        <w:t xml:space="preserve"> </w:t>
      </w:r>
      <w:r w:rsidRPr="00ED3E24" w:rsidR="00157EA4">
        <w:rPr>
          <w:rFonts w:ascii="Verdana" w:hAnsi="Verdana" w:eastAsia="Times New Roman"/>
          <w:sz w:val="24"/>
          <w:szCs w:val="24"/>
          <w:lang w:eastAsia="es-ES"/>
        </w:rPr>
        <w:t>el proceso de reglamentación ha contado con el acompañamiento técnico del Consejo Profesional de Medicina Veterinaria y de Zootecnia de Colombia, entidad que ha contribuido a garantizar la coherencia normativa con las competencias profesionales del sector. De igual manera, se ha contado con la participación del Instituto Distrital de Protección y Bienestar Animal (IDPYBA) y del Instituto de Protección y Bienestar Animal de Cundinamarca (IPYBAC), cuyos aportes han sido fundamentales para incorporar experiencias territoriales, validar los procedimientos técnicos de campo y fortalecer los lineamientos sobre unidades móviles y estrategias de control poblacional ético.</w:t>
      </w: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 xml:space="preserve"> </w:t>
      </w:r>
    </w:p>
    <w:p w:rsidRPr="00ED3E24" w:rsidR="003E6E21" w:rsidP="00ED3E24" w:rsidRDefault="003E6E21" w14:paraId="7678DB91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1A0ABAD1" w:rsidRDefault="003E6E21" w14:paraId="45EFB101" w14:textId="16AE5CE0" w14:noSpellErr="1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" w:eastAsia="es-ES"/>
        </w:rPr>
      </w:pP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 xml:space="preserve">La resolución interministerial 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MinAmbiente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–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MinSalud</w:t>
      </w:r>
      <w:r w:rsidRPr="1A0ABAD1" w:rsidR="00DE5B88">
        <w:rPr>
          <w:rFonts w:ascii="Verdana" w:hAnsi="Verdana" w:eastAsia="Times New Roman"/>
          <w:sz w:val="24"/>
          <w:szCs w:val="24"/>
          <w:lang w:val="es-ES" w:eastAsia="es-ES"/>
        </w:rPr>
        <w:t xml:space="preserve"> 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representa el resultado de este proceso técnico y colaborativo. Su objetivo es establecer los protocolos nacionales de esterilización, definir las líneas especiales de atención, los criterios de habilitación sanitaria, y los estándares técnicos que garanticen seguridad, calidad y bienestar animal en todo el territorio nacional.</w:t>
      </w:r>
    </w:p>
    <w:p w:rsidRPr="00ED3E24" w:rsidR="00157EA4" w:rsidP="00ED3E24" w:rsidRDefault="003E6E21" w14:paraId="4E60D183" w14:textId="5E09D3A9">
      <w:pPr>
        <w:pStyle w:val="Ttulo1"/>
        <w:spacing w:line="360" w:lineRule="auto"/>
        <w:rPr>
          <w:rFonts w:eastAsia="Times New Roman"/>
          <w:szCs w:val="24"/>
          <w:lang w:val="es-ES_tradnl" w:eastAsia="es-ES"/>
        </w:rPr>
      </w:pPr>
      <w:bookmarkStart w:name="_Toc211063413" w:id="4"/>
      <w:r w:rsidRPr="00ED3E24">
        <w:rPr>
          <w:rFonts w:eastAsia="Times New Roman"/>
          <w:szCs w:val="24"/>
          <w:lang w:val="es-ES_tradnl" w:eastAsia="es-ES"/>
        </w:rPr>
        <w:t>Fundamento jurídico y competencial</w:t>
      </w:r>
      <w:bookmarkEnd w:id="4"/>
    </w:p>
    <w:p w:rsidRPr="00ED3E24" w:rsidR="003E6E21" w:rsidP="00ED3E24" w:rsidRDefault="003E6E21" w14:paraId="520565F3" w14:textId="3A09E6BE">
      <w:pPr>
        <w:pStyle w:val="Ttulo2"/>
        <w:numPr>
          <w:ilvl w:val="0"/>
          <w:numId w:val="0"/>
        </w:numPr>
        <w:spacing w:line="360" w:lineRule="auto"/>
        <w:ind w:left="720" w:hanging="360"/>
        <w:rPr>
          <w:rFonts w:eastAsia="Times New Roman"/>
          <w:szCs w:val="24"/>
          <w:lang w:val="es-ES_tradnl" w:eastAsia="es-ES"/>
        </w:rPr>
      </w:pPr>
      <w:bookmarkStart w:name="_Toc211063414" w:id="5"/>
      <w:r w:rsidRPr="00ED3E24">
        <w:rPr>
          <w:rFonts w:eastAsia="Times New Roman"/>
          <w:szCs w:val="24"/>
          <w:lang w:val="es-ES_tradnl" w:eastAsia="es-ES"/>
        </w:rPr>
        <w:t>5.1. Marco normativo principal</w:t>
      </w:r>
      <w:bookmarkEnd w:id="5"/>
    </w:p>
    <w:p w:rsidRPr="00ED3E24" w:rsidR="003E6E21" w:rsidP="00ED3E24" w:rsidRDefault="003E6E21" w14:paraId="3424ECA7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La Ley 2374 de 2024 constituye el eje jurídico central del Programa Nacional de Esterilización Quirúrgica de Gatos y Perros. Esta norma establece los principios, objetivos y mecanismos institucionales para desarrollar una política pública nacional en materia de bienestar animal, incorporando un enfoque de salud pública, protección ambiental y ética social.</w:t>
      </w:r>
    </w:p>
    <w:p w:rsidRPr="00ED3E24" w:rsidR="003E6E21" w:rsidP="00ED3E24" w:rsidRDefault="003E6E21" w14:paraId="07978030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5A1D69C8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El mandato legal asigna al Ministerio de Ambiente y Desarrollo Sostenible y al Ministerio de Salud y Protección Social la responsabilidad de reglamentar los procedimientos quirúrgicos, los estándares de bioseguridad, las líneas especiales y los mecanismos financieros del programa. Asimismo, ordena la creación del Fondo Nacional del Sistema de Protección y Bienestar Animal (SINAPYBA) como instrumento presupuestal destinado a financiar las acciones derivadas de esta política.</w:t>
      </w:r>
    </w:p>
    <w:p w:rsidRPr="00ED3E24" w:rsidR="003E6E21" w:rsidP="00ED3E24" w:rsidRDefault="003E6E21" w14:paraId="35700E46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26E06D7F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El marco normativo complementario que sustenta esta reglamentación incluye:</w:t>
      </w:r>
    </w:p>
    <w:p w:rsidRPr="00ED3E24" w:rsidR="003E6E21" w:rsidP="00ED3E24" w:rsidRDefault="003E6E21" w14:paraId="0AD5615B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370486B9" w14:textId="58640714">
      <w:pPr>
        <w:pStyle w:val="Prrafodelista"/>
        <w:numPr>
          <w:ilvl w:val="0"/>
          <w:numId w:val="23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lastRenderedPageBreak/>
        <w:t>Ley 99 de 1993: Crea el Ministerio de Ambiente y define sus competencias, otorgándole la facultad de formular y coordinar políticas relacionadas con la protección de los animales</w:t>
      </w:r>
      <w:r w:rsidRPr="00ED3E24" w:rsidR="00157EA4">
        <w:rPr>
          <w:rFonts w:ascii="Verdana" w:hAnsi="Verdana" w:eastAsia="Times New Roman"/>
          <w:sz w:val="24"/>
          <w:szCs w:val="24"/>
          <w:lang w:val="es-ES_tradnl" w:eastAsia="es-ES"/>
        </w:rPr>
        <w:t xml:space="preserve"> de su competencia</w:t>
      </w: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.</w:t>
      </w:r>
    </w:p>
    <w:p w:rsidRPr="00ED3E24" w:rsidR="003E6E21" w:rsidP="00ED3E24" w:rsidRDefault="003E6E21" w14:paraId="43B1368E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0086CD24" w14:textId="77777777">
      <w:pPr>
        <w:pStyle w:val="Prrafodelista"/>
        <w:numPr>
          <w:ilvl w:val="0"/>
          <w:numId w:val="23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Ley 9 de 1979 (Código Sanitario Nacional): Establece las normas generales sobre salud pública, habilitación de servicios sanitarios y control de riesgos asociados a la manipulación de animales y sus productos.</w:t>
      </w:r>
    </w:p>
    <w:p w:rsidRPr="00ED3E24" w:rsidR="003E6E21" w:rsidP="00ED3E24" w:rsidRDefault="003E6E21" w14:paraId="4E78929A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1A0ABAD1" w:rsidRDefault="003E6E21" w14:paraId="029D0474" w14:textId="77777777" w14:noSpellErr="1">
      <w:pPr>
        <w:pStyle w:val="Prrafodelista"/>
        <w:numPr>
          <w:ilvl w:val="0"/>
          <w:numId w:val="23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" w:eastAsia="es-ES"/>
        </w:rPr>
      </w:pP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Resolución 1229 de 2013 (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MinSalud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): Determina los procedimientos para la habilitación de servicios veterinarios, las condiciones sanitarias y los estándares de bioseguridad aplicables.</w:t>
      </w:r>
    </w:p>
    <w:p w:rsidRPr="00ED3E24" w:rsidR="003E6E21" w:rsidP="00ED3E24" w:rsidRDefault="003E6E21" w14:paraId="5CC0814C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602D326D" w14:textId="77777777">
      <w:pPr>
        <w:pStyle w:val="Prrafodelista"/>
        <w:numPr>
          <w:ilvl w:val="0"/>
          <w:numId w:val="23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Ley 1774 de 2016: Reconoce a los animales como seres sintientes y dispone medidas para prevenir y sancionar el maltrato animal, generando la obligación de promover su bienestar mediante políticas públicas integrales.</w:t>
      </w:r>
    </w:p>
    <w:p w:rsidRPr="00ED3E24" w:rsidR="003E6E21" w:rsidP="00ED3E24" w:rsidRDefault="003E6E21" w14:paraId="40F46D11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7C090D79" w14:textId="77777777">
      <w:pPr>
        <w:pStyle w:val="Prrafodelista"/>
        <w:numPr>
          <w:ilvl w:val="0"/>
          <w:numId w:val="23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Ley 1955 de 2019 (Plan Nacional de Desarrollo): Introduce la transversalidad de la protección y bienestar animal en la planificación del desarrollo sostenible.</w:t>
      </w:r>
    </w:p>
    <w:p w:rsidRPr="00ED3E24" w:rsidR="003E6E21" w:rsidP="00ED3E24" w:rsidRDefault="003E6E21" w14:paraId="0256D52B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="00B07AC1" w:rsidP="00ED3E24" w:rsidRDefault="00B07AC1" w14:paraId="4B80D0F4" w14:textId="70D8C2E7">
      <w:pPr>
        <w:pStyle w:val="Prrafodelista"/>
        <w:numPr>
          <w:ilvl w:val="0"/>
          <w:numId w:val="23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 xml:space="preserve">Decreto 810 de 2025: reglamenta la organización y funcionamiento del Sistema Nacional de Protección y Bienestar Animal (SINAPYBA) como mecanismo de coordinación interinstitucional para la formulación, ejecución y seguimiento de políticas públicas en </w:t>
      </w: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lastRenderedPageBreak/>
        <w:t xml:space="preserve">bienestar animal. El sistema, liderado por el Ministerio de Ambiente y Desarrollo Sostenible, articula de manera óptima para este caso al Ministerio de Salud y Protección Social y al Departamento Nacional de Planeación (DNP). Esta estructura facilita la interlocución intersectorial necesaria para el Programa Nacional de Esterilización Quirúrgica proporcionando un espacio técnico permanente para armonizar lineamientos sanitarios, ambientales y de planeación, evitando duplicidades y fortaleciendo la gestión integral del bienestar animal en el país. </w:t>
      </w:r>
    </w:p>
    <w:p w:rsidRPr="00ED3E24" w:rsidR="00ED3E24" w:rsidP="00ED3E24" w:rsidRDefault="00ED3E24" w14:paraId="6D2DBB12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1A0ABAD1" w:rsidRDefault="003E6E21" w14:paraId="324FFC13" w14:textId="1C4E198E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" w:eastAsia="es-ES"/>
        </w:rPr>
      </w:pP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 xml:space="preserve">Estas normas configuran un marco de actuación coherente que respalda la creación del programa y su vinculación con las estrategias nacionales </w:t>
      </w:r>
      <w:r w:rsidRPr="1A0ABAD1" w:rsidR="00157EA4">
        <w:rPr>
          <w:rFonts w:ascii="Verdana" w:hAnsi="Verdana" w:eastAsia="Times New Roman"/>
          <w:sz w:val="24"/>
          <w:szCs w:val="24"/>
          <w:lang w:val="es-ES" w:eastAsia="es-ES"/>
        </w:rPr>
        <w:t>con enfoque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 xml:space="preserve"> 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One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 xml:space="preserve"> 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Health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 xml:space="preserve"> / Una Sola Salud, en coherencia con los compromisos internacionales adquiridos por Colombia ante la OMSA (antigua OIE) y la OMS.</w:t>
      </w:r>
    </w:p>
    <w:p w:rsidRPr="00ED3E24" w:rsidR="003E6E21" w:rsidP="00ED3E24" w:rsidRDefault="003E6E21" w14:paraId="41863527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54B1E140" w14:textId="77777777">
      <w:pPr>
        <w:pStyle w:val="Ttulo2"/>
        <w:numPr>
          <w:ilvl w:val="0"/>
          <w:numId w:val="0"/>
        </w:numPr>
        <w:spacing w:line="360" w:lineRule="auto"/>
        <w:ind w:left="720" w:hanging="360"/>
        <w:rPr>
          <w:rFonts w:eastAsia="Times New Roman"/>
          <w:szCs w:val="24"/>
          <w:lang w:val="es-ES_tradnl" w:eastAsia="es-ES"/>
        </w:rPr>
      </w:pPr>
      <w:bookmarkStart w:name="_Toc211063415" w:id="6"/>
      <w:r w:rsidRPr="00ED3E24">
        <w:rPr>
          <w:rFonts w:eastAsia="Times New Roman"/>
          <w:szCs w:val="24"/>
          <w:lang w:val="es-ES_tradnl" w:eastAsia="es-ES"/>
        </w:rPr>
        <w:t>5.2. Competencias institucionales</w:t>
      </w:r>
      <w:bookmarkEnd w:id="6"/>
    </w:p>
    <w:p w:rsidRPr="00ED3E24" w:rsidR="003E6E21" w:rsidP="00ED3E24" w:rsidRDefault="003E6E21" w14:paraId="471B240C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7742CB5B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El desarrollo del Programa Nacional de Esterilización y del Fondo SINAPYBA requiere la concurrencia de competencias entre entidades nacionales, en un esquema de gobernanza coordinada y complementaria:</w:t>
      </w:r>
    </w:p>
    <w:p w:rsidRPr="00ED3E24" w:rsidR="003E6E21" w:rsidP="00ED3E24" w:rsidRDefault="003E6E21" w14:paraId="58804A95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1A0ABAD1" w:rsidRDefault="003E6E21" w14:paraId="4CBA1EF4" w14:textId="77777777" w14:noSpellErr="1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" w:eastAsia="es-ES"/>
        </w:rPr>
      </w:pP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• Ministerio de Ambiente y Desarrollo Sostenible (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MinAmbiente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)</w:t>
      </w:r>
    </w:p>
    <w:p w:rsidRPr="00ED3E24" w:rsidR="003E6E21" w:rsidP="00ED3E24" w:rsidRDefault="003E6E21" w14:paraId="1B4254E7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5ABFE8B9" w14:textId="77777777">
      <w:pPr>
        <w:pStyle w:val="Prrafodelista"/>
        <w:numPr>
          <w:ilvl w:val="0"/>
          <w:numId w:val="24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Ejercer la coordinación técnica y jurídica de la política nacional de protección y bienestar animal.</w:t>
      </w:r>
    </w:p>
    <w:p w:rsidRPr="00ED3E24" w:rsidR="003E6E21" w:rsidP="00ED3E24" w:rsidRDefault="003E6E21" w14:paraId="0F4FF400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095061F8" w14:textId="77777777">
      <w:pPr>
        <w:pStyle w:val="Prrafodelista"/>
        <w:numPr>
          <w:ilvl w:val="0"/>
          <w:numId w:val="24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lastRenderedPageBreak/>
        <w:t>Formular y adoptar los lineamientos del Programa Nacional de Esterilización, incluyendo los criterios de bienestar animal, trazabilidad y control poblacional ético.</w:t>
      </w:r>
    </w:p>
    <w:p w:rsidRPr="00ED3E24" w:rsidR="003E6E21" w:rsidP="00ED3E24" w:rsidRDefault="003E6E21" w14:paraId="6BCB22E2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6B06365A" w14:textId="77777777">
      <w:pPr>
        <w:pStyle w:val="Prrafodelista"/>
        <w:numPr>
          <w:ilvl w:val="0"/>
          <w:numId w:val="24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Administrar el Fondo SINAPYBA, garantizando su ejecución conforme a las disposiciones del decreto reglamentario.</w:t>
      </w:r>
    </w:p>
    <w:p w:rsidRPr="00ED3E24" w:rsidR="003E6E21" w:rsidP="00ED3E24" w:rsidRDefault="003E6E21" w14:paraId="68601D71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4A5676E7" w14:textId="77777777">
      <w:pPr>
        <w:pStyle w:val="Prrafodelista"/>
        <w:numPr>
          <w:ilvl w:val="0"/>
          <w:numId w:val="24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Supervisar la integración del programa en los instrumentos de planificación ambiental y territorial.</w:t>
      </w:r>
    </w:p>
    <w:p w:rsidRPr="00ED3E24" w:rsidR="003E6E21" w:rsidP="00ED3E24" w:rsidRDefault="003E6E21" w14:paraId="721C699C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1A0ABAD1" w:rsidRDefault="003E6E21" w14:paraId="470C82E0" w14:textId="77777777" w14:noSpellErr="1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" w:eastAsia="es-ES"/>
        </w:rPr>
      </w:pP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• Ministerio de Salud y Protección Social (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MinSalud</w:t>
      </w:r>
      <w:r w:rsidRPr="1A0ABAD1" w:rsidR="003E6E21">
        <w:rPr>
          <w:rFonts w:ascii="Verdana" w:hAnsi="Verdana" w:eastAsia="Times New Roman"/>
          <w:sz w:val="24"/>
          <w:szCs w:val="24"/>
          <w:lang w:val="es-ES" w:eastAsia="es-ES"/>
        </w:rPr>
        <w:t>)</w:t>
      </w:r>
    </w:p>
    <w:p w:rsidRPr="00ED3E24" w:rsidR="003E6E21" w:rsidP="00ED3E24" w:rsidRDefault="003E6E21" w14:paraId="4605B94B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64A25DFE" w14:textId="77777777">
      <w:pPr>
        <w:pStyle w:val="Prrafodelista"/>
        <w:numPr>
          <w:ilvl w:val="0"/>
          <w:numId w:val="26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Regular los aspectos sanitarios de los procedimientos quirúrgicos, incluyendo la habilitación de servicios veterinarios y las condiciones de bioseguridad.</w:t>
      </w:r>
    </w:p>
    <w:p w:rsidRPr="00ED3E24" w:rsidR="003E6E21" w:rsidP="00ED3E24" w:rsidRDefault="003E6E21" w14:paraId="43FCBAC1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51956404" w14:textId="77777777">
      <w:pPr>
        <w:pStyle w:val="Prrafodelista"/>
        <w:numPr>
          <w:ilvl w:val="0"/>
          <w:numId w:val="26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Establecer los mecanismos de inspección, vigilancia y control (IVC) aplicables a unidades móviles y centros veterinarios.</w:t>
      </w:r>
    </w:p>
    <w:p w:rsidRPr="00ED3E24" w:rsidR="003E6E21" w:rsidP="00ED3E24" w:rsidRDefault="003E6E21" w14:paraId="6B2AC87D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635A57D9" w14:textId="77777777">
      <w:pPr>
        <w:pStyle w:val="Prrafodelista"/>
        <w:numPr>
          <w:ilvl w:val="0"/>
          <w:numId w:val="26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Regular el manejo y control de medicamentos de control especial, en coordinación con el Fondo Nacional de Estupefacientes.</w:t>
      </w:r>
    </w:p>
    <w:p w:rsidRPr="00ED3E24" w:rsidR="003E6E21" w:rsidP="00ED3E24" w:rsidRDefault="003E6E21" w14:paraId="1BE9042A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55517B0D" w14:textId="77777777">
      <w:pPr>
        <w:pStyle w:val="Prrafodelista"/>
        <w:numPr>
          <w:ilvl w:val="0"/>
          <w:numId w:val="25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Participar en la expedición de la resolución interministerial, asegurando la coherencia con la normativa sanitaria vigente.</w:t>
      </w:r>
    </w:p>
    <w:p w:rsidRPr="00ED3E24" w:rsidR="003E6E21" w:rsidP="00ED3E24" w:rsidRDefault="003E6E21" w14:paraId="31EA799D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0B48585A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• Departamento Nacional de Planeación (DNP)</w:t>
      </w:r>
    </w:p>
    <w:p w:rsidRPr="00ED3E24" w:rsidR="003E6E21" w:rsidP="00ED3E24" w:rsidRDefault="003E6E21" w14:paraId="71721FC7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423A0024" w14:textId="77777777">
      <w:pPr>
        <w:pStyle w:val="Prrafodelista"/>
        <w:numPr>
          <w:ilvl w:val="0"/>
          <w:numId w:val="27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lastRenderedPageBreak/>
        <w:t>Definir los criterios de focalización territorial y los indicadores de seguimiento y evaluación del programa.</w:t>
      </w:r>
    </w:p>
    <w:p w:rsidRPr="00ED3E24" w:rsidR="003E6E21" w:rsidP="00ED3E24" w:rsidRDefault="003E6E21" w14:paraId="46243FD1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77B10D7D" w14:textId="77777777">
      <w:pPr>
        <w:pStyle w:val="Prrafodelista"/>
        <w:numPr>
          <w:ilvl w:val="0"/>
          <w:numId w:val="27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Incorporar el Programa Nacional de Esterilización y el Fondo SINAPYBA en los instrumentos de planeación (Plan Nacional de Desarrollo, Marco de Gasto de Mediano Plazo y Banco de Proyectos de Inversión Nacional).</w:t>
      </w:r>
    </w:p>
    <w:p w:rsidRPr="00ED3E24" w:rsidR="003E6E21" w:rsidP="00ED3E24" w:rsidRDefault="003E6E21" w14:paraId="5E5F6912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0D4ED0B4" w14:textId="77777777">
      <w:pPr>
        <w:pStyle w:val="Prrafodelista"/>
        <w:numPr>
          <w:ilvl w:val="0"/>
          <w:numId w:val="27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Acompañar técnicamente la priorización de recursos en el marco de la eficiencia del gasto público.</w:t>
      </w:r>
    </w:p>
    <w:p w:rsidRPr="00ED3E24" w:rsidR="003E6E21" w:rsidP="00ED3E24" w:rsidRDefault="003E6E21" w14:paraId="23A931DB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2CEA5555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• Ministerio de Hacienda y Crédito Público (MHCP)</w:t>
      </w:r>
    </w:p>
    <w:p w:rsidRPr="00ED3E24" w:rsidR="003E6E21" w:rsidP="00ED3E24" w:rsidRDefault="003E6E21" w14:paraId="34D86F41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6E30CE20" w14:textId="77777777">
      <w:pPr>
        <w:pStyle w:val="Prrafodelista"/>
        <w:numPr>
          <w:ilvl w:val="0"/>
          <w:numId w:val="28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Estructurar y validar la viabilidad presupuestal del Fondo SINAPYBA.</w:t>
      </w:r>
    </w:p>
    <w:p w:rsidRPr="00ED3E24" w:rsidR="003E6E21" w:rsidP="00ED3E24" w:rsidRDefault="003E6E21" w14:paraId="6160A6B2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53E7EB48" w14:textId="77777777">
      <w:pPr>
        <w:pStyle w:val="Prrafodelista"/>
        <w:numPr>
          <w:ilvl w:val="0"/>
          <w:numId w:val="28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Acompañar la definición de fuentes y usos de recursos, así como los mecanismos de transferencia a los entes territoriales.</w:t>
      </w:r>
    </w:p>
    <w:p w:rsidRPr="00ED3E24" w:rsidR="003E6E21" w:rsidP="00ED3E24" w:rsidRDefault="003E6E21" w14:paraId="033A0339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639A61EB" w14:textId="77777777">
      <w:pPr>
        <w:pStyle w:val="Prrafodelista"/>
        <w:numPr>
          <w:ilvl w:val="0"/>
          <w:numId w:val="28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Incorporar los recursos del fondo en las vigencias fiscales y proyecciones del Marco de Gasto de Mediano Plazo.</w:t>
      </w:r>
    </w:p>
    <w:p w:rsidRPr="00ED3E24" w:rsidR="003E6E21" w:rsidP="00ED3E24" w:rsidRDefault="003E6E21" w14:paraId="34AB67C4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2EB88A31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• Colombia Compra Eficiente (CCE)</w:t>
      </w:r>
    </w:p>
    <w:p w:rsidRPr="00ED3E24" w:rsidR="003E6E21" w:rsidP="00ED3E24" w:rsidRDefault="003E6E21" w14:paraId="789A5848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5439C43B" w14:textId="77777777">
      <w:pPr>
        <w:pStyle w:val="Prrafodelista"/>
        <w:numPr>
          <w:ilvl w:val="0"/>
          <w:numId w:val="29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Desarrollar los pliegos tipo y lineamientos de contratación para la ejecución de jornadas de esterilización y adquisición de equipos veterinarios.</w:t>
      </w:r>
    </w:p>
    <w:p w:rsidRPr="00ED3E24" w:rsidR="003E6E21" w:rsidP="00ED3E24" w:rsidRDefault="003E6E21" w14:paraId="4729F1DC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2F306A60" w14:textId="77777777">
      <w:pPr>
        <w:pStyle w:val="Prrafodelista"/>
        <w:numPr>
          <w:ilvl w:val="0"/>
          <w:numId w:val="29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lastRenderedPageBreak/>
        <w:t>Garantizar la transparencia y eficiencia en los procesos contractuales del programa.</w:t>
      </w:r>
    </w:p>
    <w:p w:rsidRPr="00ED3E24" w:rsidR="003E6E21" w:rsidP="00ED3E24" w:rsidRDefault="003E6E21" w14:paraId="6F6DBC77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5FE40808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• Entidades territoriales</w:t>
      </w:r>
    </w:p>
    <w:p w:rsidRPr="00ED3E24" w:rsidR="003E6E21" w:rsidP="00ED3E24" w:rsidRDefault="003E6E21" w14:paraId="4A14FCD6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22348718" w14:textId="77777777">
      <w:pPr>
        <w:pStyle w:val="Prrafodelista"/>
        <w:numPr>
          <w:ilvl w:val="0"/>
          <w:numId w:val="30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Ejecutar operativamente las jornadas de esterilización, conforme a los lineamientos nacionales.</w:t>
      </w:r>
    </w:p>
    <w:p w:rsidRPr="00ED3E24" w:rsidR="003E6E21" w:rsidP="00ED3E24" w:rsidRDefault="003E6E21" w14:paraId="542F6608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396A113B" w14:textId="77777777">
      <w:pPr>
        <w:pStyle w:val="Prrafodelista"/>
        <w:numPr>
          <w:ilvl w:val="0"/>
          <w:numId w:val="30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Reportar avances y resultados al SINAPYBA mediante los sistemas de seguimiento definidos.</w:t>
      </w:r>
    </w:p>
    <w:p w:rsidRPr="00ED3E24" w:rsidR="003E6E21" w:rsidP="00ED3E24" w:rsidRDefault="003E6E21" w14:paraId="3523D37C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3A7507BA" w14:textId="77777777">
      <w:pPr>
        <w:pStyle w:val="Prrafodelista"/>
        <w:numPr>
          <w:ilvl w:val="0"/>
          <w:numId w:val="30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Integrar el programa a los planes de desarrollo y presupuestos locales.</w:t>
      </w:r>
    </w:p>
    <w:p w:rsidRPr="00ED3E24" w:rsidR="003E6E21" w:rsidP="00ED3E24" w:rsidRDefault="003E6E21" w14:paraId="36B62F95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064C25C6" w14:textId="77777777">
      <w:pPr>
        <w:pStyle w:val="Ttulo2"/>
        <w:numPr>
          <w:ilvl w:val="0"/>
          <w:numId w:val="0"/>
        </w:numPr>
        <w:spacing w:line="360" w:lineRule="auto"/>
        <w:ind w:left="720" w:hanging="360"/>
        <w:rPr>
          <w:rFonts w:eastAsia="Times New Roman"/>
          <w:szCs w:val="24"/>
          <w:lang w:val="es-ES_tradnl" w:eastAsia="es-ES"/>
        </w:rPr>
      </w:pPr>
      <w:bookmarkStart w:name="_Toc211063416" w:id="7"/>
      <w:r w:rsidRPr="00ED3E24">
        <w:rPr>
          <w:rFonts w:eastAsia="Times New Roman"/>
          <w:szCs w:val="24"/>
          <w:lang w:val="es-ES_tradnl" w:eastAsia="es-ES"/>
        </w:rPr>
        <w:t>5.3. Justificación de la resolución interministerial</w:t>
      </w:r>
      <w:bookmarkEnd w:id="7"/>
    </w:p>
    <w:p w:rsidRPr="00ED3E24" w:rsidR="003E6E21" w:rsidP="00ED3E24" w:rsidRDefault="003E6E21" w14:paraId="3251CAB6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3E6E21" w:rsidP="00ED3E24" w:rsidRDefault="003E6E21" w14:paraId="19062354" w14:textId="65A63D1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 xml:space="preserve">El enfoque integral de la Ley 2374 </w:t>
      </w:r>
      <w:r w:rsidRPr="00ED3E24" w:rsidR="00FE2703">
        <w:rPr>
          <w:rFonts w:ascii="Verdana" w:hAnsi="Verdana" w:eastAsia="Times New Roman"/>
          <w:sz w:val="24"/>
          <w:szCs w:val="24"/>
          <w:lang w:val="es-ES_tradnl" w:eastAsia="es-ES"/>
        </w:rPr>
        <w:t xml:space="preserve">llama </w:t>
      </w:r>
      <w:r w:rsidRPr="00ED3E24" w:rsidR="00B07AC1">
        <w:rPr>
          <w:rFonts w:ascii="Verdana" w:hAnsi="Verdana" w:eastAsia="Times New Roman"/>
          <w:sz w:val="24"/>
          <w:szCs w:val="24"/>
          <w:lang w:val="es-ES_tradnl" w:eastAsia="es-ES"/>
        </w:rPr>
        <w:t>a una</w:t>
      </w: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 xml:space="preserve"> resolución conjunta entre el Ministerio de Ambiente y el Ministerio de Salud, que establezca los protocolos técnicos, sanitarios y operativos para la ejecución del programa en todo el territorio nacional. Este instrumento jurídico garantiza</w:t>
      </w:r>
      <w:r w:rsidRPr="00ED3E24" w:rsidR="00FE2703">
        <w:rPr>
          <w:rFonts w:ascii="Verdana" w:hAnsi="Verdana" w:eastAsia="Times New Roman"/>
          <w:sz w:val="24"/>
          <w:szCs w:val="24"/>
          <w:lang w:val="es-ES_tradnl" w:eastAsia="es-ES"/>
        </w:rPr>
        <w:t xml:space="preserve"> que haya u</w:t>
      </w: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nidad de criterio técnico y sanitario, asegurando que las jornadas de esterilización cumplan estándares de calidad, bienestar animal y bioseguridad</w:t>
      </w:r>
      <w:r w:rsidRPr="00ED3E24" w:rsidR="00FE2703">
        <w:rPr>
          <w:rFonts w:ascii="Verdana" w:hAnsi="Verdana" w:eastAsia="Times New Roman"/>
          <w:sz w:val="24"/>
          <w:szCs w:val="24"/>
          <w:lang w:val="es-ES_tradnl" w:eastAsia="es-ES"/>
        </w:rPr>
        <w:t>, que exista c</w:t>
      </w: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oherencia normativa entre la legislación ambiental y sanitaria, evitando duplicidades o vacíos en la aplicación de competencias</w:t>
      </w:r>
      <w:r w:rsidRPr="00ED3E24" w:rsidR="00FE2703">
        <w:rPr>
          <w:rFonts w:ascii="Verdana" w:hAnsi="Verdana" w:eastAsia="Times New Roman"/>
          <w:sz w:val="24"/>
          <w:szCs w:val="24"/>
          <w:lang w:val="es-ES_tradnl" w:eastAsia="es-ES"/>
        </w:rPr>
        <w:t xml:space="preserve"> y que haya d</w:t>
      </w:r>
      <w:r w:rsidRPr="00ED3E24">
        <w:rPr>
          <w:rFonts w:ascii="Verdana" w:hAnsi="Verdana" w:eastAsia="Times New Roman"/>
          <w:sz w:val="24"/>
          <w:szCs w:val="24"/>
          <w:lang w:val="es-ES_tradnl" w:eastAsia="es-ES"/>
        </w:rPr>
        <w:t>escentralización responsable, mediante la participación de los entes territoriales y el uso de pliegos tipo uniformes.</w:t>
      </w:r>
    </w:p>
    <w:p w:rsidRPr="00ED3E24" w:rsidR="003E6E21" w:rsidP="00ED3E24" w:rsidRDefault="003E6E21" w14:paraId="49C69FE9" w14:textId="309FD1AE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ES_tradnl" w:eastAsia="es-ES"/>
        </w:rPr>
      </w:pPr>
    </w:p>
    <w:p w:rsidRPr="00ED3E24" w:rsidR="008669E5" w:rsidP="00ED3E24" w:rsidRDefault="008669E5" w14:paraId="0E22DC00" w14:textId="0B37A015">
      <w:pPr>
        <w:pStyle w:val="Ttulo1"/>
        <w:spacing w:line="360" w:lineRule="auto"/>
        <w:rPr>
          <w:rFonts w:eastAsia="Times New Roman"/>
          <w:szCs w:val="24"/>
          <w:lang w:val="es-MX" w:eastAsia="es-ES"/>
        </w:rPr>
      </w:pPr>
      <w:bookmarkStart w:name="_Toc211063417" w:id="8"/>
      <w:r w:rsidRPr="00ED3E24">
        <w:rPr>
          <w:rFonts w:eastAsia="Times New Roman"/>
          <w:szCs w:val="24"/>
          <w:lang w:val="es-MX" w:eastAsia="es-ES"/>
        </w:rPr>
        <w:t>Diagnóstico y análisis del contexto</w:t>
      </w:r>
      <w:bookmarkEnd w:id="8"/>
    </w:p>
    <w:p w:rsidRPr="00ED3E24" w:rsidR="00FE2703" w:rsidP="00ED3E24" w:rsidRDefault="00FE2703" w14:paraId="5637D847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8669E5" w:rsidP="00ED3E24" w:rsidRDefault="008669E5" w14:paraId="6A5E943C" w14:textId="77777777">
      <w:pPr>
        <w:pStyle w:val="Ttulo2"/>
        <w:numPr>
          <w:ilvl w:val="0"/>
          <w:numId w:val="0"/>
        </w:numPr>
        <w:spacing w:line="360" w:lineRule="auto"/>
        <w:ind w:left="720" w:hanging="360"/>
        <w:rPr>
          <w:rFonts w:eastAsia="Times New Roman"/>
          <w:szCs w:val="24"/>
          <w:lang w:val="es-MX" w:eastAsia="es-ES"/>
        </w:rPr>
      </w:pPr>
      <w:bookmarkStart w:name="_Toc211063418" w:id="9"/>
      <w:r w:rsidRPr="00ED3E24">
        <w:rPr>
          <w:rFonts w:eastAsia="Times New Roman"/>
          <w:szCs w:val="24"/>
          <w:lang w:val="es-MX" w:eastAsia="es-ES"/>
        </w:rPr>
        <w:t>6.1. Antecedentes del proceso de reglamentación</w:t>
      </w:r>
      <w:bookmarkEnd w:id="9"/>
    </w:p>
    <w:p w:rsidRPr="00ED3E24" w:rsidR="00FE2703" w:rsidP="00ED3E24" w:rsidRDefault="00FE2703" w14:paraId="044F90BC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8669E5" w:rsidP="00ED3E24" w:rsidRDefault="008669E5" w14:paraId="4969B064" w14:textId="7B6F331C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La implementación de la Ley 2374 de 2024 responde a la necesidad de Colombia de establecer una política pública estructurada para el control ético de poblaciones de gatos y perros, </w:t>
      </w:r>
      <w:r w:rsidRPr="00ED3E24" w:rsidR="00B07AC1">
        <w:rPr>
          <w:rFonts w:ascii="Verdana" w:hAnsi="Verdana" w:eastAsia="Times New Roman"/>
          <w:sz w:val="24"/>
          <w:szCs w:val="24"/>
          <w:lang w:val="es-MX" w:eastAsia="es-ES"/>
        </w:rPr>
        <w:t xml:space="preserve">buscando una estrategia que promueva el bienestar animal, </w:t>
      </w: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evitando la sobrepoblación, el abandono y la transmisión de enfermedades zoonóticas</w:t>
      </w:r>
      <w:r w:rsidRPr="00ED3E24" w:rsidR="00CA621A">
        <w:rPr>
          <w:rFonts w:ascii="Verdana" w:hAnsi="Verdana" w:eastAsia="Times New Roman"/>
          <w:sz w:val="24"/>
          <w:szCs w:val="24"/>
          <w:lang w:val="es-MX" w:eastAsia="es-ES"/>
        </w:rPr>
        <w:t xml:space="preserve"> y el impacto a la biodiversidad</w:t>
      </w: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. Desde julio de 2024, el Ministerio de Ambiente y Desarrollo Sostenible (MinAmbiente), a través de la Dirección de Bosques, Biodiversidad y Servicios Ecosistémicos (DBBSE), inició un proceso técnico e interinstitucional de reglamentación, en coordinación con el Ministerio de Salud y Protección Social (MinSalud), el Departamento Nacional de Planeación (DNP), el Ministerio de Hacienda y Crédito Público (MHCP) y Colombia Compra Eficiente (CCE).</w:t>
      </w:r>
    </w:p>
    <w:p w:rsidRPr="00ED3E24" w:rsidR="00B07AC1" w:rsidP="00ED3E24" w:rsidRDefault="00B07AC1" w14:paraId="69160DFD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8669E5" w:rsidP="00ED3E24" w:rsidRDefault="008669E5" w14:paraId="76A0CA0F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Este proceso buscó garantizar que la reglamentación del Programa Nacional de Esterilización Quirúrgica de Gatos y Perros se fundamente en criterios científicos, financieros y jurídicos sólidos, con una mirada integral hacia el bienestar animal, la salud pública y la gestión sostenible de los recursos. En paralelo, se avanzó en la estructuración del Fondo SINAPYBA, instrumento financiero creado por la ley para respaldar la ejecución del programa a nivel nacional.</w:t>
      </w:r>
    </w:p>
    <w:p w:rsidRPr="00ED3E24" w:rsidR="00CA621A" w:rsidP="00ED3E24" w:rsidRDefault="00CA621A" w14:paraId="61A2221D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8669E5" w:rsidP="00ED3E24" w:rsidRDefault="008669E5" w14:paraId="1174AA92" w14:textId="77777777">
      <w:pPr>
        <w:pStyle w:val="Ttulo2"/>
        <w:numPr>
          <w:ilvl w:val="0"/>
          <w:numId w:val="0"/>
        </w:numPr>
        <w:spacing w:line="360" w:lineRule="auto"/>
        <w:ind w:left="360"/>
        <w:rPr>
          <w:rFonts w:eastAsia="Times New Roman"/>
          <w:szCs w:val="24"/>
          <w:lang w:val="es-MX" w:eastAsia="es-ES"/>
        </w:rPr>
      </w:pPr>
      <w:bookmarkStart w:name="_Toc211063419" w:id="10"/>
      <w:r w:rsidRPr="00ED3E24">
        <w:rPr>
          <w:rFonts w:eastAsia="Times New Roman"/>
          <w:szCs w:val="24"/>
          <w:lang w:val="es-MX" w:eastAsia="es-ES"/>
        </w:rPr>
        <w:lastRenderedPageBreak/>
        <w:t>6.2. Cronología de las acciones interinstitucionales (julio 2024 – octubre 2025)</w:t>
      </w:r>
      <w:bookmarkEnd w:id="10"/>
    </w:p>
    <w:p w:rsidRPr="00ED3E24" w:rsidR="00B07AC1" w:rsidP="00ED3E24" w:rsidRDefault="00B07AC1" w14:paraId="0A6F4FA6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8669E5" w:rsidP="00ED3E24" w:rsidRDefault="008669E5" w14:paraId="43C0661A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El proceso de reglamentación ha incluido más de treinta reuniones técnicas, mesas intersectoriales y espacios de concertación entre las entidades participantes. Entre los principales hitos se destacan:</w:t>
      </w:r>
    </w:p>
    <w:p w:rsidRPr="00ED3E24" w:rsidR="00B07AC1" w:rsidP="00ED3E24" w:rsidRDefault="00B07AC1" w14:paraId="59F1089F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8669E5" w:rsidP="00ED3E24" w:rsidRDefault="008669E5" w14:paraId="4719BCBA" w14:textId="77777777">
      <w:pPr>
        <w:numPr>
          <w:ilvl w:val="0"/>
          <w:numId w:val="7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Julio–agosto de 2024: Primeras reuniones de coordinación entre MinAmbiente y MinSalud para la definición del alcance de la resolución conjunta. Participación de universidades (UDEA y CES) en la revisión de protocolos quirúrgicos y buenas prácticas.</w:t>
      </w:r>
    </w:p>
    <w:p w:rsidRPr="00ED3E24" w:rsidR="008669E5" w:rsidP="00ED3E24" w:rsidRDefault="008669E5" w14:paraId="4169F7C6" w14:textId="0EE4A9AF">
      <w:pPr>
        <w:numPr>
          <w:ilvl w:val="0"/>
          <w:numId w:val="7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Agosto de 2024: Socialización en el DAPRE, donde se reafirmó el carácter intersectorial del programa.</w:t>
      </w:r>
    </w:p>
    <w:p w:rsidRPr="00ED3E24" w:rsidR="008669E5" w:rsidP="00ED3E24" w:rsidRDefault="008669E5" w14:paraId="1953365B" w14:textId="77777777">
      <w:pPr>
        <w:numPr>
          <w:ilvl w:val="0"/>
          <w:numId w:val="7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Septiembre–diciembre de 2024: Consolidación del borrador de resolución interministerial, elaboración del estimativo poblacional por MinSalud y presentación del análisis financiero preliminar al MHCP.</w:t>
      </w:r>
    </w:p>
    <w:p w:rsidRPr="00ED3E24" w:rsidR="008669E5" w:rsidP="00ED3E24" w:rsidRDefault="008669E5" w14:paraId="28590937" w14:textId="650B4F16">
      <w:pPr>
        <w:numPr>
          <w:ilvl w:val="0"/>
          <w:numId w:val="7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Marzo–junio de 2025: Desarrollo de mesas técnicas entre MinAmbiente, MinSalud</w:t>
      </w:r>
      <w:r w:rsidRPr="00ED3E24" w:rsidR="00B07AC1">
        <w:rPr>
          <w:rFonts w:ascii="Verdana" w:hAnsi="Verdana" w:eastAsia="Times New Roman"/>
          <w:sz w:val="24"/>
          <w:szCs w:val="24"/>
          <w:lang w:val="es-MX" w:eastAsia="es-ES"/>
        </w:rPr>
        <w:t xml:space="preserve"> y en paralelo, reuniones e intercambio de avances con</w:t>
      </w: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 DNP, MHCP y CCE para definir protocolos quirúrgicos, pliegos tipo y mecanismos de focalización territorial.</w:t>
      </w:r>
    </w:p>
    <w:p w:rsidRPr="00ED3E24" w:rsidR="008669E5" w:rsidP="00ED3E24" w:rsidRDefault="008669E5" w14:paraId="7AC359BF" w14:textId="77777777">
      <w:pPr>
        <w:numPr>
          <w:ilvl w:val="0"/>
          <w:numId w:val="7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Septiembre–octubre de 2025: Revisión final del decreto reglamentario del Fondo SINAPYBA y ajustes a la resolución técnica antes de su publicación para comentarios públicos.</w:t>
      </w:r>
    </w:p>
    <w:p w:rsidRPr="00ED3E24" w:rsidR="00B07AC1" w:rsidP="00ED3E24" w:rsidRDefault="00B07AC1" w14:paraId="7A344193" w14:textId="77777777">
      <w:pPr>
        <w:spacing w:after="0" w:line="360" w:lineRule="auto"/>
        <w:ind w:left="720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8669E5" w:rsidP="00ED3E24" w:rsidRDefault="008669E5" w14:paraId="3356DB44" w14:textId="079ECB84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El proceso ha contado con la colaboración activa del Fondo Nacional de Estupefacientes (FNE), universidades, entidades territoriales y </w:t>
      </w:r>
      <w:r w:rsidRPr="00ED3E24" w:rsidR="00B07AC1">
        <w:rPr>
          <w:rFonts w:ascii="Verdana" w:hAnsi="Verdana" w:eastAsia="Times New Roman"/>
          <w:sz w:val="24"/>
          <w:szCs w:val="24"/>
          <w:lang w:val="es-MX" w:eastAsia="es-ES"/>
        </w:rPr>
        <w:t xml:space="preserve">equipos </w:t>
      </w:r>
      <w:r w:rsidRPr="00ED3E24" w:rsidR="00B07AC1">
        <w:rPr>
          <w:rFonts w:ascii="Verdana" w:hAnsi="Verdana" w:eastAsia="Times New Roman"/>
          <w:sz w:val="24"/>
          <w:szCs w:val="24"/>
          <w:lang w:val="es-MX" w:eastAsia="es-ES"/>
        </w:rPr>
        <w:lastRenderedPageBreak/>
        <w:t>técnicos ministeriales</w:t>
      </w: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, consolidando un enfoque integral basado en la cooperación técnica y el rigor científico.</w:t>
      </w:r>
    </w:p>
    <w:p w:rsidRPr="00ED3E24" w:rsidR="00CA621A" w:rsidP="00ED3E24" w:rsidRDefault="00CA621A" w14:paraId="38A87F7A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8669E5" w:rsidP="00ED3E24" w:rsidRDefault="008669E5" w14:paraId="26268251" w14:textId="77777777">
      <w:pPr>
        <w:pStyle w:val="Ttulo2"/>
        <w:numPr>
          <w:ilvl w:val="0"/>
          <w:numId w:val="0"/>
        </w:numPr>
        <w:spacing w:line="360" w:lineRule="auto"/>
        <w:ind w:left="720" w:hanging="360"/>
        <w:rPr>
          <w:rFonts w:eastAsia="Times New Roman"/>
          <w:szCs w:val="24"/>
          <w:lang w:val="es-MX" w:eastAsia="es-ES"/>
        </w:rPr>
      </w:pPr>
      <w:bookmarkStart w:name="_Toc211063420" w:id="11"/>
      <w:r w:rsidRPr="00ED3E24">
        <w:rPr>
          <w:rFonts w:eastAsia="Times New Roman"/>
          <w:szCs w:val="24"/>
          <w:lang w:val="es-MX" w:eastAsia="es-ES"/>
        </w:rPr>
        <w:t>6.3. Problemáticas y limitaciones identificadas</w:t>
      </w:r>
      <w:bookmarkEnd w:id="11"/>
    </w:p>
    <w:p w:rsidRPr="00ED3E24" w:rsidR="00CA621A" w:rsidP="00ED3E24" w:rsidRDefault="00CA621A" w14:paraId="3663543E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8669E5" w:rsidP="00ED3E24" w:rsidRDefault="008669E5" w14:paraId="2E622343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Durante la formulación de la reglamentación se identificaron diversas problemáticas estructurales y operativas que condicionan la implementación efectiva del programa:</w:t>
      </w:r>
    </w:p>
    <w:p w:rsidRPr="00ED3E24" w:rsidR="00B07AC1" w:rsidP="00ED3E24" w:rsidRDefault="00B07AC1" w14:paraId="191225ED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8669E5" w:rsidP="00ED3E24" w:rsidRDefault="008669E5" w14:paraId="05EF7FE9" w14:textId="77777777">
      <w:pPr>
        <w:numPr>
          <w:ilvl w:val="0"/>
          <w:numId w:val="8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Habilitación de servicios veterinarios: ausencia de una norma específica que regule la habilitación de unidades móviles y centros veterinarios en campo, lo que limita la cobertura territorial.</w:t>
      </w:r>
    </w:p>
    <w:p w:rsidRPr="00ED3E24" w:rsidR="008669E5" w:rsidP="00ED3E24" w:rsidRDefault="008669E5" w14:paraId="500AB475" w14:textId="77777777">
      <w:pPr>
        <w:numPr>
          <w:ilvl w:val="0"/>
          <w:numId w:val="8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Control de medicamentos especiales: los requisitos para la adquisición y transporte de anestésicos y sedantes restringen las jornadas en zonas rurales.</w:t>
      </w:r>
    </w:p>
    <w:p w:rsidRPr="00ED3E24" w:rsidR="008669E5" w:rsidP="00ED3E24" w:rsidRDefault="008669E5" w14:paraId="45B9C9CA" w14:textId="77777777">
      <w:pPr>
        <w:numPr>
          <w:ilvl w:val="0"/>
          <w:numId w:val="8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Instrumentos de inspección, vigilancia y control (IVC): aún no existe un formato único que permita la supervisión de unidades móviles veterinarias.</w:t>
      </w:r>
    </w:p>
    <w:p w:rsidRPr="00ED3E24" w:rsidR="008669E5" w:rsidP="00ED3E24" w:rsidRDefault="008669E5" w14:paraId="037F29B2" w14:textId="77777777">
      <w:pPr>
        <w:numPr>
          <w:ilvl w:val="0"/>
          <w:numId w:val="8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Tamización y diagnóstico en felinos (</w:t>
      </w:r>
      <w:proofErr w:type="spellStart"/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FeLV</w:t>
      </w:r>
      <w:proofErr w:type="spellEnd"/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/FIV): falta de consenso sobre los protocolos de diagnóstico y manejo postoperatorio.</w:t>
      </w:r>
    </w:p>
    <w:p w:rsidRPr="00ED3E24" w:rsidR="008669E5" w:rsidP="00ED3E24" w:rsidRDefault="008669E5" w14:paraId="406F46F0" w14:textId="77777777">
      <w:pPr>
        <w:numPr>
          <w:ilvl w:val="0"/>
          <w:numId w:val="8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Acceso territorial: carencia de infraestructura sanitaria en zonas rurales y comunidades étnicas, que demanda estrategias móviles y temporales de intervención.</w:t>
      </w:r>
    </w:p>
    <w:p w:rsidRPr="00ED3E24" w:rsidR="008669E5" w:rsidP="00ED3E24" w:rsidRDefault="008669E5" w14:paraId="080144A6" w14:textId="77777777">
      <w:pPr>
        <w:numPr>
          <w:ilvl w:val="0"/>
          <w:numId w:val="8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Cobertura y gratuidad: necesidad de definir criterios de focalización basados en vulnerabilidad socioeconómica (Sisbén IV) y riesgo zoonótico.</w:t>
      </w:r>
    </w:p>
    <w:p w:rsidRPr="00ED3E24" w:rsidR="008669E5" w:rsidP="00ED3E24" w:rsidRDefault="008669E5" w14:paraId="33B35784" w14:textId="77777777">
      <w:pPr>
        <w:numPr>
          <w:ilvl w:val="0"/>
          <w:numId w:val="8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lastRenderedPageBreak/>
        <w:t>Financiación y contratación: dependencia de la expedición de los protocolos técnicos para culminar los pliegos tipo elaborados por CCE.</w:t>
      </w:r>
    </w:p>
    <w:p w:rsidRPr="00ED3E24" w:rsidR="008669E5" w:rsidP="00ED3E24" w:rsidRDefault="008669E5" w14:paraId="02313A2C" w14:textId="77777777">
      <w:pPr>
        <w:numPr>
          <w:ilvl w:val="0"/>
          <w:numId w:val="8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Fondo SINAPYBA: pendiente la expedición del decreto reglamentario que le dé operatividad presupuestal y administrativa.</w:t>
      </w:r>
    </w:p>
    <w:p w:rsidRPr="00ED3E24" w:rsidR="00CA621A" w:rsidP="00ED3E24" w:rsidRDefault="00CA621A" w14:paraId="6DB5E987" w14:textId="77777777">
      <w:pPr>
        <w:spacing w:after="0" w:line="360" w:lineRule="auto"/>
        <w:ind w:left="720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8669E5" w:rsidP="00ED3E24" w:rsidRDefault="008669E5" w14:paraId="35916DF2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Estas limitaciones han sido abordadas de manera progresiva en el marco de las mesas técnicas, priorizando la definición de lineamientos que permitan superar los cuellos de botella y garantizar la sostenibilidad del programa.</w:t>
      </w:r>
    </w:p>
    <w:p w:rsidRPr="00ED3E24" w:rsidR="00CA621A" w:rsidP="00ED3E24" w:rsidRDefault="00CA621A" w14:paraId="2AA17B35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8669E5" w:rsidP="00ED3E24" w:rsidRDefault="008669E5" w14:paraId="2733AD17" w14:textId="76CCD202">
      <w:pPr>
        <w:pStyle w:val="Ttulo2"/>
        <w:numPr>
          <w:ilvl w:val="0"/>
          <w:numId w:val="0"/>
        </w:numPr>
        <w:spacing w:line="360" w:lineRule="auto"/>
        <w:ind w:left="720" w:hanging="360"/>
        <w:rPr>
          <w:rFonts w:eastAsia="Times New Roman"/>
          <w:szCs w:val="24"/>
          <w:lang w:val="es-MX" w:eastAsia="es-ES"/>
        </w:rPr>
      </w:pPr>
      <w:bookmarkStart w:name="_Toc211063421" w:id="12"/>
      <w:r w:rsidRPr="00ED3E24">
        <w:rPr>
          <w:rFonts w:eastAsia="Times New Roman"/>
          <w:szCs w:val="24"/>
          <w:lang w:val="es-MX" w:eastAsia="es-ES"/>
        </w:rPr>
        <w:t>6.4. Avances institucionales</w:t>
      </w:r>
      <w:bookmarkEnd w:id="12"/>
    </w:p>
    <w:p w:rsidRPr="00ED3E24" w:rsidR="00B07AC1" w:rsidP="00ED3E24" w:rsidRDefault="00B07AC1" w14:paraId="53AE7D95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8669E5" w:rsidP="00ED3E24" w:rsidRDefault="008669E5" w14:paraId="0484237A" w14:textId="24F0E422">
      <w:pPr>
        <w:numPr>
          <w:ilvl w:val="0"/>
          <w:numId w:val="9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MinAmbiente: </w:t>
      </w:r>
      <w:r w:rsidRPr="00ED3E24" w:rsidR="002C0F57">
        <w:rPr>
          <w:rFonts w:ascii="Verdana" w:hAnsi="Verdana" w:eastAsia="Times New Roman"/>
          <w:sz w:val="24"/>
          <w:szCs w:val="24"/>
          <w:lang w:val="es-MX" w:eastAsia="es-ES"/>
        </w:rPr>
        <w:t>asumió la coordinación técnica, jurídica y presupuestal del proceso, consolidando los lineamientos del programa y gestionando su incorporación en el Marco de Gasto de Mediano Plazo 2026–2029.</w:t>
      </w:r>
    </w:p>
    <w:p w:rsidRPr="00ED3E24" w:rsidR="008669E5" w:rsidP="00ED3E24" w:rsidRDefault="008669E5" w14:paraId="5C51A3CF" w14:textId="77777777">
      <w:pPr>
        <w:numPr>
          <w:ilvl w:val="0"/>
          <w:numId w:val="9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MinSalud: consolidó los criterios de habilitación sanitaria y bioseguridad, y elaboró los borradores de los protocolos quirúrgicos nacionales.</w:t>
      </w:r>
    </w:p>
    <w:p w:rsidRPr="00ED3E24" w:rsidR="008669E5" w:rsidP="00ED3E24" w:rsidRDefault="008669E5" w14:paraId="5E2BD0E9" w14:textId="77777777">
      <w:pPr>
        <w:numPr>
          <w:ilvl w:val="0"/>
          <w:numId w:val="9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MHCP: revisó la estructura de costos y validó las proyecciones presupuestales del Fondo SINAPYBA.</w:t>
      </w:r>
    </w:p>
    <w:p w:rsidRPr="00ED3E24" w:rsidR="008669E5" w:rsidP="00ED3E24" w:rsidRDefault="008669E5" w14:paraId="51FA7108" w14:textId="175807B9">
      <w:pPr>
        <w:numPr>
          <w:ilvl w:val="0"/>
          <w:numId w:val="9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CCE: desarroll</w:t>
      </w:r>
      <w:r w:rsidRPr="00ED3E24" w:rsidR="00B07AC1">
        <w:rPr>
          <w:rFonts w:ascii="Verdana" w:hAnsi="Verdana" w:eastAsia="Times New Roman"/>
          <w:sz w:val="24"/>
          <w:szCs w:val="24"/>
          <w:lang w:val="es-MX" w:eastAsia="es-ES"/>
        </w:rPr>
        <w:t>ará</w:t>
      </w: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 los pliegos tipo y las directrices de contratación para servicios veterinarios y unidades quirúrgicas móviles.</w:t>
      </w:r>
    </w:p>
    <w:p w:rsidRPr="00ED3E24" w:rsidR="00256A40" w:rsidP="00ED3E24" w:rsidRDefault="00256A40" w14:paraId="276279F9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8669E5" w:rsidP="00ED3E24" w:rsidRDefault="008669E5" w14:paraId="0FCF1973" w14:textId="5E6D6FAF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lastRenderedPageBreak/>
        <w:t>Asimismo, el FNE acompañó la revisión de mecanismos de control de medicamentos de manejo especial, proponiendo lineamientos de uso racional y distribución por entidad territorial.</w:t>
      </w:r>
    </w:p>
    <w:p w:rsidRPr="00ED3E24" w:rsidR="00256A40" w:rsidP="00ED3E24" w:rsidRDefault="00256A40" w14:paraId="50932D90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8669E5" w:rsidP="00ED3E24" w:rsidRDefault="008669E5" w14:paraId="17100694" w14:textId="07EE006E">
      <w:pPr>
        <w:pStyle w:val="Ttulo2"/>
        <w:numPr>
          <w:ilvl w:val="0"/>
          <w:numId w:val="0"/>
        </w:numPr>
        <w:spacing w:line="360" w:lineRule="auto"/>
        <w:ind w:left="720" w:hanging="360"/>
        <w:rPr>
          <w:rFonts w:eastAsia="Times New Roman"/>
          <w:szCs w:val="24"/>
          <w:lang w:val="es-MX" w:eastAsia="es-ES"/>
        </w:rPr>
      </w:pPr>
      <w:bookmarkStart w:name="_Toc211063422" w:id="13"/>
      <w:r w:rsidRPr="00ED3E24">
        <w:rPr>
          <w:rFonts w:eastAsia="Times New Roman"/>
          <w:szCs w:val="24"/>
          <w:lang w:val="es-MX" w:eastAsia="es-ES"/>
        </w:rPr>
        <w:t>6.5. Estado actual (octubre de 2025)</w:t>
      </w:r>
      <w:bookmarkEnd w:id="13"/>
    </w:p>
    <w:p w:rsidRPr="00ED3E24" w:rsidR="00256A40" w:rsidP="00ED3E24" w:rsidRDefault="00256A40" w14:paraId="131A248C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8669E5" w:rsidP="00ED3E24" w:rsidRDefault="008669E5" w14:paraId="5CD91F46" w14:textId="3947D098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Al cierre de octubre de 2025, el proceso de reglamentación presenta los siguientes avances:</w:t>
      </w:r>
    </w:p>
    <w:p w:rsidRPr="00ED3E24" w:rsidR="00B07AC1" w:rsidP="00ED3E24" w:rsidRDefault="00B07AC1" w14:paraId="2EF1035F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8669E5" w:rsidP="00ED3E24" w:rsidRDefault="008669E5" w14:paraId="40A0CF28" w14:textId="77777777">
      <w:pPr>
        <w:numPr>
          <w:ilvl w:val="0"/>
          <w:numId w:val="10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La resolución interministerial MinAmbiente–</w:t>
      </w:r>
      <w:proofErr w:type="spellStart"/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MinSalud</w:t>
      </w:r>
      <w:proofErr w:type="spellEnd"/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 está lista para publicación y recepción de observaciones ciudadanas.</w:t>
      </w:r>
    </w:p>
    <w:p w:rsidRPr="00ED3E24" w:rsidR="008669E5" w:rsidP="00ED3E24" w:rsidRDefault="008669E5" w14:paraId="74380333" w14:textId="77777777">
      <w:pPr>
        <w:numPr>
          <w:ilvl w:val="0"/>
          <w:numId w:val="10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Los protocolos técnicos y quirúrgicos desarrollados por UDEA y CES fueron aprobados preliminarmente, pendientes de adopción formal en la resolución.</w:t>
      </w:r>
    </w:p>
    <w:p w:rsidRPr="00ED3E24" w:rsidR="008669E5" w:rsidP="00ED3E24" w:rsidRDefault="008669E5" w14:paraId="23DFBB48" w14:textId="77777777">
      <w:pPr>
        <w:numPr>
          <w:ilvl w:val="0"/>
          <w:numId w:val="10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Se definieron las líneas especiales de atención:</w:t>
      </w:r>
    </w:p>
    <w:p w:rsidRPr="00ED3E24" w:rsidR="008669E5" w:rsidP="00ED3E24" w:rsidRDefault="008669E5" w14:paraId="59208775" w14:textId="77777777">
      <w:pPr>
        <w:numPr>
          <w:ilvl w:val="1"/>
          <w:numId w:val="31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Captura, Esterilización y Retorno (CER).</w:t>
      </w:r>
    </w:p>
    <w:p w:rsidRPr="00ED3E24" w:rsidR="008669E5" w:rsidP="00ED3E24" w:rsidRDefault="008669E5" w14:paraId="4FF96639" w14:textId="77777777">
      <w:pPr>
        <w:numPr>
          <w:ilvl w:val="1"/>
          <w:numId w:val="31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Animales con enfermedades zoonóticas.</w:t>
      </w:r>
    </w:p>
    <w:p w:rsidRPr="00ED3E24" w:rsidR="008669E5" w:rsidP="00ED3E24" w:rsidRDefault="008669E5" w14:paraId="2DD386EE" w14:textId="77777777">
      <w:pPr>
        <w:numPr>
          <w:ilvl w:val="1"/>
          <w:numId w:val="31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Poblaciones vulnerables y en situación de calle.</w:t>
      </w:r>
    </w:p>
    <w:p w:rsidRPr="00ED3E24" w:rsidR="008669E5" w:rsidP="00ED3E24" w:rsidRDefault="008669E5" w14:paraId="26EC135B" w14:textId="77777777">
      <w:pPr>
        <w:numPr>
          <w:ilvl w:val="1"/>
          <w:numId w:val="31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Tumores venéreos transmisibles (TVT).</w:t>
      </w:r>
    </w:p>
    <w:p w:rsidRPr="00ED3E24" w:rsidR="008669E5" w:rsidP="00ED3E24" w:rsidRDefault="008669E5" w14:paraId="49AF5B0E" w14:textId="77777777">
      <w:pPr>
        <w:numPr>
          <w:ilvl w:val="1"/>
          <w:numId w:val="31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Felinos positivos a </w:t>
      </w:r>
      <w:proofErr w:type="spellStart"/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FeLV</w:t>
      </w:r>
      <w:proofErr w:type="spellEnd"/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/FIV con enfoque diferencial.</w:t>
      </w:r>
    </w:p>
    <w:p w:rsidRPr="00ED3E24" w:rsidR="00256A40" w:rsidP="00ED3E24" w:rsidRDefault="00256A40" w14:paraId="7CBDE350" w14:textId="77777777">
      <w:pPr>
        <w:spacing w:after="0" w:line="360" w:lineRule="auto"/>
        <w:ind w:left="1440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256A40" w:rsidP="00ED3E24" w:rsidRDefault="00754C90" w14:paraId="2824DDEB" w14:textId="57FDD75E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Una vez se ajuste a los comentarios,</w:t>
      </w:r>
      <w:r w:rsidRPr="00ED3E24" w:rsidR="008669E5">
        <w:rPr>
          <w:rFonts w:ascii="Verdana" w:hAnsi="Verdana" w:eastAsia="Times New Roman"/>
          <w:sz w:val="24"/>
          <w:szCs w:val="24"/>
          <w:lang w:val="es-MX" w:eastAsia="es-ES"/>
        </w:rPr>
        <w:t xml:space="preserve"> </w:t>
      </w: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el país contará</w:t>
      </w:r>
      <w:r w:rsidRPr="00ED3E24" w:rsidR="008669E5">
        <w:rPr>
          <w:rFonts w:ascii="Verdana" w:hAnsi="Verdana" w:eastAsia="Times New Roman"/>
          <w:sz w:val="24"/>
          <w:szCs w:val="24"/>
          <w:lang w:val="es-MX" w:eastAsia="es-ES"/>
        </w:rPr>
        <w:t xml:space="preserve"> con los insumos técnicos, jurídicos y presupuestales para iniciar la implementación del Programa Nacional de Esterilización, una vez se expidan los actos administrativos correspondientes.</w:t>
      </w:r>
    </w:p>
    <w:p w:rsidRPr="00ED3E24" w:rsidR="003F3E8D" w:rsidP="00ED3E24" w:rsidRDefault="003F3E8D" w14:paraId="41E07CBC" w14:textId="7B9E159C">
      <w:pPr>
        <w:pStyle w:val="Ttulo1"/>
        <w:spacing w:line="360" w:lineRule="auto"/>
        <w:rPr>
          <w:rFonts w:eastAsia="Times New Roman"/>
          <w:szCs w:val="24"/>
          <w:lang w:val="es-MX" w:eastAsia="es-ES"/>
        </w:rPr>
      </w:pPr>
      <w:bookmarkStart w:name="_Toc211063423" w:id="14"/>
      <w:r w:rsidRPr="00ED3E24">
        <w:rPr>
          <w:rFonts w:eastAsia="Times New Roman"/>
          <w:szCs w:val="24"/>
          <w:lang w:val="es-MX" w:eastAsia="es-ES"/>
        </w:rPr>
        <w:t>Fundamento técnico y científico</w:t>
      </w:r>
      <w:bookmarkEnd w:id="14"/>
    </w:p>
    <w:p w:rsidRPr="00ED3E24" w:rsidR="00256A40" w:rsidP="00ED3E24" w:rsidRDefault="00256A40" w14:paraId="37E1B834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5C1E1821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lastRenderedPageBreak/>
        <w:t>7.1. Enfoque científico y conceptual</w:t>
      </w:r>
    </w:p>
    <w:p w:rsidRPr="00ED3E24" w:rsidR="00256A40" w:rsidP="00ED3E24" w:rsidRDefault="00256A40" w14:paraId="4CAD9F27" w14:textId="77777777">
      <w:pPr>
        <w:pStyle w:val="Ttulo2"/>
        <w:numPr>
          <w:ilvl w:val="0"/>
          <w:numId w:val="0"/>
        </w:numPr>
        <w:spacing w:line="360" w:lineRule="auto"/>
        <w:rPr>
          <w:rFonts w:eastAsia="Times New Roman"/>
          <w:szCs w:val="24"/>
          <w:lang w:val="es-MX" w:eastAsia="es-ES"/>
        </w:rPr>
      </w:pPr>
    </w:p>
    <w:p w:rsidRPr="00ED3E24" w:rsidR="003F3E8D" w:rsidP="00ED3E24" w:rsidRDefault="003F3E8D" w14:paraId="0990900B" w14:textId="370DEFBA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El Programa Nacional de Esterilización Quirúrgica de Gatos y Perros se fundamenta en un enfoque técnico, científico y ético, orientado a garantizar el control poblacional de animales de compañía mediante procedimientos quirúrgicos seguros, eficientes y humanitarios. Este enfoque se inscribe dentro de la política nacional de</w:t>
      </w:r>
      <w:r w:rsidRPr="00ED3E24" w:rsidR="00256A40">
        <w:rPr>
          <w:rFonts w:ascii="Verdana" w:hAnsi="Verdana" w:eastAsia="Times New Roman"/>
          <w:sz w:val="24"/>
          <w:szCs w:val="24"/>
          <w:lang w:val="es-MX" w:eastAsia="es-ES"/>
        </w:rPr>
        <w:t xml:space="preserve"> protección y</w:t>
      </w: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 bienestar animal</w:t>
      </w:r>
      <w:r w:rsidRPr="00ED3E24" w:rsidR="00256A40">
        <w:rPr>
          <w:rFonts w:ascii="Verdana" w:hAnsi="Verdana" w:eastAsia="Times New Roman"/>
          <w:sz w:val="24"/>
          <w:szCs w:val="24"/>
          <w:lang w:val="es-MX" w:eastAsia="es-ES"/>
        </w:rPr>
        <w:t xml:space="preserve"> PNPYBA</w:t>
      </w: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 y </w:t>
      </w:r>
      <w:r w:rsidRPr="00ED3E24" w:rsidR="00754C90">
        <w:rPr>
          <w:rFonts w:ascii="Verdana" w:hAnsi="Verdana" w:eastAsia="Times New Roman"/>
          <w:sz w:val="24"/>
          <w:szCs w:val="24"/>
          <w:lang w:val="es-MX" w:eastAsia="es-ES"/>
        </w:rPr>
        <w:t>del enfoque</w:t>
      </w: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 Una Salud (</w:t>
      </w:r>
      <w:proofErr w:type="spellStart"/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One</w:t>
      </w:r>
      <w:proofErr w:type="spellEnd"/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 </w:t>
      </w:r>
      <w:proofErr w:type="spellStart"/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Health</w:t>
      </w:r>
      <w:proofErr w:type="spellEnd"/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), que reconoce la interdependencia entre la salud animal, humana y ambiental.</w:t>
      </w:r>
    </w:p>
    <w:p w:rsidRPr="00ED3E24" w:rsidR="00754C90" w:rsidP="00ED3E24" w:rsidRDefault="00754C90" w14:paraId="0ABF7CCA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09F2B89C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El fundamento técnico del programa se estructura sobre los siguientes principios:</w:t>
      </w:r>
    </w:p>
    <w:p w:rsidRPr="00ED3E24" w:rsidR="00754C90" w:rsidP="00ED3E24" w:rsidRDefault="00754C90" w14:paraId="587C6CEB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3FA0FE81" w14:textId="77777777">
      <w:pPr>
        <w:numPr>
          <w:ilvl w:val="0"/>
          <w:numId w:val="11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Bienestar animal: todos los procedimientos deben asegurar la ausencia de dolor, miedo, sufrimiento o estrés innecesario, cumpliendo con los cinco dominios de bienestar animal reconocidos por la OMSA.</w:t>
      </w:r>
    </w:p>
    <w:p w:rsidRPr="00ED3E24" w:rsidR="003F3E8D" w:rsidP="00ED3E24" w:rsidRDefault="003F3E8D" w14:paraId="1E507FCB" w14:textId="77777777">
      <w:pPr>
        <w:numPr>
          <w:ilvl w:val="0"/>
          <w:numId w:val="11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Bioseguridad y control sanitario: la ejecución de cirugías, manejo de insumos y disposición de residuos debe ajustarse a las normas sanitarias nacionales e internacionales.</w:t>
      </w:r>
    </w:p>
    <w:p w:rsidRPr="00ED3E24" w:rsidR="003F3E8D" w:rsidP="00ED3E24" w:rsidRDefault="003F3E8D" w14:paraId="11435BED" w14:textId="77777777">
      <w:pPr>
        <w:numPr>
          <w:ilvl w:val="0"/>
          <w:numId w:val="11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Estandarización de procedimientos: los protocolos deben ser uniformes a nivel nacional, garantizando calidad técnica, trazabilidad y comparabilidad de resultados.</w:t>
      </w:r>
    </w:p>
    <w:p w:rsidRPr="00ED3E24" w:rsidR="003F3E8D" w:rsidP="00ED3E24" w:rsidRDefault="003F3E8D" w14:paraId="602A4A05" w14:textId="77777777">
      <w:pPr>
        <w:numPr>
          <w:ilvl w:val="0"/>
          <w:numId w:val="11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Criterios de costo-efectividad: la planificación de las jornadas y la adquisición de insumos deben maximizar la cobertura con el uso racional de los recursos.</w:t>
      </w:r>
    </w:p>
    <w:p w:rsidRPr="00ED3E24" w:rsidR="003F3E8D" w:rsidP="00ED3E24" w:rsidRDefault="003F3E8D" w14:paraId="51668120" w14:textId="77777777">
      <w:pPr>
        <w:numPr>
          <w:ilvl w:val="0"/>
          <w:numId w:val="11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lastRenderedPageBreak/>
        <w:t>Responsabilidad social y territorialidad: el programa debe priorizar poblaciones vulnerables, comunidades rurales y zonas con altos índices de abandono o riesgo zoonótico.</w:t>
      </w:r>
    </w:p>
    <w:p w:rsidRPr="00ED3E24" w:rsidR="00256A40" w:rsidP="00ED3E24" w:rsidRDefault="00256A40" w14:paraId="6A08D333" w14:textId="77777777">
      <w:pPr>
        <w:spacing w:after="0" w:line="360" w:lineRule="auto"/>
        <w:ind w:left="720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64748443" w14:textId="77777777">
      <w:pPr>
        <w:pStyle w:val="Ttulo2"/>
        <w:numPr>
          <w:ilvl w:val="0"/>
          <w:numId w:val="0"/>
        </w:numPr>
        <w:spacing w:line="360" w:lineRule="auto"/>
        <w:ind w:left="720" w:hanging="360"/>
        <w:rPr>
          <w:rFonts w:eastAsia="Times New Roman"/>
          <w:szCs w:val="24"/>
          <w:lang w:val="es-MX" w:eastAsia="es-ES"/>
        </w:rPr>
      </w:pPr>
      <w:bookmarkStart w:name="_Toc211063424" w:id="15"/>
      <w:r w:rsidRPr="00ED3E24">
        <w:rPr>
          <w:rFonts w:eastAsia="Times New Roman"/>
          <w:szCs w:val="24"/>
          <w:lang w:val="es-MX" w:eastAsia="es-ES"/>
        </w:rPr>
        <w:t>7.2. Protocolos quirúrgicos nacionales</w:t>
      </w:r>
      <w:bookmarkEnd w:id="15"/>
    </w:p>
    <w:p w:rsidRPr="00ED3E24" w:rsidR="00256A40" w:rsidP="00ED3E24" w:rsidRDefault="00256A40" w14:paraId="2EDB4E7A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F6261D" w:rsidP="00ED3E24" w:rsidRDefault="003F3E8D" w14:paraId="3AFFBA90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Los protocolos técnicos y quirúrgicos fueron </w:t>
      </w:r>
      <w:r w:rsidRPr="00ED3E24" w:rsidR="00256A40">
        <w:rPr>
          <w:rFonts w:ascii="Verdana" w:hAnsi="Verdana" w:eastAsia="Times New Roman"/>
          <w:sz w:val="24"/>
          <w:szCs w:val="24"/>
          <w:lang w:val="es-MX" w:eastAsia="es-ES"/>
        </w:rPr>
        <w:t>cedidos</w:t>
      </w: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 por un equipo interdisciplinario de expertos de la Universidad de Antioquia (UDEA) y el CES de Medellín</w:t>
      </w:r>
      <w:r w:rsidRPr="00ED3E24" w:rsidR="00256A40">
        <w:rPr>
          <w:rFonts w:ascii="Verdana" w:hAnsi="Verdana" w:eastAsia="Times New Roman"/>
          <w:sz w:val="24"/>
          <w:szCs w:val="24"/>
          <w:lang w:val="es-MX" w:eastAsia="es-ES"/>
        </w:rPr>
        <w:t>.  La alianza de estas dos universidades ha llevado a cabo más de un millón de esterilizaciones quirúrgicas en campañas masivas dentro del departamento de Antioquia</w:t>
      </w:r>
      <w:r w:rsidRPr="00ED3E24" w:rsidR="00F6261D">
        <w:rPr>
          <w:rFonts w:ascii="Verdana" w:hAnsi="Verdana" w:eastAsia="Times New Roman"/>
          <w:sz w:val="24"/>
          <w:szCs w:val="24"/>
          <w:lang w:val="es-MX" w:eastAsia="es-ES"/>
        </w:rPr>
        <w:t>, implementando la técnica de abordaje lateral en hembras.</w:t>
      </w: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 </w:t>
      </w:r>
    </w:p>
    <w:p w:rsidRPr="00ED3E24" w:rsidR="003F3E8D" w:rsidP="00ED3E24" w:rsidRDefault="00F6261D" w14:paraId="6502DDCC" w14:textId="33FDAE36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Una vez recibidos, estos documentos fueron evaluados por el consejo profesional de medicina veterinaria y zootecnia de Colombia y contrastados y revisados técnicamente por el IDPYBA e IPYBAC, quienes también poseen una amplia experiencia en territorio y enriquecieron y fortalecieron aún más el documento con sus aportes técnicos. </w:t>
      </w:r>
      <w:r w:rsidRPr="00ED3E24" w:rsidR="003F3E8D">
        <w:rPr>
          <w:rFonts w:ascii="Verdana" w:hAnsi="Verdana" w:eastAsia="Times New Roman"/>
          <w:sz w:val="24"/>
          <w:szCs w:val="24"/>
          <w:lang w:val="es-MX" w:eastAsia="es-ES"/>
        </w:rPr>
        <w:t>Estos documentos establecen los estándares mínimos obligatorios para la realización de procedimientos de esterilización quirúrgica en gatos y perros, tanto en instalaciones fijas como en unidades móviles.</w:t>
      </w:r>
    </w:p>
    <w:p w:rsidRPr="00ED3E24" w:rsidR="00F6261D" w:rsidP="00ED3E24" w:rsidRDefault="00F6261D" w14:paraId="1B621791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3A03C4AF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a) Criterios de selección de animales</w:t>
      </w:r>
    </w:p>
    <w:p w:rsidRPr="00ED3E24" w:rsidR="003F3E8D" w:rsidP="00ED3E24" w:rsidRDefault="003F3E8D" w14:paraId="3D9D44CB" w14:textId="77777777">
      <w:pPr>
        <w:numPr>
          <w:ilvl w:val="0"/>
          <w:numId w:val="12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Los animales candidatos a esterilización deben estar clínicamente sanos, con edad mínima de 2 meses o peso superior a 1,5 kg.</w:t>
      </w:r>
    </w:p>
    <w:p w:rsidRPr="00ED3E24" w:rsidR="003F3E8D" w:rsidP="00ED3E24" w:rsidRDefault="003F3E8D" w14:paraId="5564E3B4" w14:textId="77777777">
      <w:pPr>
        <w:numPr>
          <w:ilvl w:val="0"/>
          <w:numId w:val="12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Se priorizan animales de comunidades vulnerables, en situación de calle, bajo programas de protección o pertenecientes a tutores de estratos 1 a 3.</w:t>
      </w:r>
    </w:p>
    <w:p w:rsidRPr="00ED3E24" w:rsidR="003F3E8D" w:rsidP="00ED3E24" w:rsidRDefault="003F3E8D" w14:paraId="1A8066EE" w14:textId="77777777">
      <w:pPr>
        <w:numPr>
          <w:ilvl w:val="0"/>
          <w:numId w:val="12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lastRenderedPageBreak/>
        <w:t>Los animales con enfermedades transmisibles o sistémicas deberán ser evaluados individualmente y remitidos según los lineamientos técnicos.</w:t>
      </w:r>
    </w:p>
    <w:p w:rsidRPr="00ED3E24" w:rsidR="00F6261D" w:rsidP="00ED3E24" w:rsidRDefault="00F6261D" w14:paraId="2AF56028" w14:textId="77777777">
      <w:pPr>
        <w:spacing w:after="0" w:line="360" w:lineRule="auto"/>
        <w:ind w:left="720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4AF97993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b) Evaluación preoperatoria</w:t>
      </w:r>
    </w:p>
    <w:p w:rsidRPr="00ED3E24" w:rsidR="003F3E8D" w:rsidP="00ED3E24" w:rsidRDefault="003F3E8D" w14:paraId="5FB9D052" w14:textId="77777777">
      <w:pPr>
        <w:numPr>
          <w:ilvl w:val="0"/>
          <w:numId w:val="13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Examen clínico general y evaluación de parámetros fisiológicos.</w:t>
      </w:r>
    </w:p>
    <w:p w:rsidRPr="00ED3E24" w:rsidR="003F3E8D" w:rsidP="00ED3E24" w:rsidRDefault="003F3E8D" w14:paraId="7679C469" w14:textId="77777777">
      <w:pPr>
        <w:numPr>
          <w:ilvl w:val="0"/>
          <w:numId w:val="13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Registro del peso, condición corporal y temperatura.</w:t>
      </w:r>
    </w:p>
    <w:p w:rsidRPr="00ED3E24" w:rsidR="003F3E8D" w:rsidP="00ED3E24" w:rsidRDefault="003F3E8D" w14:paraId="3870DC31" w14:textId="77777777">
      <w:pPr>
        <w:numPr>
          <w:ilvl w:val="0"/>
          <w:numId w:val="13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Ayuno mínimo de 6 horas (cachorros) y 8 horas (adultos).</w:t>
      </w:r>
    </w:p>
    <w:p w:rsidRPr="00ED3E24" w:rsidR="00754C90" w:rsidP="00ED3E24" w:rsidRDefault="003F3E8D" w14:paraId="2C8CC875" w14:textId="572DA5DA">
      <w:pPr>
        <w:numPr>
          <w:ilvl w:val="0"/>
          <w:numId w:val="13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Verificación del estado reproductivo mediante palpación abdominal o ultrasonografía (cuando aplique).</w:t>
      </w:r>
    </w:p>
    <w:p w:rsidRPr="00ED3E24" w:rsidR="003F3E8D" w:rsidP="00ED3E24" w:rsidRDefault="003F3E8D" w14:paraId="376272E8" w14:textId="77777777">
      <w:pPr>
        <w:numPr>
          <w:ilvl w:val="0"/>
          <w:numId w:val="13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Aplicación de antiparasitarios y evaluación de vacunación previa.</w:t>
      </w:r>
    </w:p>
    <w:p w:rsidRPr="00ED3E24" w:rsidR="00754C90" w:rsidP="00ED3E24" w:rsidRDefault="00754C90" w14:paraId="7FA36A6B" w14:textId="77777777">
      <w:pPr>
        <w:spacing w:after="0" w:line="360" w:lineRule="auto"/>
        <w:ind w:left="720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56DF0293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c) Protocolo anestésico y analgésico</w:t>
      </w:r>
    </w:p>
    <w:p w:rsidRPr="00ED3E24" w:rsidR="003F3E8D" w:rsidP="00ED3E24" w:rsidRDefault="003F3E8D" w14:paraId="4472A881" w14:textId="77777777">
      <w:pPr>
        <w:numPr>
          <w:ilvl w:val="0"/>
          <w:numId w:val="14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Uso de anestésicos de acción corta y reversibles (por ejemplo, ketamina, </w:t>
      </w:r>
      <w:proofErr w:type="spellStart"/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medetomidina</w:t>
      </w:r>
      <w:proofErr w:type="spellEnd"/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, buprenorfina o similares) bajo lineamientos del Fondo Nacional de Estupefacientes.</w:t>
      </w:r>
    </w:p>
    <w:p w:rsidRPr="00ED3E24" w:rsidR="003F3E8D" w:rsidP="00ED3E24" w:rsidRDefault="003F3E8D" w14:paraId="7DB7344D" w14:textId="77777777">
      <w:pPr>
        <w:numPr>
          <w:ilvl w:val="0"/>
          <w:numId w:val="14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Aplicación de anestesia balanceada según peso y especie.</w:t>
      </w:r>
    </w:p>
    <w:p w:rsidRPr="00ED3E24" w:rsidR="003F3E8D" w:rsidP="00ED3E24" w:rsidRDefault="003F3E8D" w14:paraId="785E6D33" w14:textId="77777777">
      <w:pPr>
        <w:numPr>
          <w:ilvl w:val="0"/>
          <w:numId w:val="14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Monitoreo permanente de signos vitales.</w:t>
      </w:r>
    </w:p>
    <w:p w:rsidRPr="00ED3E24" w:rsidR="003F3E8D" w:rsidP="00ED3E24" w:rsidRDefault="003F3E8D" w14:paraId="599027D9" w14:textId="77777777">
      <w:pPr>
        <w:numPr>
          <w:ilvl w:val="0"/>
          <w:numId w:val="14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Protocolos de analgesia multimodal para control del dolor posoperatorio.</w:t>
      </w:r>
    </w:p>
    <w:p w:rsidRPr="00ED3E24" w:rsidR="00754C90" w:rsidP="00ED3E24" w:rsidRDefault="00754C90" w14:paraId="346B81B4" w14:textId="77777777">
      <w:pPr>
        <w:spacing w:after="0" w:line="360" w:lineRule="auto"/>
        <w:ind w:left="720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0A55A672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d) Procedimiento quirúrgico</w:t>
      </w:r>
    </w:p>
    <w:p w:rsidRPr="00ED3E24" w:rsidR="003F3E8D" w:rsidP="00ED3E24" w:rsidRDefault="003F3E8D" w14:paraId="12DF2B80" w14:textId="77777777">
      <w:pPr>
        <w:numPr>
          <w:ilvl w:val="0"/>
          <w:numId w:val="15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En hembras: </w:t>
      </w:r>
      <w:proofErr w:type="spellStart"/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ovariohisterectomía</w:t>
      </w:r>
      <w:proofErr w:type="spellEnd"/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 mediante abordaje ventral o lateral.</w:t>
      </w:r>
    </w:p>
    <w:p w:rsidRPr="00ED3E24" w:rsidR="003F3E8D" w:rsidP="00ED3E24" w:rsidRDefault="003F3E8D" w14:paraId="169476F0" w14:textId="77777777">
      <w:pPr>
        <w:numPr>
          <w:ilvl w:val="0"/>
          <w:numId w:val="15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En machos: orquiectomía cerrada o abierta, según el tamaño testicular y la edad.</w:t>
      </w:r>
    </w:p>
    <w:p w:rsidRPr="00ED3E24" w:rsidR="003F3E8D" w:rsidP="00ED3E24" w:rsidRDefault="003F3E8D" w14:paraId="58A399D2" w14:textId="77777777">
      <w:pPr>
        <w:numPr>
          <w:ilvl w:val="0"/>
          <w:numId w:val="15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lastRenderedPageBreak/>
        <w:t>Esterilización temprana (desde 8 semanas) permitida bajo condiciones controladas.</w:t>
      </w:r>
    </w:p>
    <w:p w:rsidRPr="00ED3E24" w:rsidR="003F3E8D" w:rsidP="00ED3E24" w:rsidRDefault="003F3E8D" w14:paraId="1750F5D1" w14:textId="77777777">
      <w:pPr>
        <w:numPr>
          <w:ilvl w:val="0"/>
          <w:numId w:val="15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Uso obligatorio de material quirúrgico estéril y suturas reabsorbibles.</w:t>
      </w:r>
    </w:p>
    <w:p w:rsidRPr="00ED3E24" w:rsidR="003F3E8D" w:rsidP="00ED3E24" w:rsidRDefault="003F3E8D" w14:paraId="17F31551" w14:textId="4C1CE99A">
      <w:pPr>
        <w:numPr>
          <w:ilvl w:val="0"/>
          <w:numId w:val="15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Registro individual del procedimiento y reporte digital al SINAPYBA</w:t>
      </w:r>
      <w:r w:rsidRPr="00ED3E24" w:rsidR="00754C90">
        <w:rPr>
          <w:rFonts w:ascii="Verdana" w:hAnsi="Verdana" w:eastAsia="Times New Roman"/>
          <w:sz w:val="24"/>
          <w:szCs w:val="24"/>
          <w:lang w:val="es-MX" w:eastAsia="es-ES"/>
        </w:rPr>
        <w:t xml:space="preserve"> </w:t>
      </w:r>
      <w:bookmarkStart w:name="_Hlk211043489" w:id="16"/>
      <w:r w:rsidRPr="00ED3E24" w:rsidR="00754C90">
        <w:rPr>
          <w:rFonts w:ascii="Verdana" w:hAnsi="Verdana" w:eastAsia="Times New Roman"/>
          <w:sz w:val="24"/>
          <w:szCs w:val="24"/>
          <w:lang w:val="es-MX" w:eastAsia="es-ES"/>
        </w:rPr>
        <w:t>o a la estrategia de recopilación de datos que defina el territorio</w:t>
      </w: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.</w:t>
      </w:r>
      <w:bookmarkEnd w:id="16"/>
    </w:p>
    <w:p w:rsidRPr="00ED3E24" w:rsidR="00754C90" w:rsidP="00ED3E24" w:rsidRDefault="00754C90" w14:paraId="3F1DCF2F" w14:textId="77777777">
      <w:pPr>
        <w:spacing w:after="0" w:line="360" w:lineRule="auto"/>
        <w:ind w:left="720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6385755A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e) Manejo postoperatorio</w:t>
      </w:r>
    </w:p>
    <w:p w:rsidRPr="00ED3E24" w:rsidR="003F3E8D" w:rsidP="00ED3E24" w:rsidRDefault="003F3E8D" w14:paraId="11F3EEFD" w14:textId="77777777">
      <w:pPr>
        <w:numPr>
          <w:ilvl w:val="0"/>
          <w:numId w:val="16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Observación mínima de 4 horas postcirugía.</w:t>
      </w:r>
    </w:p>
    <w:p w:rsidRPr="00ED3E24" w:rsidR="003F3E8D" w:rsidP="00ED3E24" w:rsidRDefault="003F3E8D" w14:paraId="56242BF6" w14:textId="77777777">
      <w:pPr>
        <w:numPr>
          <w:ilvl w:val="0"/>
          <w:numId w:val="16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Administración de antibióticos de amplio espectro y antiinflamatorios no esteroideos.</w:t>
      </w:r>
    </w:p>
    <w:p w:rsidRPr="00ED3E24" w:rsidR="003F3E8D" w:rsidP="00ED3E24" w:rsidRDefault="003F3E8D" w14:paraId="44B76438" w14:textId="77777777">
      <w:pPr>
        <w:numPr>
          <w:ilvl w:val="0"/>
          <w:numId w:val="16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Educación al tutor sobre cuidados domiciliarios y signos de alarma.</w:t>
      </w:r>
    </w:p>
    <w:p w:rsidRPr="00ED3E24" w:rsidR="003F3E8D" w:rsidP="00ED3E24" w:rsidRDefault="003F3E8D" w14:paraId="4A8C88BE" w14:textId="77777777">
      <w:pPr>
        <w:numPr>
          <w:ilvl w:val="0"/>
          <w:numId w:val="16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Revisión de puntos entre 7 y 10 días postoperatorios.</w:t>
      </w:r>
    </w:p>
    <w:p w:rsidRPr="00ED3E24" w:rsidR="007B694E" w:rsidP="00ED3E24" w:rsidRDefault="007B694E" w14:paraId="39D5F442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0C66B70B" w14:textId="29AF0169">
      <w:pPr>
        <w:pStyle w:val="Ttulo2"/>
        <w:numPr>
          <w:ilvl w:val="0"/>
          <w:numId w:val="0"/>
        </w:numPr>
        <w:spacing w:line="360" w:lineRule="auto"/>
        <w:ind w:left="720" w:hanging="360"/>
        <w:rPr>
          <w:rFonts w:eastAsia="Times New Roman"/>
          <w:szCs w:val="24"/>
          <w:lang w:val="es-MX" w:eastAsia="es-ES"/>
        </w:rPr>
      </w:pPr>
      <w:bookmarkStart w:name="_Toc211063425" w:id="17"/>
      <w:r w:rsidRPr="00ED3E24">
        <w:rPr>
          <w:rFonts w:eastAsia="Times New Roman"/>
          <w:szCs w:val="24"/>
          <w:lang w:val="es-MX" w:eastAsia="es-ES"/>
        </w:rPr>
        <w:t>7.3. Lineamientos de bioseguridad</w:t>
      </w:r>
      <w:bookmarkEnd w:id="17"/>
    </w:p>
    <w:p w:rsidRPr="00ED3E24" w:rsidR="007B694E" w:rsidP="00ED3E24" w:rsidRDefault="007B694E" w14:paraId="3BE568E0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5B88E88D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El cumplimiento de las normas de bioseguridad constituye un eje esencial del programa. Los estándares definidos por MinSalud y UDEA–CES incluyen:</w:t>
      </w:r>
    </w:p>
    <w:p w:rsidRPr="00ED3E24" w:rsidR="007B694E" w:rsidP="00ED3E24" w:rsidRDefault="007B694E" w14:paraId="5AF15FB4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2E4E54F9" w14:textId="77777777">
      <w:pPr>
        <w:numPr>
          <w:ilvl w:val="0"/>
          <w:numId w:val="17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Control de infecciones: desinfección del área quirúrgica con compuestos amonio cuaternario o clorhexidina al 2%.</w:t>
      </w:r>
    </w:p>
    <w:p w:rsidRPr="00ED3E24" w:rsidR="003F3E8D" w:rsidP="00ED3E24" w:rsidRDefault="003F3E8D" w14:paraId="0E1E8F94" w14:textId="77777777">
      <w:pPr>
        <w:numPr>
          <w:ilvl w:val="0"/>
          <w:numId w:val="17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Esterilización de instrumental: autoclave o esterilización química en frío con peróxido de hidrógeno o glutaraldehído.</w:t>
      </w:r>
    </w:p>
    <w:p w:rsidRPr="00ED3E24" w:rsidR="003F3E8D" w:rsidP="00ED3E24" w:rsidRDefault="003F3E8D" w14:paraId="4576E04E" w14:textId="77777777">
      <w:pPr>
        <w:numPr>
          <w:ilvl w:val="0"/>
          <w:numId w:val="17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Equipos de protección personal (EPP): obligatorio el uso de guantes, tapabocas N95, gorros, batas impermeables y calzado cerrado.</w:t>
      </w:r>
    </w:p>
    <w:p w:rsidRPr="00ED3E24" w:rsidR="003F3E8D" w:rsidP="00ED3E24" w:rsidRDefault="003F3E8D" w14:paraId="7C87EB5F" w14:textId="77777777">
      <w:pPr>
        <w:numPr>
          <w:ilvl w:val="0"/>
          <w:numId w:val="17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lastRenderedPageBreak/>
        <w:t>Gestión de residuos peligrosos: segregación en bolsas codificadas según Decreto 351 de 2014. Los residuos biológicos deben ser tratados por gestores autorizados.</w:t>
      </w:r>
    </w:p>
    <w:p w:rsidRPr="00ED3E24" w:rsidR="003F3E8D" w:rsidP="00ED3E24" w:rsidRDefault="003F3E8D" w14:paraId="055D8FF4" w14:textId="77777777">
      <w:pPr>
        <w:numPr>
          <w:ilvl w:val="0"/>
          <w:numId w:val="17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Control de zoonosis: vacunación antirrábica vigente del personal interviniente y registro de incidentes biológicos.</w:t>
      </w:r>
    </w:p>
    <w:p w:rsidR="007B694E" w:rsidP="00ED3E24" w:rsidRDefault="003F3E8D" w14:paraId="59FFAFFA" w14:textId="2EBBEE43">
      <w:pPr>
        <w:numPr>
          <w:ilvl w:val="0"/>
          <w:numId w:val="17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Trazabilidad sanitaria: registro digital de cada procedimiento, insumo y lote utilizado en el Sistema de Información </w:t>
      </w:r>
      <w:r w:rsidRPr="00ED3E24" w:rsidR="007B694E">
        <w:rPr>
          <w:rFonts w:ascii="Verdana" w:hAnsi="Verdana" w:eastAsia="Times New Roman"/>
          <w:sz w:val="24"/>
          <w:szCs w:val="24"/>
          <w:lang w:val="es-MX" w:eastAsia="es-ES"/>
        </w:rPr>
        <w:t>que se disponga para tal fin a través del SINAPYBA</w:t>
      </w:r>
      <w:r w:rsidRPr="00ED3E24" w:rsidR="00754C90">
        <w:rPr>
          <w:rFonts w:ascii="Verdana" w:hAnsi="Verdana" w:eastAsia="Times New Roman"/>
          <w:sz w:val="24"/>
          <w:szCs w:val="24"/>
          <w:lang w:val="es-MX" w:eastAsia="es-ES"/>
        </w:rPr>
        <w:t xml:space="preserve"> o a la estrategia de recopilación de datos que defina el territorio.</w:t>
      </w:r>
    </w:p>
    <w:p w:rsidRPr="00ED3E24" w:rsidR="00ED3E24" w:rsidP="00ED3E24" w:rsidRDefault="00ED3E24" w14:paraId="5A2A2C43" w14:textId="77777777">
      <w:pPr>
        <w:spacing w:after="0" w:line="360" w:lineRule="auto"/>
        <w:ind w:left="720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47A9B977" w14:textId="025D8D3B">
      <w:pPr>
        <w:pStyle w:val="Ttulo2"/>
        <w:numPr>
          <w:ilvl w:val="0"/>
          <w:numId w:val="0"/>
        </w:numPr>
        <w:spacing w:line="360" w:lineRule="auto"/>
        <w:ind w:left="720" w:hanging="360"/>
        <w:rPr>
          <w:rFonts w:eastAsia="Times New Roman"/>
          <w:szCs w:val="24"/>
          <w:lang w:val="es-MX" w:eastAsia="es-ES"/>
        </w:rPr>
      </w:pPr>
      <w:bookmarkStart w:name="_Toc211063426" w:id="18"/>
      <w:r w:rsidRPr="00ED3E24">
        <w:rPr>
          <w:rFonts w:eastAsia="Times New Roman"/>
          <w:szCs w:val="24"/>
          <w:lang w:val="es-MX" w:eastAsia="es-ES"/>
        </w:rPr>
        <w:t>7.4. Líneas especiales de intervención</w:t>
      </w:r>
      <w:bookmarkEnd w:id="18"/>
    </w:p>
    <w:p w:rsidRPr="00ED3E24" w:rsidR="007B694E" w:rsidP="00ED3E24" w:rsidRDefault="007B694E" w14:paraId="75F573E6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553CE245" w14:textId="1DD5AF4F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En cumplimiento de los artículos</w:t>
      </w:r>
      <w:r w:rsidRPr="00ED3E24" w:rsidR="007B694E">
        <w:rPr>
          <w:rFonts w:ascii="Verdana" w:hAnsi="Verdana" w:eastAsia="Times New Roman"/>
          <w:sz w:val="24"/>
          <w:szCs w:val="24"/>
          <w:lang w:val="es-MX" w:eastAsia="es-ES"/>
        </w:rPr>
        <w:t xml:space="preserve"> 4.3, 4.4, </w:t>
      </w: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 5 y 6 de la Ley 2374, el programa incluye líneas especiales dirigidas a grupos poblacionales y condiciones particulares:</w:t>
      </w:r>
    </w:p>
    <w:p w:rsidRPr="00ED3E24" w:rsidR="007B694E" w:rsidP="00ED3E24" w:rsidRDefault="007B694E" w14:paraId="26E73347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1BC15B51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a) Línea CER (Captura, Esterilización y Retorno)</w:t>
      </w:r>
    </w:p>
    <w:p w:rsidRPr="00ED3E24" w:rsidR="003F3E8D" w:rsidP="00ED3E24" w:rsidRDefault="003F3E8D" w14:paraId="63D8FBA1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Dirigida a gatos comunitarios o sin tutor. El objetivo es controlar la reproducción mediante captura ética, esterilización y retorno al entorno original. Se aplican protocolos de identificación, registro, desparasitación y vacunación antirrábica.</w:t>
      </w:r>
    </w:p>
    <w:p w:rsidRPr="00ED3E24" w:rsidR="00754C90" w:rsidP="00ED3E24" w:rsidRDefault="00754C90" w14:paraId="7DDF5DBC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163A3B17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b) Línea de animales con enfermedades zoonóticas</w:t>
      </w:r>
    </w:p>
    <w:p w:rsidRPr="00ED3E24" w:rsidR="003F3E8D" w:rsidP="00ED3E24" w:rsidRDefault="003F3E8D" w14:paraId="52F98E89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Incluye animales portadores o sospechosos de zoonosis (leptospirosis, rabia, toxoplasmosis). La intervención requiere coordinación con las Secretarías de Salud, garantizando medidas de bioseguridad, diagnóstico confirmatorio y reporte obligatorio.</w:t>
      </w:r>
    </w:p>
    <w:p w:rsidRPr="00ED3E24" w:rsidR="00754C90" w:rsidP="00ED3E24" w:rsidRDefault="00754C90" w14:paraId="32197E88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4ADE0BEA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c) Línea de poblaciones vulnerables</w:t>
      </w:r>
    </w:p>
    <w:p w:rsidRPr="00ED3E24" w:rsidR="003F3E8D" w:rsidP="00ED3E24" w:rsidRDefault="003F3E8D" w14:paraId="437BEA4C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Destinada a tutores de bajos recursos (estratos 1 a 3), habitantes de calle y comunidades rurales. Prioriza la gratuidad y la atención integral, articulada con las estrategias territoriales de salud pública y bienestar animal.</w:t>
      </w:r>
    </w:p>
    <w:p w:rsidRPr="00ED3E24" w:rsidR="00754C90" w:rsidP="00ED3E24" w:rsidRDefault="00754C90" w14:paraId="0B5CC8F2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03D83ABB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d) Línea de tumores venéreos transmisibles (TVT)</w:t>
      </w:r>
    </w:p>
    <w:p w:rsidRPr="00ED3E24" w:rsidR="003F3E8D" w:rsidP="00ED3E24" w:rsidRDefault="003F3E8D" w14:paraId="1951D899" w14:textId="5E8BD8EC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Busca controlar esta neoplasia infecciosa mediante la esterilización y tratamiento oncológico complementario</w:t>
      </w:r>
      <w:r w:rsidRPr="00ED3E24" w:rsidR="00754C90">
        <w:rPr>
          <w:rFonts w:ascii="Verdana" w:hAnsi="Verdana" w:eastAsia="Times New Roman"/>
          <w:sz w:val="24"/>
          <w:szCs w:val="24"/>
          <w:lang w:val="es-MX" w:eastAsia="es-ES"/>
        </w:rPr>
        <w:t xml:space="preserve"> (no incluido en el programa)</w:t>
      </w: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. Incluye diagnóstico citológico y seguimiento de casos.</w:t>
      </w:r>
    </w:p>
    <w:p w:rsidRPr="00ED3E24" w:rsidR="00754C90" w:rsidP="00ED3E24" w:rsidRDefault="00754C90" w14:paraId="662738F1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73EF360D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e) Línea de felinos </w:t>
      </w:r>
      <w:proofErr w:type="spellStart"/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FeLV</w:t>
      </w:r>
      <w:proofErr w:type="spellEnd"/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/FIV positivos</w:t>
      </w:r>
    </w:p>
    <w:p w:rsidR="007B694E" w:rsidP="00ED3E24" w:rsidRDefault="003F3E8D" w14:paraId="24AE6D06" w14:textId="74283D49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Incorpora protocolos diferenciados para felinos positivos a leucemia viral felina (</w:t>
      </w:r>
      <w:proofErr w:type="spellStart"/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FeLV</w:t>
      </w:r>
      <w:proofErr w:type="spellEnd"/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) o inmunodeficiencia felina (FIV). Estos animales se esterilizan bajo estrictas medidas de bioseguridad, evitando el contagio </w:t>
      </w:r>
      <w:proofErr w:type="spellStart"/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intraquirúrgico</w:t>
      </w:r>
      <w:proofErr w:type="spellEnd"/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 y garantizando manejo humanitario.</w:t>
      </w:r>
    </w:p>
    <w:p w:rsidRPr="00ED3E24" w:rsidR="00ED3E24" w:rsidP="00ED3E24" w:rsidRDefault="00ED3E24" w14:paraId="6D2F9389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13B2606A" w14:textId="77777777">
      <w:pPr>
        <w:pStyle w:val="Ttulo2"/>
        <w:numPr>
          <w:ilvl w:val="0"/>
          <w:numId w:val="0"/>
        </w:numPr>
        <w:spacing w:line="360" w:lineRule="auto"/>
        <w:ind w:left="720" w:hanging="360"/>
        <w:rPr>
          <w:rFonts w:eastAsia="Times New Roman"/>
          <w:szCs w:val="24"/>
          <w:lang w:val="es-MX" w:eastAsia="es-ES"/>
        </w:rPr>
      </w:pPr>
      <w:bookmarkStart w:name="_Toc211063427" w:id="19"/>
      <w:r w:rsidRPr="00ED3E24">
        <w:rPr>
          <w:rFonts w:eastAsia="Times New Roman"/>
          <w:szCs w:val="24"/>
          <w:lang w:val="es-MX" w:eastAsia="es-ES"/>
        </w:rPr>
        <w:t>7.5. Estándares técnicos mínimos</w:t>
      </w:r>
      <w:bookmarkEnd w:id="19"/>
    </w:p>
    <w:p w:rsidRPr="00ED3E24" w:rsidR="007B694E" w:rsidP="00ED3E24" w:rsidRDefault="007B694E" w14:paraId="5D32E66E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2E215CA9" w14:textId="29B32378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Para garantizar la calidad y la trazabilidad de los servicios, se establecen los siguientes estándares mínimos de operación:</w:t>
      </w:r>
    </w:p>
    <w:p w:rsidRPr="00ED3E24" w:rsidR="003F3E8D" w:rsidP="00ED3E24" w:rsidRDefault="003F3E8D" w14:paraId="1E0A7821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tbl>
      <w:tblPr>
        <w:tblW w:w="0" w:type="auto"/>
        <w:tblCellSpacing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6"/>
        <w:gridCol w:w="3524"/>
        <w:gridCol w:w="3208"/>
      </w:tblGrid>
      <w:tr w:rsidRPr="00ED3E24" w:rsidR="003F3E8D" w:rsidTr="003F3E8D" w14:paraId="2CFE4703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Pr="00ED3E24" w:rsidR="003F3E8D" w:rsidP="00ED3E24" w:rsidRDefault="003F3E8D" w14:paraId="12598C11" w14:textId="0A1C0773">
            <w:pPr>
              <w:spacing w:after="0" w:line="360" w:lineRule="auto"/>
              <w:jc w:val="center"/>
              <w:rPr>
                <w:rFonts w:ascii="Verdana" w:hAnsi="Verdana" w:eastAsia="Times New Roman" w:cs="Times New Roman"/>
                <w:b/>
                <w:bCs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b/>
                <w:bCs/>
                <w:kern w:val="0"/>
                <w:sz w:val="24"/>
                <w:szCs w:val="24"/>
                <w:lang w:val="es-MX" w:eastAsia="es-MX"/>
                <w14:ligatures w14:val="none"/>
              </w:rPr>
              <w:t>Componente</w:t>
            </w:r>
          </w:p>
        </w:tc>
        <w:tc>
          <w:tcPr>
            <w:tcW w:w="0" w:type="auto"/>
            <w:vAlign w:val="center"/>
            <w:hideMark/>
          </w:tcPr>
          <w:p w:rsidRPr="00ED3E24" w:rsidR="003F3E8D" w:rsidP="00ED3E24" w:rsidRDefault="003F3E8D" w14:paraId="105F1C54" w14:textId="3B316656">
            <w:pPr>
              <w:spacing w:after="0" w:line="360" w:lineRule="auto"/>
              <w:jc w:val="center"/>
              <w:rPr>
                <w:rFonts w:ascii="Verdana" w:hAnsi="Verdana" w:eastAsia="Times New Roman" w:cs="Times New Roman"/>
                <w:b/>
                <w:bCs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b/>
                <w:bCs/>
                <w:kern w:val="0"/>
                <w:sz w:val="24"/>
                <w:szCs w:val="24"/>
                <w:lang w:val="es-MX" w:eastAsia="es-MX"/>
                <w14:ligatures w14:val="none"/>
              </w:rPr>
              <w:t>Estándar mínimo nacional</w:t>
            </w:r>
          </w:p>
        </w:tc>
        <w:tc>
          <w:tcPr>
            <w:tcW w:w="0" w:type="auto"/>
            <w:vAlign w:val="center"/>
          </w:tcPr>
          <w:p w:rsidRPr="00ED3E24" w:rsidR="003F3E8D" w:rsidP="00ED3E24" w:rsidRDefault="003F3E8D" w14:paraId="2BCE862D" w14:textId="42805F1A">
            <w:pPr>
              <w:spacing w:after="0" w:line="360" w:lineRule="auto"/>
              <w:jc w:val="center"/>
              <w:rPr>
                <w:rFonts w:ascii="Verdana" w:hAnsi="Verdana" w:eastAsia="Times New Roman" w:cs="Times New Roman"/>
                <w:b/>
                <w:bCs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b/>
                <w:bCs/>
                <w:kern w:val="0"/>
                <w:sz w:val="24"/>
                <w:szCs w:val="24"/>
                <w:lang w:eastAsia="es-MX"/>
                <w14:ligatures w14:val="none"/>
              </w:rPr>
              <w:t>Observaciones / Ajustes</w:t>
            </w:r>
          </w:p>
        </w:tc>
      </w:tr>
      <w:tr w:rsidRPr="00ED3E24" w:rsidR="003F3E8D" w:rsidTr="003F3E8D" w14:paraId="51122D05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ED3E24" w:rsidR="003F3E8D" w:rsidP="00ED3E24" w:rsidRDefault="003F3E8D" w14:paraId="31F70FB0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b/>
                <w:bCs/>
                <w:kern w:val="0"/>
                <w:sz w:val="24"/>
                <w:szCs w:val="24"/>
                <w:lang w:val="es-MX" w:eastAsia="es-MX"/>
                <w14:ligatures w14:val="none"/>
              </w:rPr>
              <w:t>Personal quirúrgico</w:t>
            </w:r>
          </w:p>
        </w:tc>
        <w:tc>
          <w:tcPr>
            <w:tcW w:w="0" w:type="auto"/>
            <w:vAlign w:val="center"/>
            <w:hideMark/>
          </w:tcPr>
          <w:p w:rsidRPr="00ED3E24" w:rsidR="003F3E8D" w:rsidP="00ED3E24" w:rsidRDefault="003F3E8D" w14:paraId="6E21A55B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  <w:t>Médico veterinario titulado y auxiliar técnico capacitado.</w:t>
            </w:r>
          </w:p>
        </w:tc>
        <w:tc>
          <w:tcPr>
            <w:tcW w:w="0" w:type="auto"/>
            <w:vAlign w:val="center"/>
            <w:hideMark/>
          </w:tcPr>
          <w:p w:rsidRPr="00ED3E24" w:rsidR="003F3E8D" w:rsidP="00ED3E24" w:rsidRDefault="003F3E8D" w14:paraId="1BD18CC5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  <w:t xml:space="preserve">En zonas rurales puede autorizarse apoyo de </w:t>
            </w:r>
            <w:r w:rsidRPr="00ED3E24"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  <w:lastRenderedPageBreak/>
              <w:t>técnicos certificados bajo supervisión directa.</w:t>
            </w:r>
          </w:p>
        </w:tc>
      </w:tr>
      <w:tr w:rsidRPr="00ED3E24" w:rsidR="003F3E8D" w:rsidTr="003F3E8D" w14:paraId="0E7C1FC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ED3E24" w:rsidR="003F3E8D" w:rsidP="00ED3E24" w:rsidRDefault="003F3E8D" w14:paraId="4155EF49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b/>
                <w:bCs/>
                <w:kern w:val="0"/>
                <w:sz w:val="24"/>
                <w:szCs w:val="24"/>
                <w:lang w:val="es-MX" w:eastAsia="es-MX"/>
                <w14:ligatures w14:val="none"/>
              </w:rPr>
              <w:lastRenderedPageBreak/>
              <w:t>Equipamiento</w:t>
            </w:r>
          </w:p>
        </w:tc>
        <w:tc>
          <w:tcPr>
            <w:tcW w:w="0" w:type="auto"/>
            <w:vAlign w:val="center"/>
            <w:hideMark/>
          </w:tcPr>
          <w:p w:rsidRPr="00ED3E24" w:rsidR="003F3E8D" w:rsidP="00ED3E24" w:rsidRDefault="003F3E8D" w14:paraId="18C98E87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  <w:t>Mesa quirúrgica, autoclave, monitor multiparámetro, sistema de iluminación, generador eléctrico, unidad de succión.</w:t>
            </w:r>
          </w:p>
        </w:tc>
        <w:tc>
          <w:tcPr>
            <w:tcW w:w="0" w:type="auto"/>
            <w:vAlign w:val="center"/>
            <w:hideMark/>
          </w:tcPr>
          <w:p w:rsidRPr="00ED3E24" w:rsidR="003F3E8D" w:rsidP="00ED3E24" w:rsidRDefault="003F3E8D" w14:paraId="076D7DB4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  <w:t>Se permite la adaptación del equipamiento según el tipo de unidad (fija o móvil).</w:t>
            </w:r>
          </w:p>
        </w:tc>
      </w:tr>
      <w:tr w:rsidRPr="00ED3E24" w:rsidR="003F3E8D" w:rsidTr="003F3E8D" w14:paraId="461D87A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ED3E24" w:rsidR="003F3E8D" w:rsidP="00ED3E24" w:rsidRDefault="003F3E8D" w14:paraId="4ADB2640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b/>
                <w:bCs/>
                <w:kern w:val="0"/>
                <w:sz w:val="24"/>
                <w:szCs w:val="24"/>
                <w:lang w:val="es-MX" w:eastAsia="es-MX"/>
                <w14:ligatures w14:val="none"/>
              </w:rPr>
              <w:t>Control sanitario</w:t>
            </w:r>
          </w:p>
        </w:tc>
        <w:tc>
          <w:tcPr>
            <w:tcW w:w="0" w:type="auto"/>
            <w:vAlign w:val="center"/>
            <w:hideMark/>
          </w:tcPr>
          <w:p w:rsidRPr="00ED3E24" w:rsidR="003F3E8D" w:rsidP="00ED3E24" w:rsidRDefault="003F3E8D" w14:paraId="545737BF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  <w:t>Cumplimiento de la Resolución 1229 de 2013 (MinSalud).</w:t>
            </w:r>
          </w:p>
        </w:tc>
        <w:tc>
          <w:tcPr>
            <w:tcW w:w="0" w:type="auto"/>
            <w:vAlign w:val="center"/>
            <w:hideMark/>
          </w:tcPr>
          <w:p w:rsidRPr="00ED3E24" w:rsidR="003F3E8D" w:rsidP="00ED3E24" w:rsidRDefault="003F3E8D" w14:paraId="310273B4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  <w:t>Supervisión semestral por autoridades territoriales de salud.</w:t>
            </w:r>
          </w:p>
        </w:tc>
      </w:tr>
      <w:tr w:rsidRPr="00ED3E24" w:rsidR="003F3E8D" w:rsidTr="003F3E8D" w14:paraId="489F323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ED3E24" w:rsidR="003F3E8D" w:rsidP="00ED3E24" w:rsidRDefault="003F3E8D" w14:paraId="75E9BB2D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b/>
                <w:bCs/>
                <w:kern w:val="0"/>
                <w:sz w:val="24"/>
                <w:szCs w:val="24"/>
                <w:lang w:val="es-MX" w:eastAsia="es-MX"/>
                <w14:ligatures w14:val="none"/>
              </w:rPr>
              <w:t>Registro y trazabilidad</w:t>
            </w:r>
          </w:p>
        </w:tc>
        <w:tc>
          <w:tcPr>
            <w:tcW w:w="0" w:type="auto"/>
            <w:vAlign w:val="center"/>
            <w:hideMark/>
          </w:tcPr>
          <w:p w:rsidRPr="00ED3E24" w:rsidR="003F3E8D" w:rsidP="00ED3E24" w:rsidRDefault="003F3E8D" w14:paraId="22BE9F51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  <w:t>Sistema digital SINAPYBA – módulo de esterilización.</w:t>
            </w:r>
          </w:p>
        </w:tc>
        <w:tc>
          <w:tcPr>
            <w:tcW w:w="0" w:type="auto"/>
            <w:vAlign w:val="center"/>
            <w:hideMark/>
          </w:tcPr>
          <w:p w:rsidRPr="00ED3E24" w:rsidR="003F3E8D" w:rsidP="00ED3E24" w:rsidRDefault="003F3E8D" w14:paraId="05F2A48C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  <w:t>Registro obligatorio de cada procedimiento con trazabilidad completa de insumos y pacientes.</w:t>
            </w:r>
          </w:p>
        </w:tc>
      </w:tr>
      <w:tr w:rsidRPr="00ED3E24" w:rsidR="003F3E8D" w:rsidTr="003F3E8D" w14:paraId="72B530A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ED3E24" w:rsidR="003F3E8D" w:rsidP="00ED3E24" w:rsidRDefault="003F3E8D" w14:paraId="1E56AAB9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b/>
                <w:bCs/>
                <w:kern w:val="0"/>
                <w:sz w:val="24"/>
                <w:szCs w:val="24"/>
                <w:lang w:val="es-MX" w:eastAsia="es-MX"/>
                <w14:ligatures w14:val="none"/>
              </w:rPr>
              <w:t>Bioseguridad</w:t>
            </w:r>
          </w:p>
        </w:tc>
        <w:tc>
          <w:tcPr>
            <w:tcW w:w="0" w:type="auto"/>
            <w:vAlign w:val="center"/>
            <w:hideMark/>
          </w:tcPr>
          <w:p w:rsidRPr="00ED3E24" w:rsidR="003F3E8D" w:rsidP="00ED3E24" w:rsidRDefault="003F3E8D" w14:paraId="7DE031E7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  <w:t>Cumplimiento del Decreto 351 de 2014 (gestión de residuos) y protocolos UDEA–CES.</w:t>
            </w:r>
          </w:p>
        </w:tc>
        <w:tc>
          <w:tcPr>
            <w:tcW w:w="0" w:type="auto"/>
            <w:vAlign w:val="center"/>
            <w:hideMark/>
          </w:tcPr>
          <w:p w:rsidRPr="00ED3E24" w:rsidR="003F3E8D" w:rsidP="00ED3E24" w:rsidRDefault="003F3E8D" w14:paraId="1CE75BB0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  <w:t>Auditoría anual por MinSalud o autoridad delegada.</w:t>
            </w:r>
          </w:p>
        </w:tc>
      </w:tr>
      <w:tr w:rsidRPr="00ED3E24" w:rsidR="003F3E8D" w:rsidTr="003F3E8D" w14:paraId="04ADE55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ED3E24" w:rsidR="003F3E8D" w:rsidP="00ED3E24" w:rsidRDefault="003F3E8D" w14:paraId="2C18359C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b/>
                <w:bCs/>
                <w:kern w:val="0"/>
                <w:sz w:val="24"/>
                <w:szCs w:val="24"/>
                <w:lang w:val="es-MX" w:eastAsia="es-MX"/>
                <w14:ligatures w14:val="none"/>
              </w:rPr>
              <w:t>Logística</w:t>
            </w:r>
          </w:p>
        </w:tc>
        <w:tc>
          <w:tcPr>
            <w:tcW w:w="0" w:type="auto"/>
            <w:vAlign w:val="center"/>
            <w:hideMark/>
          </w:tcPr>
          <w:p w:rsidRPr="00ED3E24" w:rsidR="003F3E8D" w:rsidP="00ED3E24" w:rsidRDefault="003F3E8D" w14:paraId="37CD6B54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  <w:t>Transporte seguro de animales, cadena de frío y control de inventarios.</w:t>
            </w:r>
          </w:p>
        </w:tc>
        <w:tc>
          <w:tcPr>
            <w:tcW w:w="0" w:type="auto"/>
            <w:vAlign w:val="center"/>
            <w:hideMark/>
          </w:tcPr>
          <w:p w:rsidRPr="00ED3E24" w:rsidR="003F3E8D" w:rsidP="00ED3E24" w:rsidRDefault="003F3E8D" w14:paraId="5E9B3E32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  <w:t>Lineamientos especiales para zonas rurales y comunidades étnicas.</w:t>
            </w:r>
          </w:p>
        </w:tc>
      </w:tr>
    </w:tbl>
    <w:p w:rsidRPr="00ED3E24" w:rsidR="003F3E8D" w:rsidP="00ED3E24" w:rsidRDefault="003F3E8D" w14:paraId="7E8A4BEC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13D7A5AD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3446DAB6" w14:textId="77777777">
      <w:pPr>
        <w:pStyle w:val="Ttulo2"/>
        <w:numPr>
          <w:ilvl w:val="0"/>
          <w:numId w:val="0"/>
        </w:numPr>
        <w:spacing w:line="360" w:lineRule="auto"/>
        <w:ind w:left="720" w:hanging="360"/>
        <w:rPr>
          <w:rFonts w:eastAsia="Times New Roman"/>
          <w:szCs w:val="24"/>
          <w:lang w:val="es-MX" w:eastAsia="es-ES"/>
        </w:rPr>
      </w:pPr>
      <w:bookmarkStart w:name="_Toc211063428" w:id="20"/>
      <w:r w:rsidRPr="00ED3E24">
        <w:rPr>
          <w:rFonts w:eastAsia="Times New Roman"/>
          <w:szCs w:val="24"/>
          <w:lang w:val="es-MX" w:eastAsia="es-ES"/>
        </w:rPr>
        <w:lastRenderedPageBreak/>
        <w:t>7.6. Evaluación técnica y seguimiento</w:t>
      </w:r>
      <w:bookmarkEnd w:id="20"/>
    </w:p>
    <w:p w:rsidRPr="00ED3E24" w:rsidR="00B96EE8" w:rsidP="00ED3E24" w:rsidRDefault="00B96EE8" w14:paraId="7D425E45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1D414C90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El seguimiento al desempeño del programa se realizará mediante indicadores técnicos y sanitarios definidos por el DNP y MinSalud, integrados al Sistema de Información del SINAPYBA. Los principales indicadores incluyen:</w:t>
      </w:r>
    </w:p>
    <w:p w:rsidRPr="00ED3E24" w:rsidR="00B96EE8" w:rsidP="00ED3E24" w:rsidRDefault="00B96EE8" w14:paraId="6899197D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6D22FEFC" w14:textId="77777777">
      <w:pPr>
        <w:numPr>
          <w:ilvl w:val="0"/>
          <w:numId w:val="18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Número de procedimientos realizados por especie, sexo y departamento.</w:t>
      </w:r>
    </w:p>
    <w:p w:rsidRPr="00ED3E24" w:rsidR="003F3E8D" w:rsidP="00ED3E24" w:rsidRDefault="003F3E8D" w14:paraId="729CFF1B" w14:textId="77777777">
      <w:pPr>
        <w:numPr>
          <w:ilvl w:val="0"/>
          <w:numId w:val="18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Tasa de complicaciones quirúrgicas y mortalidad operatoria.</w:t>
      </w:r>
    </w:p>
    <w:p w:rsidRPr="00ED3E24" w:rsidR="003F3E8D" w:rsidP="00ED3E24" w:rsidRDefault="003F3E8D" w14:paraId="0BF3AEDD" w14:textId="77777777">
      <w:pPr>
        <w:numPr>
          <w:ilvl w:val="0"/>
          <w:numId w:val="18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Cobertura territorial alcanzada (% de municipios intervenidos).</w:t>
      </w:r>
    </w:p>
    <w:p w:rsidRPr="00ED3E24" w:rsidR="003F3E8D" w:rsidP="00ED3E24" w:rsidRDefault="003F3E8D" w14:paraId="1E881819" w14:textId="77777777">
      <w:pPr>
        <w:numPr>
          <w:ilvl w:val="0"/>
          <w:numId w:val="18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Número de animales atendidos en líneas especiales.</w:t>
      </w:r>
    </w:p>
    <w:p w:rsidRPr="00ED3E24" w:rsidR="003F3E8D" w:rsidP="00ED3E24" w:rsidRDefault="003F3E8D" w14:paraId="66113951" w14:textId="77777777">
      <w:pPr>
        <w:numPr>
          <w:ilvl w:val="0"/>
          <w:numId w:val="18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Indicadores de bienestar animal pre y postoperatorio.</w:t>
      </w:r>
    </w:p>
    <w:p w:rsidRPr="00ED3E24" w:rsidR="00754C90" w:rsidP="00ED3E24" w:rsidRDefault="00754C90" w14:paraId="49F7FF54" w14:textId="77777777">
      <w:pPr>
        <w:spacing w:after="0" w:line="360" w:lineRule="auto"/>
        <w:ind w:left="720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3F3E8D" w:rsidP="00ED3E24" w:rsidRDefault="003F3E8D" w14:paraId="3DD0C825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Los resultados serán consolidados semestralmente por MinAmbiente y MinSalud, quienes publicarán informes técnicos de evaluación en el marco del Comité Nacional del SINAPYBA.</w:t>
      </w:r>
    </w:p>
    <w:p w:rsidRPr="00ED3E24" w:rsidR="00C0654A" w:rsidP="00ED3E24" w:rsidRDefault="00C0654A" w14:paraId="51EC31AF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C0654A" w:rsidP="00ED3E24" w:rsidRDefault="00C0654A" w14:paraId="521D7858" w14:textId="39F9589A">
      <w:pPr>
        <w:pStyle w:val="Ttulo1"/>
        <w:spacing w:line="360" w:lineRule="auto"/>
        <w:rPr>
          <w:rFonts w:eastAsia="Times New Roman"/>
          <w:szCs w:val="24"/>
          <w:lang w:val="es-MX" w:eastAsia="es-ES"/>
        </w:rPr>
      </w:pPr>
      <w:r w:rsidRPr="00ED3E24">
        <w:rPr>
          <w:rFonts w:eastAsia="Times New Roman"/>
          <w:szCs w:val="24"/>
          <w:lang w:val="es-MX" w:eastAsia="es-ES"/>
        </w:rPr>
        <w:t xml:space="preserve"> </w:t>
      </w:r>
      <w:bookmarkStart w:name="_Toc211063429" w:id="21"/>
      <w:r w:rsidRPr="00ED3E24">
        <w:rPr>
          <w:rFonts w:eastAsia="Times New Roman"/>
          <w:szCs w:val="24"/>
          <w:lang w:val="es-MX" w:eastAsia="es-ES"/>
        </w:rPr>
        <w:t>Fundamento económico y financiero</w:t>
      </w:r>
      <w:bookmarkEnd w:id="21"/>
    </w:p>
    <w:p w:rsidRPr="00ED3E24" w:rsidR="00B96EE8" w:rsidP="00ED3E24" w:rsidRDefault="00B96EE8" w14:paraId="25A24144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C0654A" w:rsidP="00ED3E24" w:rsidRDefault="00C0654A" w14:paraId="4F9EA5B4" w14:textId="77777777">
      <w:pPr>
        <w:pStyle w:val="Ttulo2"/>
        <w:numPr>
          <w:ilvl w:val="0"/>
          <w:numId w:val="0"/>
        </w:numPr>
        <w:spacing w:line="360" w:lineRule="auto"/>
        <w:ind w:left="720" w:hanging="360"/>
        <w:rPr>
          <w:rFonts w:eastAsia="Times New Roman"/>
          <w:szCs w:val="24"/>
          <w:lang w:val="es-MX" w:eastAsia="es-ES"/>
        </w:rPr>
      </w:pPr>
      <w:bookmarkStart w:name="_Toc211063430" w:id="22"/>
      <w:r w:rsidRPr="00ED3E24">
        <w:rPr>
          <w:rFonts w:eastAsia="Times New Roman"/>
          <w:szCs w:val="24"/>
          <w:lang w:val="es-MX" w:eastAsia="es-ES"/>
        </w:rPr>
        <w:t>8.1. Enfoque general de sostenibilidad financiera</w:t>
      </w:r>
      <w:bookmarkEnd w:id="22"/>
    </w:p>
    <w:p w:rsidRPr="00ED3E24" w:rsidR="00B96EE8" w:rsidP="00ED3E24" w:rsidRDefault="00B96EE8" w14:paraId="77200AD9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C0654A" w:rsidP="00ED3E24" w:rsidRDefault="00C0654A" w14:paraId="1447CD26" w14:textId="5E1F4136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El Fondo SINAPYBA constituye el instrumento financiero central para la ejecución del Programa Nacional de Esterilización Quirúrgica de Gatos y Perros. Su diseño busca asegurar la sostenibilidad a largo plazo mediante fuentes de financiamiento diversificadas, criterios de eficiencia del gasto y mecanismos de control y rendición de cuentas.</w:t>
      </w:r>
    </w:p>
    <w:p w:rsidRPr="00ED3E24" w:rsidR="00754C90" w:rsidP="00ED3E24" w:rsidRDefault="00754C90" w14:paraId="44AA7EBE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C0654A" w:rsidP="00ED3E24" w:rsidRDefault="00C0654A" w14:paraId="2195EDB8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La sostenibilidad del programa se fundamenta en tres pilares:</w:t>
      </w:r>
    </w:p>
    <w:p w:rsidRPr="00ED3E24" w:rsidR="00754C90" w:rsidP="00ED3E24" w:rsidRDefault="00754C90" w14:paraId="30A31EF2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C0654A" w:rsidP="00ED3E24" w:rsidRDefault="00C0654A" w14:paraId="0FCD6731" w14:textId="77777777">
      <w:pPr>
        <w:numPr>
          <w:ilvl w:val="0"/>
          <w:numId w:val="19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Planeación presupuestal multianual, articulada con el Marco de Gasto de Mediano Plazo (MGMP 2026–2029).</w:t>
      </w:r>
    </w:p>
    <w:p w:rsidRPr="00ED3E24" w:rsidR="00C0654A" w:rsidP="00ED3E24" w:rsidRDefault="00C0654A" w14:paraId="55FC70E1" w14:textId="77777777">
      <w:pPr>
        <w:numPr>
          <w:ilvl w:val="0"/>
          <w:numId w:val="19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Gestión interinstitucional del gasto, coordinada entre MinAmbiente, MHCP y DNP.</w:t>
      </w:r>
    </w:p>
    <w:p w:rsidRPr="00ED3E24" w:rsidR="00C0654A" w:rsidP="00ED3E24" w:rsidRDefault="00C0654A" w14:paraId="50835CC7" w14:textId="77777777">
      <w:pPr>
        <w:numPr>
          <w:ilvl w:val="0"/>
          <w:numId w:val="19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Descentralización de recursos, mediante transferencias condicionadas a entes territoriales que cumplan con los requisitos técnicos y sanitarios.</w:t>
      </w:r>
    </w:p>
    <w:p w:rsidRPr="00ED3E24" w:rsidR="00B96EE8" w:rsidP="00ED3E24" w:rsidRDefault="00B96EE8" w14:paraId="16CA20D4" w14:textId="77777777">
      <w:pPr>
        <w:spacing w:after="0" w:line="360" w:lineRule="auto"/>
        <w:ind w:left="720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C0654A" w:rsidP="00ED3E24" w:rsidRDefault="00C0654A" w14:paraId="5A8B0D7E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El modelo financiero propuesto adopta un enfoque programático y por resultados, lo que permitirá vincular la ejecución de recursos con el logro de metas físicas de cobertura y bienestar animal.</w:t>
      </w:r>
    </w:p>
    <w:p w:rsidRPr="00ED3E24" w:rsidR="00B96EE8" w:rsidP="00ED3E24" w:rsidRDefault="00B96EE8" w14:paraId="064ECCF2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B96EE8" w:rsidP="00ED3E24" w:rsidRDefault="00C0654A" w14:paraId="13BD9C30" w14:textId="42AF0981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8.2. Estructura presupuestal del Fondo SINAPYBA</w:t>
      </w:r>
    </w:p>
    <w:p w:rsidRPr="00ED3E24" w:rsidR="00C0654A" w:rsidP="00ED3E24" w:rsidRDefault="00C0654A" w14:paraId="6D70C778" w14:textId="3EACA749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El Fondo se concibe como una cuenta especial sin personería jurídica, administrada por el Ministerio de Ambiente y Desarrollo Sostenible, con </w:t>
      </w:r>
      <w:r w:rsidRPr="00ED3E24" w:rsidR="00255E59">
        <w:rPr>
          <w:rFonts w:ascii="Verdana" w:hAnsi="Verdana" w:eastAsia="Times New Roman"/>
          <w:sz w:val="24"/>
          <w:szCs w:val="24"/>
          <w:lang w:val="es-MX" w:eastAsia="es-ES"/>
        </w:rPr>
        <w:t>una subcuenta específica</w:t>
      </w: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 para el Programa Nacional de Esterilización. Sus componentes principales son:</w:t>
      </w:r>
    </w:p>
    <w:p w:rsidRPr="00ED3E24" w:rsidR="0068364E" w:rsidP="00ED3E24" w:rsidRDefault="0068364E" w14:paraId="55A24D90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tbl>
      <w:tblPr>
        <w:tblW w:w="0" w:type="auto"/>
        <w:tblCellSpacing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0"/>
        <w:gridCol w:w="3559"/>
        <w:gridCol w:w="2729"/>
      </w:tblGrid>
      <w:tr w:rsidRPr="00ED3E24" w:rsidR="0068364E" w:rsidTr="0068364E" w14:paraId="27FC4905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Pr="00ED3E24" w:rsidR="0068364E" w:rsidP="00ED3E24" w:rsidRDefault="0068364E" w14:paraId="28E45B2A" w14:textId="77777777">
            <w:pPr>
              <w:spacing w:after="0" w:line="360" w:lineRule="auto"/>
              <w:jc w:val="center"/>
              <w:rPr>
                <w:rFonts w:ascii="Verdana" w:hAnsi="Verdana" w:eastAsia="Times New Roman" w:cs="Times New Roman"/>
                <w:b/>
                <w:bCs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b/>
                <w:bCs/>
                <w:kern w:val="0"/>
                <w:sz w:val="24"/>
                <w:szCs w:val="24"/>
                <w:lang w:val="es-MX" w:eastAsia="es-MX"/>
                <w14:ligatures w14:val="none"/>
              </w:rPr>
              <w:t>Componente presupuestal</w:t>
            </w:r>
          </w:p>
        </w:tc>
        <w:tc>
          <w:tcPr>
            <w:tcW w:w="0" w:type="auto"/>
            <w:vAlign w:val="center"/>
            <w:hideMark/>
          </w:tcPr>
          <w:p w:rsidRPr="00ED3E24" w:rsidR="0068364E" w:rsidP="00ED3E24" w:rsidRDefault="0068364E" w14:paraId="5B8A1646" w14:textId="77777777">
            <w:pPr>
              <w:spacing w:after="0" w:line="360" w:lineRule="auto"/>
              <w:jc w:val="center"/>
              <w:rPr>
                <w:rFonts w:ascii="Verdana" w:hAnsi="Verdana" w:eastAsia="Times New Roman" w:cs="Times New Roman"/>
                <w:b/>
                <w:bCs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b/>
                <w:bCs/>
                <w:kern w:val="0"/>
                <w:sz w:val="24"/>
                <w:szCs w:val="24"/>
                <w:lang w:val="es-MX" w:eastAsia="es-MX"/>
                <w14:ligatures w14:val="none"/>
              </w:rPr>
              <w:t>Finalidad</w:t>
            </w:r>
          </w:p>
        </w:tc>
        <w:tc>
          <w:tcPr>
            <w:tcW w:w="0" w:type="auto"/>
            <w:vAlign w:val="center"/>
            <w:hideMark/>
          </w:tcPr>
          <w:p w:rsidRPr="00ED3E24" w:rsidR="0068364E" w:rsidP="00ED3E24" w:rsidRDefault="0068364E" w14:paraId="5B856839" w14:textId="77777777">
            <w:pPr>
              <w:spacing w:after="0" w:line="360" w:lineRule="auto"/>
              <w:jc w:val="center"/>
              <w:rPr>
                <w:rFonts w:ascii="Verdana" w:hAnsi="Verdana" w:eastAsia="Times New Roman" w:cs="Times New Roman"/>
                <w:b/>
                <w:bCs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b/>
                <w:bCs/>
                <w:kern w:val="0"/>
                <w:sz w:val="24"/>
                <w:szCs w:val="24"/>
                <w:lang w:val="es-MX" w:eastAsia="es-MX"/>
                <w14:ligatures w14:val="none"/>
              </w:rPr>
              <w:t>Entidad responsable</w:t>
            </w:r>
          </w:p>
        </w:tc>
      </w:tr>
      <w:tr w:rsidRPr="00ED3E24" w:rsidR="0068364E" w:rsidTr="0068364E" w14:paraId="0960B13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ED3E24" w:rsidR="0068364E" w:rsidP="00ED3E24" w:rsidRDefault="0068364E" w14:paraId="148A1764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b/>
                <w:bCs/>
                <w:kern w:val="0"/>
                <w:sz w:val="24"/>
                <w:szCs w:val="24"/>
                <w:lang w:val="es-MX" w:eastAsia="es-MX"/>
                <w14:ligatures w14:val="none"/>
              </w:rPr>
              <w:t>Funcionamiento</w:t>
            </w:r>
          </w:p>
        </w:tc>
        <w:tc>
          <w:tcPr>
            <w:tcW w:w="0" w:type="auto"/>
            <w:vAlign w:val="center"/>
            <w:hideMark/>
          </w:tcPr>
          <w:p w:rsidRPr="00ED3E24" w:rsidR="0068364E" w:rsidP="00ED3E24" w:rsidRDefault="0068364E" w14:paraId="10B01140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  <w:t>Apoyo técnico, administrativo y logístico del programa.</w:t>
            </w:r>
          </w:p>
        </w:tc>
        <w:tc>
          <w:tcPr>
            <w:tcW w:w="0" w:type="auto"/>
            <w:vAlign w:val="center"/>
            <w:hideMark/>
          </w:tcPr>
          <w:p w:rsidRPr="00ED3E24" w:rsidR="0068364E" w:rsidP="00ED3E24" w:rsidRDefault="0068364E" w14:paraId="4D928763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  <w:t>MinAmbiente – DBBSE.</w:t>
            </w:r>
          </w:p>
        </w:tc>
      </w:tr>
      <w:tr w:rsidRPr="00ED3E24" w:rsidR="0068364E" w:rsidTr="0068364E" w14:paraId="73CA03A5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ED3E24" w:rsidR="0068364E" w:rsidP="00ED3E24" w:rsidRDefault="0068364E" w14:paraId="5D7B530F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b/>
                <w:bCs/>
                <w:kern w:val="0"/>
                <w:sz w:val="24"/>
                <w:szCs w:val="24"/>
                <w:lang w:val="es-MX" w:eastAsia="es-MX"/>
                <w14:ligatures w14:val="none"/>
              </w:rPr>
              <w:lastRenderedPageBreak/>
              <w:t>Inversión nacional</w:t>
            </w:r>
          </w:p>
        </w:tc>
        <w:tc>
          <w:tcPr>
            <w:tcW w:w="0" w:type="auto"/>
            <w:vAlign w:val="center"/>
            <w:hideMark/>
          </w:tcPr>
          <w:p w:rsidRPr="00ED3E24" w:rsidR="0068364E" w:rsidP="00ED3E24" w:rsidRDefault="0068364E" w14:paraId="5F2E5C9C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  <w:t>Equipamiento de unidades móviles, adquisición de insumos y materiales quirúrgicos.</w:t>
            </w:r>
          </w:p>
        </w:tc>
        <w:tc>
          <w:tcPr>
            <w:tcW w:w="0" w:type="auto"/>
            <w:vAlign w:val="center"/>
            <w:hideMark/>
          </w:tcPr>
          <w:p w:rsidRPr="00ED3E24" w:rsidR="0068364E" w:rsidP="00ED3E24" w:rsidRDefault="0068364E" w14:paraId="10A3B7AC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  <w:t>MinAmbiente / MHCP.</w:t>
            </w:r>
          </w:p>
        </w:tc>
      </w:tr>
      <w:tr w:rsidRPr="00ED3E24" w:rsidR="0068364E" w:rsidTr="0068364E" w14:paraId="0335FDA4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ED3E24" w:rsidR="0068364E" w:rsidP="00ED3E24" w:rsidRDefault="0068364E" w14:paraId="27FAB9B1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b/>
                <w:bCs/>
                <w:kern w:val="0"/>
                <w:sz w:val="24"/>
                <w:szCs w:val="24"/>
                <w:lang w:val="es-MX" w:eastAsia="es-MX"/>
                <w14:ligatures w14:val="none"/>
              </w:rPr>
              <w:t>Transferencias territoriales</w:t>
            </w:r>
          </w:p>
        </w:tc>
        <w:tc>
          <w:tcPr>
            <w:tcW w:w="0" w:type="auto"/>
            <w:vAlign w:val="center"/>
            <w:hideMark/>
          </w:tcPr>
          <w:p w:rsidRPr="00ED3E24" w:rsidR="0068364E" w:rsidP="00ED3E24" w:rsidRDefault="0068364E" w14:paraId="58B292BE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  <w:t>Financiar jornadas locales de esterilización y campañas de educación.</w:t>
            </w:r>
          </w:p>
        </w:tc>
        <w:tc>
          <w:tcPr>
            <w:tcW w:w="0" w:type="auto"/>
            <w:vAlign w:val="center"/>
            <w:hideMark/>
          </w:tcPr>
          <w:p w:rsidRPr="00ED3E24" w:rsidR="0068364E" w:rsidP="00ED3E24" w:rsidRDefault="0068364E" w14:paraId="55B45BE3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  <w:t>Entes territoriales, supervisados por MinAmbiente y DNP.</w:t>
            </w:r>
          </w:p>
        </w:tc>
      </w:tr>
      <w:tr w:rsidRPr="00ED3E24" w:rsidR="0068364E" w:rsidTr="0068364E" w14:paraId="3AFF4C1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ED3E24" w:rsidR="0068364E" w:rsidP="00ED3E24" w:rsidRDefault="0068364E" w14:paraId="49503ED1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b/>
                <w:bCs/>
                <w:kern w:val="0"/>
                <w:sz w:val="24"/>
                <w:szCs w:val="24"/>
                <w:lang w:val="es-MX" w:eastAsia="es-MX"/>
                <w14:ligatures w14:val="none"/>
              </w:rPr>
              <w:t>Cooperación y alianzas</w:t>
            </w:r>
          </w:p>
        </w:tc>
        <w:tc>
          <w:tcPr>
            <w:tcW w:w="0" w:type="auto"/>
            <w:vAlign w:val="center"/>
            <w:hideMark/>
          </w:tcPr>
          <w:p w:rsidRPr="00ED3E24" w:rsidR="0068364E" w:rsidP="00ED3E24" w:rsidRDefault="0068364E" w14:paraId="2686A149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  <w:t>Vincular aportes de organismos internacionales, ONG y sector privado.</w:t>
            </w:r>
          </w:p>
        </w:tc>
        <w:tc>
          <w:tcPr>
            <w:tcW w:w="0" w:type="auto"/>
            <w:vAlign w:val="center"/>
            <w:hideMark/>
          </w:tcPr>
          <w:p w:rsidRPr="00ED3E24" w:rsidR="0068364E" w:rsidP="00ED3E24" w:rsidRDefault="0068364E" w14:paraId="15E63155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  <w:t>MinAmbiente – OAP.</w:t>
            </w:r>
          </w:p>
        </w:tc>
      </w:tr>
      <w:tr w:rsidRPr="00ED3E24" w:rsidR="0068364E" w:rsidTr="0068364E" w14:paraId="77107E6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ED3E24" w:rsidR="0068364E" w:rsidP="00ED3E24" w:rsidRDefault="0068364E" w14:paraId="6F17E440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b/>
                <w:bCs/>
                <w:kern w:val="0"/>
                <w:sz w:val="24"/>
                <w:szCs w:val="24"/>
                <w:lang w:val="es-MX" w:eastAsia="es-MX"/>
                <w14:ligatures w14:val="none"/>
              </w:rPr>
              <w:t>Educación y comunicación</w:t>
            </w:r>
          </w:p>
        </w:tc>
        <w:tc>
          <w:tcPr>
            <w:tcW w:w="0" w:type="auto"/>
            <w:vAlign w:val="center"/>
            <w:hideMark/>
          </w:tcPr>
          <w:p w:rsidRPr="00ED3E24" w:rsidR="0068364E" w:rsidP="00ED3E24" w:rsidRDefault="0068364E" w14:paraId="029C64CA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  <w:t>Estrategias pedagógicas y sensibilización ciudadana.</w:t>
            </w:r>
          </w:p>
        </w:tc>
        <w:tc>
          <w:tcPr>
            <w:tcW w:w="0" w:type="auto"/>
            <w:vAlign w:val="center"/>
            <w:hideMark/>
          </w:tcPr>
          <w:p w:rsidRPr="00ED3E24" w:rsidR="0068364E" w:rsidP="00ED3E24" w:rsidRDefault="0068364E" w14:paraId="44D33E79" w14:textId="77777777">
            <w:pPr>
              <w:spacing w:after="0" w:line="360" w:lineRule="auto"/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</w:pPr>
            <w:r w:rsidRPr="00ED3E24">
              <w:rPr>
                <w:rFonts w:ascii="Verdana" w:hAnsi="Verdana" w:eastAsia="Times New Roman" w:cs="Times New Roman"/>
                <w:kern w:val="0"/>
                <w:sz w:val="24"/>
                <w:szCs w:val="24"/>
                <w:lang w:val="es-MX" w:eastAsia="es-MX"/>
                <w14:ligatures w14:val="none"/>
              </w:rPr>
              <w:t>MinAmbiente – Grupo de Educación y Participación.</w:t>
            </w:r>
          </w:p>
        </w:tc>
      </w:tr>
    </w:tbl>
    <w:p w:rsidRPr="00ED3E24" w:rsidR="00C0654A" w:rsidP="00ED3E24" w:rsidRDefault="00C0654A" w14:paraId="7C6F333F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754C90" w:rsidP="00ED3E24" w:rsidRDefault="00C0654A" w14:paraId="67C0D6A0" w14:textId="500C7E7E">
      <w:pPr>
        <w:pStyle w:val="Ttulo2"/>
        <w:numPr>
          <w:ilvl w:val="0"/>
          <w:numId w:val="0"/>
        </w:numPr>
        <w:spacing w:line="360" w:lineRule="auto"/>
        <w:ind w:left="720" w:hanging="360"/>
        <w:rPr>
          <w:rFonts w:eastAsia="Times New Roman"/>
          <w:szCs w:val="24"/>
          <w:lang w:val="es-MX" w:eastAsia="es-ES"/>
        </w:rPr>
      </w:pPr>
      <w:bookmarkStart w:name="_Toc211063431" w:id="23"/>
      <w:r w:rsidRPr="00ED3E24">
        <w:rPr>
          <w:rFonts w:eastAsia="Times New Roman"/>
          <w:szCs w:val="24"/>
          <w:lang w:val="es-MX" w:eastAsia="es-ES"/>
        </w:rPr>
        <w:t>8.3. Fuentes de financiación</w:t>
      </w:r>
      <w:bookmarkEnd w:id="23"/>
    </w:p>
    <w:p w:rsidRPr="00ED3E24" w:rsidR="00C0654A" w:rsidP="00ED3E24" w:rsidRDefault="00C0654A" w14:paraId="024BA9BD" w14:textId="667C3E76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 xml:space="preserve">Las fuentes de financiación del </w:t>
      </w:r>
      <w:r w:rsidRPr="00ED3E24" w:rsidR="00EF14CB">
        <w:rPr>
          <w:rFonts w:ascii="Verdana" w:hAnsi="Verdana" w:eastAsia="Times New Roman"/>
          <w:sz w:val="24"/>
          <w:szCs w:val="24"/>
          <w:lang w:val="es-MX" w:eastAsia="es-ES"/>
        </w:rPr>
        <w:t xml:space="preserve">fondo </w:t>
      </w: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SINAPYBA y del Programa Nacional de Esterilización incluyen:</w:t>
      </w:r>
    </w:p>
    <w:p w:rsidRPr="00ED3E24" w:rsidR="00C0654A" w:rsidP="00ED3E24" w:rsidRDefault="00C0654A" w14:paraId="2BBB5914" w14:textId="77777777">
      <w:pPr>
        <w:numPr>
          <w:ilvl w:val="0"/>
          <w:numId w:val="20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Asignaciones presupuestales anuales del Presupuesto General de la Nación (PGN).</w:t>
      </w:r>
    </w:p>
    <w:p w:rsidRPr="00ED3E24" w:rsidR="00C0654A" w:rsidP="00ED3E24" w:rsidRDefault="00C0654A" w14:paraId="4D552E8E" w14:textId="77777777">
      <w:pPr>
        <w:numPr>
          <w:ilvl w:val="0"/>
          <w:numId w:val="20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Aportes de los entes territoriales (recursos de libre destinación o convenios de cofinanciación).</w:t>
      </w:r>
    </w:p>
    <w:p w:rsidRPr="00ED3E24" w:rsidR="00C0654A" w:rsidP="00ED3E24" w:rsidRDefault="00C0654A" w14:paraId="57E7E9B5" w14:textId="77777777">
      <w:pPr>
        <w:numPr>
          <w:ilvl w:val="0"/>
          <w:numId w:val="20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Recursos de cooperación internacional, especialmente de organismos vinculados a la OMSA, FAO, PNUD y cooperación bilateral.</w:t>
      </w:r>
    </w:p>
    <w:p w:rsidRPr="00ED3E24" w:rsidR="00C0654A" w:rsidP="00ED3E24" w:rsidRDefault="00C0654A" w14:paraId="76FDA2B6" w14:textId="77777777">
      <w:pPr>
        <w:numPr>
          <w:ilvl w:val="0"/>
          <w:numId w:val="20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lastRenderedPageBreak/>
        <w:t>Aportes del sector privado, bajo esquemas de responsabilidad social empresarial (RSE).</w:t>
      </w:r>
    </w:p>
    <w:p w:rsidRPr="00ED3E24" w:rsidR="00C0654A" w:rsidP="00ED3E24" w:rsidRDefault="00C0654A" w14:paraId="7B5817C6" w14:textId="77777777">
      <w:pPr>
        <w:numPr>
          <w:ilvl w:val="0"/>
          <w:numId w:val="20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Donaciones y contribuciones voluntarias de fundaciones y organizaciones de protección animal.</w:t>
      </w:r>
    </w:p>
    <w:p w:rsidRPr="00ED3E24" w:rsidR="00EF14CB" w:rsidP="00ED3E24" w:rsidRDefault="00EF14CB" w14:paraId="748D9BB6" w14:textId="77777777">
      <w:pPr>
        <w:spacing w:after="0" w:line="360" w:lineRule="auto"/>
        <w:ind w:left="720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C0654A" w:rsidP="00ED3E24" w:rsidRDefault="00C0654A" w14:paraId="7D950A47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El MHCP, a través de la Dirección General de Presupuesto Público Nacional (DGPPN), acompañará la estructuración de los proyectos de inversión y la incorporación de recursos en el PGN, conforme a los procedimientos del Sistema Unificado de Inversión y Finanzas Públicas (SUIFP).</w:t>
      </w:r>
    </w:p>
    <w:p w:rsidRPr="00ED3E24" w:rsidR="00255E59" w:rsidP="00ED3E24" w:rsidRDefault="00255E59" w14:paraId="4A309AF1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C0654A" w:rsidP="00ED3E24" w:rsidRDefault="00C0654A" w14:paraId="0A097FED" w14:textId="77777777">
      <w:pPr>
        <w:pStyle w:val="Ttulo2"/>
        <w:numPr>
          <w:ilvl w:val="0"/>
          <w:numId w:val="0"/>
        </w:numPr>
        <w:spacing w:line="360" w:lineRule="auto"/>
        <w:ind w:left="720" w:hanging="360"/>
        <w:rPr>
          <w:rFonts w:eastAsia="Times New Roman"/>
          <w:szCs w:val="24"/>
          <w:lang w:val="es-MX" w:eastAsia="es-ES"/>
        </w:rPr>
      </w:pPr>
      <w:bookmarkStart w:name="_Toc211063432" w:id="24"/>
      <w:r w:rsidRPr="00ED3E24">
        <w:rPr>
          <w:rFonts w:eastAsia="Times New Roman"/>
          <w:szCs w:val="24"/>
          <w:lang w:val="es-MX" w:eastAsia="es-ES"/>
        </w:rPr>
        <w:t>8.4. Análisis de costos y requerimientos financieros</w:t>
      </w:r>
      <w:bookmarkEnd w:id="24"/>
    </w:p>
    <w:p w:rsidRPr="00ED3E24" w:rsidR="00255E59" w:rsidP="00ED3E24" w:rsidRDefault="00255E59" w14:paraId="469E87B1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ED3E24" w:rsidP="00ED3E24" w:rsidRDefault="00C0654A" w14:paraId="49193B50" w14:textId="680555C9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De acuerdo con el análisis de costos presentado por MinAmbiente al MHCP (diciembre de 2024), el costo base estimado para la implementación inicial del programa asciende a $25.000 millones, distribuidos de la siguiente manera:</w:t>
      </w:r>
    </w:p>
    <w:p w:rsidRPr="00ED3E24" w:rsidR="00C0654A" w:rsidP="00ED3E24" w:rsidRDefault="00C0654A" w14:paraId="6F820751" w14:textId="77777777">
      <w:pPr>
        <w:pStyle w:val="Ttulo2"/>
        <w:numPr>
          <w:ilvl w:val="0"/>
          <w:numId w:val="0"/>
        </w:numPr>
        <w:spacing w:line="360" w:lineRule="auto"/>
        <w:ind w:left="720" w:hanging="360"/>
        <w:rPr>
          <w:rFonts w:eastAsia="Times New Roman"/>
          <w:szCs w:val="24"/>
          <w:lang w:val="es-MX" w:eastAsia="es-ES"/>
        </w:rPr>
      </w:pPr>
      <w:bookmarkStart w:name="_Toc211063433" w:id="25"/>
      <w:r w:rsidRPr="00ED3E24">
        <w:rPr>
          <w:rFonts w:eastAsia="Times New Roman"/>
          <w:szCs w:val="24"/>
          <w:lang w:val="es-MX" w:eastAsia="es-ES"/>
        </w:rPr>
        <w:t>8.5. Restricciones presupuestales y oportunidades</w:t>
      </w:r>
      <w:bookmarkEnd w:id="25"/>
    </w:p>
    <w:p w:rsidRPr="00ED3E24" w:rsidR="00255E59" w:rsidP="00ED3E24" w:rsidRDefault="00255E59" w14:paraId="1460CB4F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C0654A" w:rsidP="00ED3E24" w:rsidRDefault="00C0654A" w14:paraId="6A5F92C1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A la fecha, no existe una asignación presupuestal específica en la Ley de Presupuesto 2026; sin embargo, se logró una adición presupuestal el 28 de julio de 2025 en el rubro “Otras transferencias distribución previo concepto DGPPN”, que constituye la base financiera para iniciar operaciones.</w:t>
      </w:r>
    </w:p>
    <w:p w:rsidRPr="00ED3E24" w:rsidR="00255E59" w:rsidP="00ED3E24" w:rsidRDefault="00255E59" w14:paraId="016C5FA1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C0654A" w:rsidP="00ED3E24" w:rsidRDefault="00C0654A" w14:paraId="6F8DD857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Opciones de viabilidad inmediata:</w:t>
      </w:r>
    </w:p>
    <w:p w:rsidRPr="00ED3E24" w:rsidR="00C0654A" w:rsidP="00ED3E24" w:rsidRDefault="00C0654A" w14:paraId="2FB186D4" w14:textId="77777777">
      <w:pPr>
        <w:numPr>
          <w:ilvl w:val="0"/>
          <w:numId w:val="21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Modificación presupuestal durante la vigencia 2025–2026, mediante carta de solicitud al MHCP.</w:t>
      </w:r>
    </w:p>
    <w:p w:rsidRPr="00ED3E24" w:rsidR="00C0654A" w:rsidP="00ED3E24" w:rsidRDefault="00C0654A" w14:paraId="488E4B5B" w14:textId="77777777">
      <w:pPr>
        <w:numPr>
          <w:ilvl w:val="0"/>
          <w:numId w:val="21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lastRenderedPageBreak/>
        <w:t>Inclusión del rubro en el proyecto de Ley de Presupuesto 2026, con apoyo del DNP.</w:t>
      </w:r>
    </w:p>
    <w:p w:rsidRPr="00ED3E24" w:rsidR="00C0654A" w:rsidP="00ED3E24" w:rsidRDefault="00C0654A" w14:paraId="15EDC1D2" w14:textId="77777777">
      <w:pPr>
        <w:numPr>
          <w:ilvl w:val="0"/>
          <w:numId w:val="21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Gestión de cooperación internacional no reembolsable, priorizando programas de salud pública y bienestar animal.</w:t>
      </w:r>
    </w:p>
    <w:p w:rsidRPr="00ED3E24" w:rsidR="00255E59" w:rsidP="00ED3E24" w:rsidRDefault="00255E59" w14:paraId="6EF320DA" w14:textId="77777777">
      <w:pPr>
        <w:spacing w:after="0" w:line="360" w:lineRule="auto"/>
        <w:ind w:left="720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C0654A" w:rsidP="00ED3E24" w:rsidRDefault="00C0654A" w14:paraId="5D314E02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El éxito del programa depende de la permanencia del rubro adicionado y de la consolidación de convenios marco con las entidades territoriales.</w:t>
      </w:r>
    </w:p>
    <w:p w:rsidRPr="00ED3E24" w:rsidR="002A23F2" w:rsidP="00ED3E24" w:rsidRDefault="002A23F2" w14:paraId="5DE5FC91" w14:textId="12C27F25">
      <w:pPr>
        <w:pStyle w:val="Ttulo2"/>
        <w:numPr>
          <w:ilvl w:val="0"/>
          <w:numId w:val="0"/>
        </w:numPr>
        <w:spacing w:line="360" w:lineRule="auto"/>
        <w:rPr>
          <w:rFonts w:eastAsia="Times New Roman"/>
          <w:szCs w:val="24"/>
          <w:lang w:val="es-MX" w:eastAsia="es-ES"/>
        </w:rPr>
      </w:pPr>
    </w:p>
    <w:p w:rsidRPr="00ED3E24" w:rsidR="00C0654A" w:rsidP="00ED3E24" w:rsidRDefault="00C0654A" w14:paraId="29BC571D" w14:textId="3A620852">
      <w:pPr>
        <w:pStyle w:val="Ttulo2"/>
        <w:numPr>
          <w:ilvl w:val="0"/>
          <w:numId w:val="0"/>
        </w:numPr>
        <w:spacing w:line="360" w:lineRule="auto"/>
        <w:ind w:left="720" w:hanging="360"/>
        <w:rPr>
          <w:rFonts w:eastAsia="Times New Roman"/>
          <w:szCs w:val="24"/>
          <w:lang w:val="es-MX" w:eastAsia="es-ES"/>
        </w:rPr>
      </w:pPr>
      <w:bookmarkStart w:name="_Toc211063434" w:id="26"/>
      <w:r w:rsidRPr="00ED3E24">
        <w:rPr>
          <w:rFonts w:eastAsia="Times New Roman"/>
          <w:szCs w:val="24"/>
          <w:lang w:val="es-MX" w:eastAsia="es-ES"/>
        </w:rPr>
        <w:t>8.6. Mecanismos de control y seguimiento financiero</w:t>
      </w:r>
      <w:bookmarkEnd w:id="26"/>
    </w:p>
    <w:p w:rsidRPr="00ED3E24" w:rsidR="00255E59" w:rsidP="00ED3E24" w:rsidRDefault="00255E59" w14:paraId="276640B6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</w:p>
    <w:p w:rsidRPr="00ED3E24" w:rsidR="00C0654A" w:rsidP="00ED3E24" w:rsidRDefault="00C0654A" w14:paraId="3966B59F" w14:textId="77777777">
      <w:p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El control financiero del Fondo se realizará mediante los siguientes instrumentos:</w:t>
      </w:r>
    </w:p>
    <w:p w:rsidRPr="00ED3E24" w:rsidR="00C0654A" w:rsidP="00ED3E24" w:rsidRDefault="00C0654A" w14:paraId="3452768B" w14:textId="77777777">
      <w:pPr>
        <w:numPr>
          <w:ilvl w:val="0"/>
          <w:numId w:val="22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Plan de Acción Financiero Trimestral (PAFT), coordinado entre la DBBSE, la OAP y la DGPPN.</w:t>
      </w:r>
    </w:p>
    <w:p w:rsidRPr="00ED3E24" w:rsidR="00C0654A" w:rsidP="00ED3E24" w:rsidRDefault="00C0654A" w14:paraId="5A9A8DE8" w14:textId="566F46BB">
      <w:pPr>
        <w:numPr>
          <w:ilvl w:val="0"/>
          <w:numId w:val="22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Sistema de Seguimiento Presupuestal, que registrará cada transferencia, gasto y contrato.</w:t>
      </w:r>
    </w:p>
    <w:p w:rsidRPr="00ED3E24" w:rsidR="00C0654A" w:rsidP="00ED3E24" w:rsidRDefault="00C0654A" w14:paraId="7642EE32" w14:textId="77777777">
      <w:pPr>
        <w:numPr>
          <w:ilvl w:val="0"/>
          <w:numId w:val="22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Auditorías internas y externas anuales a cargo de la Oficina de Control Interno y la Contraloría General de la República.</w:t>
      </w:r>
    </w:p>
    <w:p w:rsidRPr="00ED3E24" w:rsidR="008669E5" w:rsidP="00ED3E24" w:rsidRDefault="00C0654A" w14:paraId="539B408D" w14:textId="038D03CB">
      <w:pPr>
        <w:numPr>
          <w:ilvl w:val="0"/>
          <w:numId w:val="22"/>
        </w:numPr>
        <w:spacing w:after="0" w:line="360" w:lineRule="auto"/>
        <w:jc w:val="both"/>
        <w:rPr>
          <w:rFonts w:ascii="Verdana" w:hAnsi="Verdana" w:eastAsia="Times New Roman"/>
          <w:sz w:val="24"/>
          <w:szCs w:val="24"/>
          <w:lang w:val="es-MX" w:eastAsia="es-ES"/>
        </w:rPr>
      </w:pPr>
      <w:r w:rsidRPr="00ED3E24">
        <w:rPr>
          <w:rFonts w:ascii="Verdana" w:hAnsi="Verdana" w:eastAsia="Times New Roman"/>
          <w:sz w:val="24"/>
          <w:szCs w:val="24"/>
          <w:lang w:val="es-MX" w:eastAsia="es-ES"/>
        </w:rPr>
        <w:t>Publicación semestral de informes de ejecución con indicadores de eficiencia del gasto, cobertura y costo por animal intervenido.</w:t>
      </w:r>
    </w:p>
    <w:sectPr w:rsidRPr="00ED3E24" w:rsidR="008669E5" w:rsidSect="00726A3B">
      <w:headerReference w:type="default" r:id="rId8"/>
      <w:footerReference w:type="default" r:id="rId9"/>
      <w:pgSz w:w="12240" w:h="15840" w:orient="portrait"/>
      <w:pgMar w:top="212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755AF" w:rsidP="00757B36" w:rsidRDefault="00D755AF" w14:paraId="368F9E68" w14:textId="77777777">
      <w:pPr>
        <w:spacing w:after="0" w:line="240" w:lineRule="auto"/>
      </w:pPr>
      <w:r>
        <w:separator/>
      </w:r>
    </w:p>
  </w:endnote>
  <w:endnote w:type="continuationSeparator" w:id="0">
    <w:p w:rsidR="00D755AF" w:rsidP="00757B36" w:rsidRDefault="00D755AF" w14:paraId="6E7E595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sdt>
    <w:sdtPr>
      <w:rPr>
        <w:lang w:val="es-ES"/>
      </w:rPr>
      <w:id w:val="-1071572585"/>
      <w:docPartObj>
        <w:docPartGallery w:val="Page Numbers (Bottom of Page)"/>
        <w:docPartUnique/>
      </w:docPartObj>
    </w:sdtPr>
    <w:sdtEndPr>
      <w:rPr>
        <w:rFonts w:ascii="Verdana" w:hAnsi="Verdana"/>
        <w:color w:val="000000"/>
        <w:sz w:val="18"/>
        <w:szCs w:val="18"/>
        <w:lang w:val="es-CO"/>
      </w:rPr>
    </w:sdtEndPr>
    <w:sdtContent>
      <w:p w:rsidRPr="003A3319" w:rsidR="0022254F" w:rsidP="0022254F" w:rsidRDefault="00D34D20" w14:paraId="795CDCB7" w14:textId="77777777">
        <w:pPr>
          <w:pStyle w:val="Piedepgina"/>
          <w:jc w:val="right"/>
          <w:rPr>
            <w:rFonts w:ascii="Verdana" w:hAnsi="Verdana"/>
            <w:color w:val="000000"/>
            <w:sz w:val="18"/>
            <w:szCs w:val="18"/>
          </w:rPr>
        </w:pPr>
        <w:r w:rsidRPr="003A3319">
          <w:rPr>
            <w:rFonts w:ascii="Verdana" w:hAnsi="Verdana"/>
            <w:noProof/>
            <w:sz w:val="18"/>
            <w:szCs w:val="18"/>
            <w:lang w:val="en-US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AE5F12B" wp14:editId="7858CE81">
                  <wp:simplePos x="0" y="0"/>
                  <wp:positionH relativeFrom="margin">
                    <wp:posOffset>-99060</wp:posOffset>
                  </wp:positionH>
                  <wp:positionV relativeFrom="paragraph">
                    <wp:posOffset>-188253</wp:posOffset>
                  </wp:positionV>
                  <wp:extent cx="5457825" cy="1229995"/>
                  <wp:effectExtent l="0" t="0" r="0" b="0"/>
                  <wp:wrapNone/>
                  <wp:docPr id="1223101586" name="Cuadro de texto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5457825" cy="1229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Pr="00256928" w:rsidR="00D34D20" w:rsidP="00D34D20" w:rsidRDefault="00D34D20" w14:paraId="79D92C5A" w14:textId="5628690E">
                              <w:pPr>
                                <w:spacing w:after="0" w:line="276" w:lineRule="auto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</w:pPr>
                              <w:r w:rsidRPr="00256928">
                                <w:rPr>
                                  <w:rFonts w:ascii="Helvetica" w:hAnsi="Helvetica"/>
                                  <w:sz w:val="20"/>
                                  <w:szCs w:val="20"/>
                                </w:rPr>
                                <w:t>________________________________________________________________________</w:t>
                              </w:r>
                            </w:p>
                            <w:p w:rsidRPr="003A3319" w:rsidR="00D34D20" w:rsidP="00D34D20" w:rsidRDefault="00726A3B" w14:paraId="1B8765A5" w14:textId="4A83745E">
                              <w:pPr>
                                <w:spacing w:after="0" w:line="276" w:lineRule="auto"/>
                                <w:jc w:val="both"/>
                                <w:rPr>
                                  <w:rFonts w:ascii="Verdana" w:hAnsi="Verdana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3A3319">
                                <w:rPr>
                                  <w:rFonts w:ascii="Verdana" w:hAnsi="Verdana"/>
                                  <w:b/>
                                  <w:bCs/>
                                  <w:sz w:val="18"/>
                                  <w:szCs w:val="18"/>
                                </w:rPr>
                                <w:t>Ministerio de Ambiente y Desarrollo Sostenible</w:t>
                              </w:r>
                            </w:p>
                            <w:p w:rsidRPr="003A3319" w:rsidR="00D34D20" w:rsidP="00D34D20" w:rsidRDefault="00D34D20" w14:paraId="3453229D" w14:textId="40C075EB">
                              <w:pPr>
                                <w:spacing w:after="0" w:line="276" w:lineRule="auto"/>
                                <w:jc w:val="both"/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</w:pPr>
                              <w:r w:rsidRPr="003A3319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 xml:space="preserve">Dirección: </w:t>
                              </w:r>
                              <w:r w:rsidRPr="003A3319" w:rsidR="0022254F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 xml:space="preserve">Calle 37 #8 - 40, Bogotá D.C., Colombia </w:t>
                              </w:r>
                            </w:p>
                            <w:p w:rsidRPr="003A3319" w:rsidR="00D34D20" w:rsidP="00D34D20" w:rsidRDefault="00D34D20" w14:paraId="7463B94C" w14:textId="6C100408">
                              <w:pPr>
                                <w:spacing w:after="0" w:line="276" w:lineRule="auto"/>
                                <w:jc w:val="both"/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</w:pPr>
                              <w:r w:rsidRPr="003A3319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 xml:space="preserve">Conmutador: (+57) </w:t>
                              </w:r>
                              <w:r w:rsidRPr="003A3319" w:rsidR="0022254F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 xml:space="preserve">601 332 3400 - </w:t>
                              </w:r>
                              <w:r w:rsidRPr="0098792B" w:rsidR="0098792B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>3133463676</w:t>
                              </w:r>
                            </w:p>
                            <w:p w:rsidRPr="003A3319" w:rsidR="00D34D20" w:rsidP="00256928" w:rsidRDefault="00D34D20" w14:paraId="3F743D65" w14:textId="03C32F22">
                              <w:pPr>
                                <w:spacing w:after="0" w:line="276" w:lineRule="auto"/>
                                <w:jc w:val="both"/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</w:pPr>
                              <w:r w:rsidRPr="003A3319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 xml:space="preserve">Línea Gratuita: (+57) </w:t>
                              </w:r>
                              <w:r w:rsidRPr="003A3319" w:rsidR="009E28CB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>01 8000 919301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 w14:anchorId="7AE5F12B">
                  <v:stroke joinstyle="miter"/>
                  <v:path gradientshapeok="t" o:connecttype="rect"/>
                </v:shapetype>
                <v:shape id="Cuadro de texto 1" style="position:absolute;left:0;text-align:left;margin-left:-7.8pt;margin-top:-14.8pt;width:429.75pt;height:96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">
                  <v:textbox>
                    <w:txbxContent>
                      <w:p w:rsidRPr="00256928" w:rsidR="00D34D20" w:rsidP="00D34D20" w:rsidRDefault="00D34D20" w14:paraId="79D92C5A" w14:textId="5628690E">
                        <w:pPr>
                          <w:spacing w:after="0" w:line="276" w:lineRule="auto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</w:rPr>
                        </w:pPr>
                        <w:r w:rsidRPr="00256928">
                          <w:rPr>
                            <w:rFonts w:ascii="Helvetica" w:hAnsi="Helvetica"/>
                            <w:sz w:val="20"/>
                            <w:szCs w:val="20"/>
                          </w:rPr>
                          <w:t>________________________________________________________________________</w:t>
                        </w:r>
                      </w:p>
                      <w:p w:rsidRPr="003A3319" w:rsidR="00D34D20" w:rsidP="00D34D20" w:rsidRDefault="00726A3B" w14:paraId="1B8765A5" w14:textId="4A83745E">
                        <w:pPr>
                          <w:spacing w:after="0" w:line="276" w:lineRule="auto"/>
                          <w:jc w:val="both"/>
                          <w:rPr>
                            <w:rFonts w:ascii="Verdana" w:hAnsi="Verdan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3A3319">
                          <w:rPr>
                            <w:rFonts w:ascii="Verdana" w:hAnsi="Verdana"/>
                            <w:b/>
                            <w:bCs/>
                            <w:sz w:val="18"/>
                            <w:szCs w:val="18"/>
                          </w:rPr>
                          <w:t>Ministerio de Ambiente y Desarrollo Sostenible</w:t>
                        </w:r>
                      </w:p>
                      <w:p w:rsidRPr="003A3319" w:rsidR="00D34D20" w:rsidP="00D34D20" w:rsidRDefault="00D34D20" w14:paraId="3453229D" w14:textId="40C075EB">
                        <w:pPr>
                          <w:spacing w:after="0" w:line="276" w:lineRule="auto"/>
                          <w:jc w:val="both"/>
                          <w:rPr>
                            <w:rFonts w:ascii="Verdana" w:hAnsi="Verdana"/>
                            <w:sz w:val="18"/>
                            <w:szCs w:val="18"/>
                          </w:rPr>
                        </w:pPr>
                        <w:r w:rsidRPr="003A3319">
                          <w:rPr>
                            <w:rFonts w:ascii="Verdana" w:hAnsi="Verdana"/>
                            <w:sz w:val="18"/>
                            <w:szCs w:val="18"/>
                          </w:rPr>
                          <w:t xml:space="preserve">Dirección: </w:t>
                        </w:r>
                        <w:r w:rsidRPr="003A3319" w:rsidR="0022254F">
                          <w:rPr>
                            <w:rFonts w:ascii="Verdana" w:hAnsi="Verdana"/>
                            <w:sz w:val="18"/>
                            <w:szCs w:val="18"/>
                          </w:rPr>
                          <w:t xml:space="preserve">Calle 37 #8 - 40, Bogotá D.C., Colombia </w:t>
                        </w:r>
                      </w:p>
                      <w:p w:rsidRPr="003A3319" w:rsidR="00D34D20" w:rsidP="00D34D20" w:rsidRDefault="00D34D20" w14:paraId="7463B94C" w14:textId="6C100408">
                        <w:pPr>
                          <w:spacing w:after="0" w:line="276" w:lineRule="auto"/>
                          <w:jc w:val="both"/>
                          <w:rPr>
                            <w:rFonts w:ascii="Verdana" w:hAnsi="Verdana"/>
                            <w:sz w:val="18"/>
                            <w:szCs w:val="18"/>
                          </w:rPr>
                        </w:pPr>
                        <w:r w:rsidRPr="003A3319">
                          <w:rPr>
                            <w:rFonts w:ascii="Verdana" w:hAnsi="Verdana"/>
                            <w:sz w:val="18"/>
                            <w:szCs w:val="18"/>
                          </w:rPr>
                          <w:t xml:space="preserve">Conmutador: (+57) </w:t>
                        </w:r>
                        <w:r w:rsidRPr="003A3319" w:rsidR="0022254F">
                          <w:rPr>
                            <w:rFonts w:ascii="Verdana" w:hAnsi="Verdana"/>
                            <w:sz w:val="18"/>
                            <w:szCs w:val="18"/>
                          </w:rPr>
                          <w:t xml:space="preserve">601 332 3400 - </w:t>
                        </w:r>
                        <w:r w:rsidRPr="0098792B" w:rsidR="0098792B">
                          <w:rPr>
                            <w:rFonts w:ascii="Verdana" w:hAnsi="Verdana"/>
                            <w:sz w:val="18"/>
                            <w:szCs w:val="18"/>
                          </w:rPr>
                          <w:t>3133463676</w:t>
                        </w:r>
                      </w:p>
                      <w:p w:rsidRPr="003A3319" w:rsidR="00D34D20" w:rsidP="00256928" w:rsidRDefault="00D34D20" w14:paraId="3F743D65" w14:textId="03C32F22">
                        <w:pPr>
                          <w:spacing w:after="0" w:line="276" w:lineRule="auto"/>
                          <w:jc w:val="both"/>
                          <w:rPr>
                            <w:rFonts w:ascii="Verdana" w:hAnsi="Verdana"/>
                            <w:sz w:val="18"/>
                            <w:szCs w:val="18"/>
                          </w:rPr>
                        </w:pPr>
                        <w:r w:rsidRPr="003A3319">
                          <w:rPr>
                            <w:rFonts w:ascii="Verdana" w:hAnsi="Verdana"/>
                            <w:sz w:val="18"/>
                            <w:szCs w:val="18"/>
                          </w:rPr>
                          <w:t xml:space="preserve">Línea Gratuita: (+57) </w:t>
                        </w:r>
                        <w:r w:rsidRPr="003A3319" w:rsidR="009E28CB">
                          <w:rPr>
                            <w:rFonts w:ascii="Verdana" w:hAnsi="Verdana"/>
                            <w:sz w:val="18"/>
                            <w:szCs w:val="18"/>
                          </w:rPr>
                          <w:t>01 8000 919301</w:t>
                        </w: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 w:rsidRPr="003A3319" w:rsidR="0022254F">
          <w:rPr>
            <w:rFonts w:ascii="Verdana" w:hAnsi="Verdana"/>
            <w:color w:val="000000"/>
            <w:sz w:val="18"/>
            <w:szCs w:val="18"/>
          </w:rPr>
          <w:t xml:space="preserve">Página </w:t>
        </w:r>
        <w:r w:rsidRPr="003A3319" w:rsidR="0022254F">
          <w:rPr>
            <w:rFonts w:ascii="Verdana" w:hAnsi="Verdana"/>
            <w:color w:val="000000"/>
            <w:sz w:val="18"/>
            <w:szCs w:val="18"/>
          </w:rPr>
          <w:fldChar w:fldCharType="begin"/>
        </w:r>
        <w:r w:rsidRPr="003A3319" w:rsidR="0022254F">
          <w:rPr>
            <w:rFonts w:ascii="Verdana" w:hAnsi="Verdana"/>
            <w:color w:val="000000"/>
            <w:sz w:val="18"/>
            <w:szCs w:val="18"/>
          </w:rPr>
          <w:instrText>PAGE   \* MERGEFORMAT</w:instrText>
        </w:r>
        <w:r w:rsidRPr="003A3319" w:rsidR="0022254F">
          <w:rPr>
            <w:rFonts w:ascii="Verdana" w:hAnsi="Verdana"/>
            <w:color w:val="000000"/>
            <w:sz w:val="18"/>
            <w:szCs w:val="18"/>
          </w:rPr>
          <w:fldChar w:fldCharType="separate"/>
        </w:r>
        <w:r w:rsidRPr="003A3319" w:rsidR="0022254F">
          <w:rPr>
            <w:rFonts w:ascii="Verdana" w:hAnsi="Verdana"/>
            <w:color w:val="000000"/>
            <w:sz w:val="18"/>
            <w:szCs w:val="18"/>
          </w:rPr>
          <w:t>2</w:t>
        </w:r>
        <w:r w:rsidRPr="003A3319" w:rsidR="0022254F">
          <w:rPr>
            <w:rFonts w:ascii="Verdana" w:hAnsi="Verdana"/>
            <w:color w:val="000000"/>
            <w:sz w:val="18"/>
            <w:szCs w:val="18"/>
          </w:rPr>
          <w:fldChar w:fldCharType="end"/>
        </w:r>
        <w:r w:rsidRPr="003A3319" w:rsidR="0022254F">
          <w:rPr>
            <w:rFonts w:ascii="Verdana" w:hAnsi="Verdana"/>
            <w:color w:val="000000"/>
            <w:sz w:val="18"/>
            <w:szCs w:val="18"/>
          </w:rPr>
          <w:t xml:space="preserve"> | </w:t>
        </w:r>
        <w:r w:rsidRPr="003A3319" w:rsidR="0022254F">
          <w:rPr>
            <w:rFonts w:ascii="Verdana" w:hAnsi="Verdana"/>
            <w:color w:val="000000"/>
            <w:sz w:val="18"/>
            <w:szCs w:val="18"/>
          </w:rPr>
          <w:fldChar w:fldCharType="begin"/>
        </w:r>
        <w:r w:rsidRPr="003A3319" w:rsidR="0022254F">
          <w:rPr>
            <w:rFonts w:ascii="Verdana" w:hAnsi="Verdana"/>
            <w:color w:val="000000"/>
            <w:sz w:val="18"/>
            <w:szCs w:val="18"/>
          </w:rPr>
          <w:instrText>NUMPAGES  \* Arabic  \* MERGEFORMAT</w:instrText>
        </w:r>
        <w:r w:rsidRPr="003A3319" w:rsidR="0022254F">
          <w:rPr>
            <w:rFonts w:ascii="Verdana" w:hAnsi="Verdana"/>
            <w:color w:val="000000"/>
            <w:sz w:val="18"/>
            <w:szCs w:val="18"/>
          </w:rPr>
          <w:fldChar w:fldCharType="separate"/>
        </w:r>
        <w:r w:rsidRPr="003A3319" w:rsidR="0022254F">
          <w:rPr>
            <w:rFonts w:ascii="Verdana" w:hAnsi="Verdana"/>
            <w:color w:val="000000"/>
            <w:sz w:val="18"/>
            <w:szCs w:val="18"/>
          </w:rPr>
          <w:t>2</w:t>
        </w:r>
        <w:r w:rsidRPr="003A3319" w:rsidR="0022254F">
          <w:rPr>
            <w:rFonts w:ascii="Verdana" w:hAnsi="Verdana"/>
            <w:color w:val="000000"/>
            <w:sz w:val="18"/>
            <w:szCs w:val="18"/>
          </w:rPr>
          <w:fldChar w:fldCharType="end"/>
        </w:r>
      </w:p>
      <w:p w:rsidRPr="003A3319" w:rsidR="0022254F" w:rsidP="0022254F" w:rsidRDefault="00000000" w14:paraId="2E27CAF7" w14:textId="0F41A7D3">
        <w:pPr>
          <w:pStyle w:val="Piedepgina"/>
          <w:jc w:val="right"/>
          <w:rPr>
            <w:rFonts w:ascii="Verdana" w:hAnsi="Verdana"/>
            <w:color w:val="000000"/>
            <w:sz w:val="18"/>
            <w:szCs w:val="18"/>
          </w:rPr>
        </w:pPr>
      </w:p>
    </w:sdtContent>
  </w:sdt>
  <w:p w:rsidRPr="003A3319" w:rsidR="00EA4BE4" w:rsidP="00EA4BE4" w:rsidRDefault="00EA4BE4" w14:paraId="64D00525" w14:textId="140CFF39">
    <w:pPr>
      <w:pStyle w:val="Piedepgina"/>
      <w:jc w:val="right"/>
      <w:rPr>
        <w:rFonts w:ascii="Verdana" w:hAnsi="Verdana"/>
        <w:sz w:val="18"/>
        <w:szCs w:val="18"/>
      </w:rPr>
    </w:pPr>
    <w:r w:rsidRPr="003A3319">
      <w:rPr>
        <w:rFonts w:ascii="Verdana" w:hAnsi="Verdana"/>
        <w:sz w:val="18"/>
        <w:szCs w:val="18"/>
      </w:rPr>
      <w:t>F-E-SIG-</w:t>
    </w:r>
    <w:proofErr w:type="gramStart"/>
    <w:r w:rsidRPr="003A3319">
      <w:rPr>
        <w:rFonts w:ascii="Verdana" w:hAnsi="Verdana"/>
        <w:sz w:val="18"/>
        <w:szCs w:val="18"/>
      </w:rPr>
      <w:t>26:V</w:t>
    </w:r>
    <w:proofErr w:type="gramEnd"/>
    <w:r w:rsidRPr="003A3319">
      <w:rPr>
        <w:rFonts w:ascii="Verdana" w:hAnsi="Verdana"/>
        <w:sz w:val="18"/>
        <w:szCs w:val="18"/>
      </w:rPr>
      <w:t xml:space="preserve">7 </w:t>
    </w:r>
    <w:r w:rsidR="003A3319">
      <w:rPr>
        <w:rFonts w:ascii="Verdana" w:hAnsi="Verdana"/>
        <w:sz w:val="18"/>
        <w:szCs w:val="18"/>
      </w:rPr>
      <w:t>02-08-</w:t>
    </w:r>
    <w:r w:rsidRPr="003A3319">
      <w:rPr>
        <w:rFonts w:ascii="Verdana" w:hAnsi="Verdana"/>
        <w:sz w:val="18"/>
        <w:szCs w:val="18"/>
      </w:rPr>
      <w:t>2024</w:t>
    </w:r>
  </w:p>
  <w:p w:rsidRPr="00D34D20" w:rsidR="00D34D20" w:rsidP="00D34D20" w:rsidRDefault="00D34D20" w14:paraId="409F4B9A" w14:textId="79830460">
    <w:pPr>
      <w:spacing w:after="0" w:line="276" w:lineRule="auto"/>
      <w:jc w:val="both"/>
      <w:rPr>
        <w:rFonts w:ascii="Helvetica" w:hAnsi="Helveti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755AF" w:rsidP="00757B36" w:rsidRDefault="00D755AF" w14:paraId="6354401C" w14:textId="77777777">
      <w:pPr>
        <w:spacing w:after="0" w:line="240" w:lineRule="auto"/>
      </w:pPr>
      <w:r>
        <w:separator/>
      </w:r>
    </w:p>
  </w:footnote>
  <w:footnote w:type="continuationSeparator" w:id="0">
    <w:p w:rsidR="00D755AF" w:rsidP="00757B36" w:rsidRDefault="00D755AF" w14:paraId="6CC82E9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757B36" w:rsidRDefault="00757B36" w14:paraId="5FF8CE25" w14:textId="77777777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4B676E97" wp14:editId="174FF380">
          <wp:simplePos x="0" y="0"/>
          <wp:positionH relativeFrom="page">
            <wp:posOffset>6674</wp:posOffset>
          </wp:positionH>
          <wp:positionV relativeFrom="paragraph">
            <wp:posOffset>-436231</wp:posOffset>
          </wp:positionV>
          <wp:extent cx="7756896" cy="10051011"/>
          <wp:effectExtent l="0" t="0" r="0" b="0"/>
          <wp:wrapNone/>
          <wp:docPr id="1750966253" name="Imagen 17509662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993281" name="Imagen 161599328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6896" cy="10051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944"/>
    <w:multiLevelType w:val="multilevel"/>
    <w:tmpl w:val="4CE43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008B74F5"/>
    <w:multiLevelType w:val="multilevel"/>
    <w:tmpl w:val="6212D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00DC35FC"/>
    <w:multiLevelType w:val="hybridMultilevel"/>
    <w:tmpl w:val="4FB8C532"/>
    <w:lvl w:ilvl="0" w:tplc="00CE51EC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96755B"/>
    <w:multiLevelType w:val="multilevel"/>
    <w:tmpl w:val="CD166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02940984"/>
    <w:multiLevelType w:val="hybridMultilevel"/>
    <w:tmpl w:val="755E322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546E55"/>
    <w:multiLevelType w:val="hybridMultilevel"/>
    <w:tmpl w:val="1556E706"/>
    <w:lvl w:ilvl="0" w:tplc="080A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67272B0"/>
    <w:multiLevelType w:val="hybridMultilevel"/>
    <w:tmpl w:val="3F366A16"/>
    <w:lvl w:ilvl="0" w:tplc="080A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D9E133A"/>
    <w:multiLevelType w:val="multilevel"/>
    <w:tmpl w:val="98800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55759E"/>
    <w:multiLevelType w:val="multilevel"/>
    <w:tmpl w:val="1DF46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6B3821"/>
    <w:multiLevelType w:val="multilevel"/>
    <w:tmpl w:val="FDB82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4226C7"/>
    <w:multiLevelType w:val="multilevel"/>
    <w:tmpl w:val="C4CA0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15E935ED"/>
    <w:multiLevelType w:val="multilevel"/>
    <w:tmpl w:val="0AF0F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1FCA47A1"/>
    <w:multiLevelType w:val="hybridMultilevel"/>
    <w:tmpl w:val="5C0CC3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41DE3"/>
    <w:multiLevelType w:val="multilevel"/>
    <w:tmpl w:val="B224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2339089A"/>
    <w:multiLevelType w:val="multilevel"/>
    <w:tmpl w:val="3CC0F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2FBE4EF8"/>
    <w:multiLevelType w:val="multilevel"/>
    <w:tmpl w:val="A4142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35995F55"/>
    <w:multiLevelType w:val="multilevel"/>
    <w:tmpl w:val="04D4A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E65520"/>
    <w:multiLevelType w:val="hybridMultilevel"/>
    <w:tmpl w:val="C4B04598"/>
    <w:lvl w:ilvl="0" w:tplc="19BCA3E6">
      <w:start w:val="1"/>
      <w:numFmt w:val="decimal"/>
      <w:pStyle w:val="Ttulo1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E5315"/>
    <w:multiLevelType w:val="multilevel"/>
    <w:tmpl w:val="09521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41CF6F7E"/>
    <w:multiLevelType w:val="hybridMultilevel"/>
    <w:tmpl w:val="12B64B16"/>
    <w:lvl w:ilvl="0" w:tplc="08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0" w15:restartNumberingAfterBreak="0">
    <w:nsid w:val="425739D2"/>
    <w:multiLevelType w:val="hybridMultilevel"/>
    <w:tmpl w:val="D86A07BA"/>
    <w:lvl w:ilvl="0" w:tplc="080A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3090168"/>
    <w:multiLevelType w:val="hybridMultilevel"/>
    <w:tmpl w:val="55225AB6"/>
    <w:lvl w:ilvl="0" w:tplc="080A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AD511BC"/>
    <w:multiLevelType w:val="hybridMultilevel"/>
    <w:tmpl w:val="3EF6C93E"/>
    <w:lvl w:ilvl="0" w:tplc="0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C2D3016"/>
    <w:multiLevelType w:val="hybridMultilevel"/>
    <w:tmpl w:val="22E05B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E251B7"/>
    <w:multiLevelType w:val="multilevel"/>
    <w:tmpl w:val="32068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1147C7"/>
    <w:multiLevelType w:val="hybridMultilevel"/>
    <w:tmpl w:val="AAE6BC0E"/>
    <w:lvl w:ilvl="0" w:tplc="080A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8285190"/>
    <w:multiLevelType w:val="multilevel"/>
    <w:tmpl w:val="82764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7" w15:restartNumberingAfterBreak="0">
    <w:nsid w:val="599044A2"/>
    <w:multiLevelType w:val="multilevel"/>
    <w:tmpl w:val="72128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8" w15:restartNumberingAfterBreak="0">
    <w:nsid w:val="5A1B7587"/>
    <w:multiLevelType w:val="multilevel"/>
    <w:tmpl w:val="FB2C8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590379"/>
    <w:multiLevelType w:val="multilevel"/>
    <w:tmpl w:val="D79E6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CF04B6"/>
    <w:multiLevelType w:val="hybridMultilevel"/>
    <w:tmpl w:val="BD4A5910"/>
    <w:lvl w:ilvl="0" w:tplc="080A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43C62FC"/>
    <w:multiLevelType w:val="hybridMultilevel"/>
    <w:tmpl w:val="D2D8534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336FD"/>
    <w:multiLevelType w:val="multilevel"/>
    <w:tmpl w:val="6768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3" w15:restartNumberingAfterBreak="0">
    <w:nsid w:val="7D4E5B7A"/>
    <w:multiLevelType w:val="hybridMultilevel"/>
    <w:tmpl w:val="3642D46C"/>
    <w:lvl w:ilvl="0" w:tplc="080A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63462713">
    <w:abstractNumId w:val="4"/>
  </w:num>
  <w:num w:numId="2" w16cid:durableId="1577980403">
    <w:abstractNumId w:val="7"/>
  </w:num>
  <w:num w:numId="3" w16cid:durableId="242110422">
    <w:abstractNumId w:val="23"/>
  </w:num>
  <w:num w:numId="4" w16cid:durableId="968318567">
    <w:abstractNumId w:val="29"/>
  </w:num>
  <w:num w:numId="5" w16cid:durableId="153879523">
    <w:abstractNumId w:val="19"/>
  </w:num>
  <w:num w:numId="6" w16cid:durableId="1559514546">
    <w:abstractNumId w:val="31"/>
  </w:num>
  <w:num w:numId="7" w16cid:durableId="615017394">
    <w:abstractNumId w:val="14"/>
  </w:num>
  <w:num w:numId="8" w16cid:durableId="205026735">
    <w:abstractNumId w:val="28"/>
  </w:num>
  <w:num w:numId="9" w16cid:durableId="1369187933">
    <w:abstractNumId w:val="11"/>
  </w:num>
  <w:num w:numId="10" w16cid:durableId="213007129">
    <w:abstractNumId w:val="3"/>
  </w:num>
  <w:num w:numId="11" w16cid:durableId="911738408">
    <w:abstractNumId w:val="8"/>
  </w:num>
  <w:num w:numId="12" w16cid:durableId="637613028">
    <w:abstractNumId w:val="26"/>
  </w:num>
  <w:num w:numId="13" w16cid:durableId="2119593439">
    <w:abstractNumId w:val="32"/>
  </w:num>
  <w:num w:numId="14" w16cid:durableId="214969122">
    <w:abstractNumId w:val="18"/>
  </w:num>
  <w:num w:numId="15" w16cid:durableId="1422676139">
    <w:abstractNumId w:val="1"/>
  </w:num>
  <w:num w:numId="16" w16cid:durableId="149253742">
    <w:abstractNumId w:val="0"/>
  </w:num>
  <w:num w:numId="17" w16cid:durableId="2029940730">
    <w:abstractNumId w:val="15"/>
  </w:num>
  <w:num w:numId="18" w16cid:durableId="1673071815">
    <w:abstractNumId w:val="27"/>
  </w:num>
  <w:num w:numId="19" w16cid:durableId="1958368812">
    <w:abstractNumId w:val="24"/>
  </w:num>
  <w:num w:numId="20" w16cid:durableId="889806378">
    <w:abstractNumId w:val="16"/>
  </w:num>
  <w:num w:numId="21" w16cid:durableId="738330090">
    <w:abstractNumId w:val="9"/>
  </w:num>
  <w:num w:numId="22" w16cid:durableId="1032419182">
    <w:abstractNumId w:val="10"/>
  </w:num>
  <w:num w:numId="23" w16cid:durableId="770710864">
    <w:abstractNumId w:val="22"/>
  </w:num>
  <w:num w:numId="24" w16cid:durableId="1863779521">
    <w:abstractNumId w:val="5"/>
  </w:num>
  <w:num w:numId="25" w16cid:durableId="1576434961">
    <w:abstractNumId w:val="25"/>
  </w:num>
  <w:num w:numId="26" w16cid:durableId="551234188">
    <w:abstractNumId w:val="30"/>
  </w:num>
  <w:num w:numId="27" w16cid:durableId="1897662138">
    <w:abstractNumId w:val="21"/>
  </w:num>
  <w:num w:numId="28" w16cid:durableId="1616209881">
    <w:abstractNumId w:val="20"/>
  </w:num>
  <w:num w:numId="29" w16cid:durableId="150096613">
    <w:abstractNumId w:val="33"/>
  </w:num>
  <w:num w:numId="30" w16cid:durableId="313413860">
    <w:abstractNumId w:val="6"/>
  </w:num>
  <w:num w:numId="31" w16cid:durableId="1247034537">
    <w:abstractNumId w:val="13"/>
  </w:num>
  <w:num w:numId="32" w16cid:durableId="1222331504">
    <w:abstractNumId w:val="12"/>
  </w:num>
  <w:num w:numId="33" w16cid:durableId="391855888">
    <w:abstractNumId w:val="2"/>
  </w:num>
  <w:num w:numId="34" w16cid:durableId="53053581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B36"/>
    <w:rsid w:val="00000F19"/>
    <w:rsid w:val="000043A1"/>
    <w:rsid w:val="00004FDD"/>
    <w:rsid w:val="00016FE8"/>
    <w:rsid w:val="00017BC6"/>
    <w:rsid w:val="0003176E"/>
    <w:rsid w:val="0003653D"/>
    <w:rsid w:val="00055369"/>
    <w:rsid w:val="00062A95"/>
    <w:rsid w:val="00066434"/>
    <w:rsid w:val="00074553"/>
    <w:rsid w:val="000A6187"/>
    <w:rsid w:val="000B0CA4"/>
    <w:rsid w:val="000B1761"/>
    <w:rsid w:val="000C262E"/>
    <w:rsid w:val="000D1FF6"/>
    <w:rsid w:val="000E3752"/>
    <w:rsid w:val="000E59F8"/>
    <w:rsid w:val="000F0011"/>
    <w:rsid w:val="000F52E7"/>
    <w:rsid w:val="00101B75"/>
    <w:rsid w:val="0011447C"/>
    <w:rsid w:val="0011570F"/>
    <w:rsid w:val="00126E6E"/>
    <w:rsid w:val="0013351C"/>
    <w:rsid w:val="00135691"/>
    <w:rsid w:val="00141DDE"/>
    <w:rsid w:val="001478ED"/>
    <w:rsid w:val="00157EA4"/>
    <w:rsid w:val="00160040"/>
    <w:rsid w:val="00170A97"/>
    <w:rsid w:val="00171EE4"/>
    <w:rsid w:val="00172F8E"/>
    <w:rsid w:val="001750A1"/>
    <w:rsid w:val="00175D1C"/>
    <w:rsid w:val="00184225"/>
    <w:rsid w:val="00186BAF"/>
    <w:rsid w:val="00187121"/>
    <w:rsid w:val="0019288C"/>
    <w:rsid w:val="001B21A9"/>
    <w:rsid w:val="001B54DE"/>
    <w:rsid w:val="001E2AD6"/>
    <w:rsid w:val="001F0FB9"/>
    <w:rsid w:val="00202495"/>
    <w:rsid w:val="0020721C"/>
    <w:rsid w:val="00217135"/>
    <w:rsid w:val="00221589"/>
    <w:rsid w:val="0022254F"/>
    <w:rsid w:val="00234AFF"/>
    <w:rsid w:val="0023593D"/>
    <w:rsid w:val="002374F8"/>
    <w:rsid w:val="00255542"/>
    <w:rsid w:val="00255E59"/>
    <w:rsid w:val="002567BC"/>
    <w:rsid w:val="00256928"/>
    <w:rsid w:val="00256A40"/>
    <w:rsid w:val="002607F4"/>
    <w:rsid w:val="00265709"/>
    <w:rsid w:val="0026744F"/>
    <w:rsid w:val="0026797C"/>
    <w:rsid w:val="00290BE0"/>
    <w:rsid w:val="002A23F2"/>
    <w:rsid w:val="002B1DBD"/>
    <w:rsid w:val="002C0F57"/>
    <w:rsid w:val="002C5F90"/>
    <w:rsid w:val="002E6382"/>
    <w:rsid w:val="002E7B9B"/>
    <w:rsid w:val="0030296A"/>
    <w:rsid w:val="0030489C"/>
    <w:rsid w:val="003179E1"/>
    <w:rsid w:val="0032211E"/>
    <w:rsid w:val="003537BC"/>
    <w:rsid w:val="00355CF5"/>
    <w:rsid w:val="00362FB3"/>
    <w:rsid w:val="003774C5"/>
    <w:rsid w:val="0037767D"/>
    <w:rsid w:val="00380041"/>
    <w:rsid w:val="0039742D"/>
    <w:rsid w:val="003A3319"/>
    <w:rsid w:val="003A4594"/>
    <w:rsid w:val="003C7D26"/>
    <w:rsid w:val="003D1DDD"/>
    <w:rsid w:val="003E6E21"/>
    <w:rsid w:val="003F3E8D"/>
    <w:rsid w:val="003F5B5A"/>
    <w:rsid w:val="00404F77"/>
    <w:rsid w:val="00415288"/>
    <w:rsid w:val="00421F2C"/>
    <w:rsid w:val="0042207F"/>
    <w:rsid w:val="004263CF"/>
    <w:rsid w:val="00433B66"/>
    <w:rsid w:val="00436E05"/>
    <w:rsid w:val="0043735C"/>
    <w:rsid w:val="00437E74"/>
    <w:rsid w:val="004437D8"/>
    <w:rsid w:val="00454D92"/>
    <w:rsid w:val="00460993"/>
    <w:rsid w:val="00472873"/>
    <w:rsid w:val="00473774"/>
    <w:rsid w:val="00475A69"/>
    <w:rsid w:val="00487960"/>
    <w:rsid w:val="00487CBF"/>
    <w:rsid w:val="00492958"/>
    <w:rsid w:val="004B71CB"/>
    <w:rsid w:val="004D7900"/>
    <w:rsid w:val="004E17D6"/>
    <w:rsid w:val="004E2441"/>
    <w:rsid w:val="004F486D"/>
    <w:rsid w:val="00512E27"/>
    <w:rsid w:val="00512E63"/>
    <w:rsid w:val="00522C32"/>
    <w:rsid w:val="0052580F"/>
    <w:rsid w:val="0052626D"/>
    <w:rsid w:val="005376AD"/>
    <w:rsid w:val="00554CA2"/>
    <w:rsid w:val="00563CCF"/>
    <w:rsid w:val="00571BD8"/>
    <w:rsid w:val="005920FD"/>
    <w:rsid w:val="00596F42"/>
    <w:rsid w:val="005A0B5C"/>
    <w:rsid w:val="005B0016"/>
    <w:rsid w:val="005B2247"/>
    <w:rsid w:val="005B71ED"/>
    <w:rsid w:val="005C2A76"/>
    <w:rsid w:val="005D2B34"/>
    <w:rsid w:val="005D2D2D"/>
    <w:rsid w:val="005D7E2F"/>
    <w:rsid w:val="005E34A2"/>
    <w:rsid w:val="005F6992"/>
    <w:rsid w:val="006052CE"/>
    <w:rsid w:val="006166BF"/>
    <w:rsid w:val="006327E6"/>
    <w:rsid w:val="00642B4B"/>
    <w:rsid w:val="0064339E"/>
    <w:rsid w:val="0065062A"/>
    <w:rsid w:val="0066033D"/>
    <w:rsid w:val="00675EEC"/>
    <w:rsid w:val="0068364E"/>
    <w:rsid w:val="006B3D07"/>
    <w:rsid w:val="006B70DD"/>
    <w:rsid w:val="006C331D"/>
    <w:rsid w:val="006E14C1"/>
    <w:rsid w:val="006E663D"/>
    <w:rsid w:val="006F254F"/>
    <w:rsid w:val="00704E8E"/>
    <w:rsid w:val="007065BE"/>
    <w:rsid w:val="00707A8C"/>
    <w:rsid w:val="007124BB"/>
    <w:rsid w:val="007125DE"/>
    <w:rsid w:val="00714D62"/>
    <w:rsid w:val="00717BC1"/>
    <w:rsid w:val="00726A3B"/>
    <w:rsid w:val="00726C6E"/>
    <w:rsid w:val="007306F5"/>
    <w:rsid w:val="0073531E"/>
    <w:rsid w:val="00754C90"/>
    <w:rsid w:val="00757B36"/>
    <w:rsid w:val="00770A44"/>
    <w:rsid w:val="0077184B"/>
    <w:rsid w:val="00773302"/>
    <w:rsid w:val="007823F7"/>
    <w:rsid w:val="00794EF1"/>
    <w:rsid w:val="007A451A"/>
    <w:rsid w:val="007A7347"/>
    <w:rsid w:val="007B694E"/>
    <w:rsid w:val="007C2C48"/>
    <w:rsid w:val="007C656E"/>
    <w:rsid w:val="007D288C"/>
    <w:rsid w:val="007D358B"/>
    <w:rsid w:val="007E20C6"/>
    <w:rsid w:val="007E489D"/>
    <w:rsid w:val="007F5F05"/>
    <w:rsid w:val="00806488"/>
    <w:rsid w:val="008218CD"/>
    <w:rsid w:val="00822288"/>
    <w:rsid w:val="0083739D"/>
    <w:rsid w:val="008459F3"/>
    <w:rsid w:val="00861386"/>
    <w:rsid w:val="008632D6"/>
    <w:rsid w:val="00865884"/>
    <w:rsid w:val="008669E5"/>
    <w:rsid w:val="00870A0E"/>
    <w:rsid w:val="00875F65"/>
    <w:rsid w:val="00892C63"/>
    <w:rsid w:val="008B4D00"/>
    <w:rsid w:val="008C0899"/>
    <w:rsid w:val="008C1DE9"/>
    <w:rsid w:val="008C5F96"/>
    <w:rsid w:val="008D11CF"/>
    <w:rsid w:val="008D204F"/>
    <w:rsid w:val="008D5DA6"/>
    <w:rsid w:val="008D707D"/>
    <w:rsid w:val="008D747C"/>
    <w:rsid w:val="008E411B"/>
    <w:rsid w:val="009104FA"/>
    <w:rsid w:val="00910766"/>
    <w:rsid w:val="00947820"/>
    <w:rsid w:val="00974715"/>
    <w:rsid w:val="009867BB"/>
    <w:rsid w:val="0098792B"/>
    <w:rsid w:val="00993A66"/>
    <w:rsid w:val="0099563D"/>
    <w:rsid w:val="009B0D7B"/>
    <w:rsid w:val="009B53AB"/>
    <w:rsid w:val="009C5CBB"/>
    <w:rsid w:val="009C5F2F"/>
    <w:rsid w:val="009E28CB"/>
    <w:rsid w:val="00A01A53"/>
    <w:rsid w:val="00A052E0"/>
    <w:rsid w:val="00A05504"/>
    <w:rsid w:val="00A0574D"/>
    <w:rsid w:val="00A07468"/>
    <w:rsid w:val="00A40837"/>
    <w:rsid w:val="00A40955"/>
    <w:rsid w:val="00A75168"/>
    <w:rsid w:val="00A75B04"/>
    <w:rsid w:val="00A80757"/>
    <w:rsid w:val="00A817FE"/>
    <w:rsid w:val="00A829FE"/>
    <w:rsid w:val="00A843B9"/>
    <w:rsid w:val="00A8504B"/>
    <w:rsid w:val="00A942AB"/>
    <w:rsid w:val="00A94F26"/>
    <w:rsid w:val="00A95D7C"/>
    <w:rsid w:val="00AB09FB"/>
    <w:rsid w:val="00AB1542"/>
    <w:rsid w:val="00AB2B3B"/>
    <w:rsid w:val="00AB7B85"/>
    <w:rsid w:val="00AC19A4"/>
    <w:rsid w:val="00AC6CBE"/>
    <w:rsid w:val="00AD08E4"/>
    <w:rsid w:val="00AD0BF7"/>
    <w:rsid w:val="00AD0D97"/>
    <w:rsid w:val="00AD2263"/>
    <w:rsid w:val="00AD3D08"/>
    <w:rsid w:val="00AD63B6"/>
    <w:rsid w:val="00AF092C"/>
    <w:rsid w:val="00AF09C5"/>
    <w:rsid w:val="00AF7B2C"/>
    <w:rsid w:val="00AF7B4E"/>
    <w:rsid w:val="00B03BDA"/>
    <w:rsid w:val="00B04F41"/>
    <w:rsid w:val="00B05BD2"/>
    <w:rsid w:val="00B07AC1"/>
    <w:rsid w:val="00B352EB"/>
    <w:rsid w:val="00B44308"/>
    <w:rsid w:val="00B527BA"/>
    <w:rsid w:val="00B6035C"/>
    <w:rsid w:val="00B61B48"/>
    <w:rsid w:val="00B749A2"/>
    <w:rsid w:val="00B81B62"/>
    <w:rsid w:val="00B8261A"/>
    <w:rsid w:val="00B8755F"/>
    <w:rsid w:val="00B93648"/>
    <w:rsid w:val="00B93710"/>
    <w:rsid w:val="00B96EE8"/>
    <w:rsid w:val="00BA3DB6"/>
    <w:rsid w:val="00BB1134"/>
    <w:rsid w:val="00BD2546"/>
    <w:rsid w:val="00BF4C1E"/>
    <w:rsid w:val="00C053DA"/>
    <w:rsid w:val="00C0654A"/>
    <w:rsid w:val="00C21FAF"/>
    <w:rsid w:val="00C239F1"/>
    <w:rsid w:val="00C309FF"/>
    <w:rsid w:val="00C31BBE"/>
    <w:rsid w:val="00C5186C"/>
    <w:rsid w:val="00C61C88"/>
    <w:rsid w:val="00C75D49"/>
    <w:rsid w:val="00C964A9"/>
    <w:rsid w:val="00CA0E58"/>
    <w:rsid w:val="00CA621A"/>
    <w:rsid w:val="00CA6F6E"/>
    <w:rsid w:val="00CB2C3C"/>
    <w:rsid w:val="00CB6F08"/>
    <w:rsid w:val="00CD0CA1"/>
    <w:rsid w:val="00CD117F"/>
    <w:rsid w:val="00CD4CBE"/>
    <w:rsid w:val="00CE7035"/>
    <w:rsid w:val="00CF22BB"/>
    <w:rsid w:val="00D16E9E"/>
    <w:rsid w:val="00D31E6F"/>
    <w:rsid w:val="00D349DD"/>
    <w:rsid w:val="00D34D20"/>
    <w:rsid w:val="00D42699"/>
    <w:rsid w:val="00D455BD"/>
    <w:rsid w:val="00D47427"/>
    <w:rsid w:val="00D50964"/>
    <w:rsid w:val="00D57D7A"/>
    <w:rsid w:val="00D64A1B"/>
    <w:rsid w:val="00D70660"/>
    <w:rsid w:val="00D755AF"/>
    <w:rsid w:val="00D77284"/>
    <w:rsid w:val="00D80419"/>
    <w:rsid w:val="00D8485C"/>
    <w:rsid w:val="00D93630"/>
    <w:rsid w:val="00DB6A49"/>
    <w:rsid w:val="00DB77E2"/>
    <w:rsid w:val="00DC34EC"/>
    <w:rsid w:val="00DC5B45"/>
    <w:rsid w:val="00DC6AA6"/>
    <w:rsid w:val="00DD29A0"/>
    <w:rsid w:val="00DE5B88"/>
    <w:rsid w:val="00DF02B8"/>
    <w:rsid w:val="00E05115"/>
    <w:rsid w:val="00E055D3"/>
    <w:rsid w:val="00E059DA"/>
    <w:rsid w:val="00E07EFB"/>
    <w:rsid w:val="00E3067A"/>
    <w:rsid w:val="00E30C63"/>
    <w:rsid w:val="00E32274"/>
    <w:rsid w:val="00E43990"/>
    <w:rsid w:val="00E5726A"/>
    <w:rsid w:val="00E727AF"/>
    <w:rsid w:val="00E74C20"/>
    <w:rsid w:val="00E80728"/>
    <w:rsid w:val="00E97EBE"/>
    <w:rsid w:val="00EA4BE4"/>
    <w:rsid w:val="00EC16B1"/>
    <w:rsid w:val="00EC2346"/>
    <w:rsid w:val="00EC3381"/>
    <w:rsid w:val="00ED0D58"/>
    <w:rsid w:val="00ED3508"/>
    <w:rsid w:val="00ED3E24"/>
    <w:rsid w:val="00ED5F65"/>
    <w:rsid w:val="00EE2C62"/>
    <w:rsid w:val="00EE5682"/>
    <w:rsid w:val="00EF00B0"/>
    <w:rsid w:val="00EF14CB"/>
    <w:rsid w:val="00EF30BA"/>
    <w:rsid w:val="00F400EC"/>
    <w:rsid w:val="00F41B9A"/>
    <w:rsid w:val="00F45FFD"/>
    <w:rsid w:val="00F527EB"/>
    <w:rsid w:val="00F5298D"/>
    <w:rsid w:val="00F60F07"/>
    <w:rsid w:val="00F6261D"/>
    <w:rsid w:val="00F62B36"/>
    <w:rsid w:val="00F81CC4"/>
    <w:rsid w:val="00F9286C"/>
    <w:rsid w:val="00F94C50"/>
    <w:rsid w:val="00FA1E58"/>
    <w:rsid w:val="00FC088A"/>
    <w:rsid w:val="00FC0A34"/>
    <w:rsid w:val="00FC57F3"/>
    <w:rsid w:val="00FE2703"/>
    <w:rsid w:val="00FE646E"/>
    <w:rsid w:val="1A0ABAD1"/>
    <w:rsid w:val="24366DDD"/>
    <w:rsid w:val="56C9B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9C4308"/>
  <w15:chartTrackingRefBased/>
  <w15:docId w15:val="{1B223B25-DF86-459D-BCCB-DB2B2E87E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A23F2"/>
    <w:pPr>
      <w:keepNext/>
      <w:keepLines/>
      <w:numPr>
        <w:numId w:val="34"/>
      </w:numPr>
      <w:spacing w:before="240" w:after="0"/>
      <w:outlineLvl w:val="0"/>
    </w:pPr>
    <w:rPr>
      <w:rFonts w:ascii="Verdana" w:hAnsi="Verdana" w:eastAsiaTheme="majorEastAsia" w:cstheme="majorBidi"/>
      <w:b/>
      <w:color w:val="000000" w:themeColor="text1"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A23F2"/>
    <w:pPr>
      <w:keepNext/>
      <w:keepLines/>
      <w:numPr>
        <w:numId w:val="33"/>
      </w:numPr>
      <w:spacing w:before="40" w:after="0"/>
      <w:outlineLvl w:val="1"/>
    </w:pPr>
    <w:rPr>
      <w:rFonts w:ascii="Verdana" w:hAnsi="Verdana" w:eastAsiaTheme="majorEastAsia" w:cstheme="majorBidi"/>
      <w:color w:val="000000" w:themeColor="text1"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669E5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C7D26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7B3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57B36"/>
  </w:style>
  <w:style w:type="paragraph" w:styleId="Piedepgina">
    <w:name w:val="footer"/>
    <w:basedOn w:val="Normal"/>
    <w:link w:val="PiedepginaCar"/>
    <w:uiPriority w:val="99"/>
    <w:unhideWhenUsed/>
    <w:rsid w:val="00757B3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57B36"/>
  </w:style>
  <w:style w:type="character" w:styleId="Hipervnculo">
    <w:name w:val="Hyperlink"/>
    <w:basedOn w:val="Fuentedeprrafopredeter"/>
    <w:uiPriority w:val="99"/>
    <w:unhideWhenUsed/>
    <w:rsid w:val="00757B36"/>
    <w:rPr>
      <w:color w:val="0563C1" w:themeColor="hyperlink"/>
      <w:u w:val="single"/>
    </w:rPr>
  </w:style>
  <w:style w:type="character" w:styleId="Mencinsinresolver1" w:customStyle="1">
    <w:name w:val="Mención sin resolver1"/>
    <w:basedOn w:val="Fuentedeprrafopredeter"/>
    <w:uiPriority w:val="99"/>
    <w:semiHidden/>
    <w:unhideWhenUsed/>
    <w:rsid w:val="00757B36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757B36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EC16B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13569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es-MX" w:eastAsia="es-MX"/>
      <w14:ligatures w14:val="none"/>
    </w:rPr>
  </w:style>
  <w:style w:type="character" w:styleId="Textoennegrita">
    <w:name w:val="Strong"/>
    <w:basedOn w:val="Fuentedeprrafopredeter"/>
    <w:uiPriority w:val="22"/>
    <w:qFormat/>
    <w:rsid w:val="00135691"/>
    <w:rPr>
      <w:b/>
      <w:bCs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3C7D26"/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Default" w:customStyle="1">
    <w:name w:val="Default"/>
    <w:rsid w:val="009104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val="es-MX"/>
    </w:rPr>
  </w:style>
  <w:style w:type="character" w:styleId="Ttulo2Car" w:customStyle="1">
    <w:name w:val="Título 2 Car"/>
    <w:basedOn w:val="Fuentedeprrafopredeter"/>
    <w:link w:val="Ttulo2"/>
    <w:uiPriority w:val="9"/>
    <w:rsid w:val="002A23F2"/>
    <w:rPr>
      <w:rFonts w:ascii="Verdana" w:hAnsi="Verdana" w:eastAsiaTheme="majorEastAsia" w:cstheme="majorBidi"/>
      <w:color w:val="000000" w:themeColor="text1"/>
      <w:sz w:val="24"/>
      <w:szCs w:val="26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8669E5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table" w:styleId="Tablaconcuadrcula">
    <w:name w:val="Table Grid"/>
    <w:basedOn w:val="Tablanormal"/>
    <w:uiPriority w:val="39"/>
    <w:rsid w:val="003F3E8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07AC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07AC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B07AC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07AC1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B07AC1"/>
    <w:rPr>
      <w:b/>
      <w:bCs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2A23F2"/>
    <w:pPr>
      <w:spacing w:after="0" w:line="240" w:lineRule="auto"/>
      <w:contextualSpacing/>
      <w:jc w:val="center"/>
    </w:pPr>
    <w:rPr>
      <w:rFonts w:ascii="Verdana" w:hAnsi="Verdana" w:eastAsiaTheme="majorEastAsia" w:cstheme="majorBidi"/>
      <w:b/>
      <w:spacing w:val="-10"/>
      <w:kern w:val="28"/>
      <w:sz w:val="28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2A23F2"/>
    <w:rPr>
      <w:rFonts w:ascii="Verdana" w:hAnsi="Verdana" w:eastAsiaTheme="majorEastAsia" w:cstheme="majorBidi"/>
      <w:b/>
      <w:spacing w:val="-10"/>
      <w:kern w:val="28"/>
      <w:sz w:val="28"/>
      <w:szCs w:val="56"/>
    </w:rPr>
  </w:style>
  <w:style w:type="character" w:styleId="Ttulo1Car" w:customStyle="1">
    <w:name w:val="Título 1 Car"/>
    <w:basedOn w:val="Fuentedeprrafopredeter"/>
    <w:link w:val="Ttulo1"/>
    <w:uiPriority w:val="9"/>
    <w:rsid w:val="002A23F2"/>
    <w:rPr>
      <w:rFonts w:ascii="Verdana" w:hAnsi="Verdana" w:eastAsiaTheme="majorEastAsia" w:cstheme="majorBidi"/>
      <w:b/>
      <w:color w:val="000000" w:themeColor="text1"/>
      <w:sz w:val="24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A07468"/>
    <w:pPr>
      <w:numPr>
        <w:numId w:val="0"/>
      </w:numPr>
      <w:outlineLvl w:val="9"/>
    </w:pPr>
    <w:rPr>
      <w:rFonts w:asciiTheme="majorHAnsi" w:hAnsiTheme="majorHAnsi"/>
      <w:b w:val="0"/>
      <w:color w:val="2F5496" w:themeColor="accent1" w:themeShade="BF"/>
      <w:kern w:val="0"/>
      <w:sz w:val="32"/>
      <w:lang w:eastAsia="es-CO"/>
      <w14:ligatures w14:val="none"/>
    </w:rPr>
  </w:style>
  <w:style w:type="paragraph" w:styleId="TDC1">
    <w:name w:val="toc 1"/>
    <w:basedOn w:val="Normal"/>
    <w:next w:val="Normal"/>
    <w:autoRedefine/>
    <w:uiPriority w:val="39"/>
    <w:unhideWhenUsed/>
    <w:rsid w:val="00A07468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A07468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A07468"/>
    <w:pPr>
      <w:spacing w:after="100"/>
      <w:ind w:left="440"/>
    </w:pPr>
    <w:rPr>
      <w:rFonts w:cs="Times New Roman" w:eastAsiaTheme="minorEastAsia"/>
      <w:kern w:val="0"/>
      <w:lang w:eastAsia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6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861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252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47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1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44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9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7880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437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47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55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041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6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75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4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14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CB6A6-323C-466E-AE2B-34F0C9A66D2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William Camilo  Baracaldo Godoy</dc:creator>
  <keywords/>
  <dc:description/>
  <lastModifiedBy>Andres Felipe Mendoza Gutierrez</lastModifiedBy>
  <revision>3</revision>
  <lastPrinted>2023-05-07T17:22:00.0000000Z</lastPrinted>
  <dcterms:created xsi:type="dcterms:W3CDTF">2025-10-11T13:34:00.0000000Z</dcterms:created>
  <dcterms:modified xsi:type="dcterms:W3CDTF">2025-10-15T00:42:14.0055593Z</dcterms:modified>
</coreProperties>
</file>