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70C7D" w14:textId="77777777" w:rsidR="00E34456" w:rsidRDefault="00EA554A">
      <w:pPr>
        <w:spacing w:after="160"/>
        <w:ind w:left="2071" w:firstLine="0"/>
        <w:jc w:val="left"/>
      </w:pPr>
      <w:r>
        <w:rPr>
          <w:rFonts w:cs="Aptos"/>
          <w:b/>
          <w:sz w:val="28"/>
        </w:rPr>
        <w:t xml:space="preserve">ANEXO CARTOGRAFÍA LEY 2173 DE 2021 </w:t>
      </w:r>
    </w:p>
    <w:p w14:paraId="2A26CAE3" w14:textId="77777777" w:rsidR="00E34456" w:rsidRDefault="00EA554A">
      <w:pPr>
        <w:spacing w:after="100"/>
        <w:ind w:left="411" w:firstLine="0"/>
        <w:jc w:val="center"/>
      </w:pPr>
      <w:r>
        <w:rPr>
          <w:rFonts w:cs="Aptos"/>
          <w:b/>
          <w:sz w:val="28"/>
        </w:rPr>
        <w:t xml:space="preserve"> </w:t>
      </w:r>
    </w:p>
    <w:p w14:paraId="2D423823" w14:textId="77777777" w:rsidR="00E34456" w:rsidRDefault="00EA554A">
      <w:pPr>
        <w:numPr>
          <w:ilvl w:val="0"/>
          <w:numId w:val="1"/>
        </w:numPr>
        <w:ind w:hanging="360"/>
      </w:pPr>
      <w:r>
        <w:t xml:space="preserve">La cartografía temática debe ser consolidada en una geodatabase (.gdb) nombrada: </w:t>
      </w:r>
      <w:r>
        <w:rPr>
          <w:rFonts w:cs="Aptos"/>
        </w:rPr>
        <w:t xml:space="preserve"> </w:t>
      </w:r>
    </w:p>
    <w:p w14:paraId="6070701A" w14:textId="77777777" w:rsidR="00E34456" w:rsidRDefault="00EA554A">
      <w:pPr>
        <w:tabs>
          <w:tab w:val="center" w:pos="756"/>
          <w:tab w:val="center" w:pos="2602"/>
        </w:tabs>
        <w:spacing w:after="0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cs="Aptos"/>
          <w:b/>
        </w:rPr>
        <w:t xml:space="preserve">ley_2173 _2021_Res_XXX_YYYY </w:t>
      </w:r>
    </w:p>
    <w:p w14:paraId="54898A08" w14:textId="77777777" w:rsidR="00E34456" w:rsidRDefault="00EA554A">
      <w:pPr>
        <w:spacing w:after="0"/>
        <w:ind w:left="1066" w:firstLine="0"/>
        <w:jc w:val="left"/>
      </w:pPr>
      <w:r>
        <w:rPr>
          <w:rFonts w:cs="Aptos"/>
          <w:b/>
        </w:rPr>
        <w:t xml:space="preserve"> </w:t>
      </w:r>
    </w:p>
    <w:p w14:paraId="3B814706" w14:textId="77777777" w:rsidR="00E34456" w:rsidRDefault="00EA554A">
      <w:pPr>
        <w:spacing w:after="21"/>
        <w:ind w:left="1066" w:firstLine="0"/>
        <w:jc w:val="left"/>
      </w:pPr>
      <w:r>
        <w:rPr>
          <w:rFonts w:cs="Aptos"/>
          <w:b/>
          <w:sz w:val="20"/>
        </w:rPr>
        <w:t xml:space="preserve">Donde: </w:t>
      </w:r>
    </w:p>
    <w:p w14:paraId="698E7D28" w14:textId="77777777" w:rsidR="00E34456" w:rsidRDefault="00EA554A">
      <w:pPr>
        <w:numPr>
          <w:ilvl w:val="1"/>
          <w:numId w:val="1"/>
        </w:numPr>
        <w:ind w:hanging="360"/>
      </w:pPr>
      <w:r>
        <w:rPr>
          <w:rFonts w:cs="Aptos"/>
          <w:b/>
        </w:rPr>
        <w:t>XXX:</w:t>
      </w:r>
      <w:r>
        <w:t xml:space="preserve"> Número de la resolución</w:t>
      </w:r>
      <w:r>
        <w:rPr>
          <w:rFonts w:cs="Aptos"/>
        </w:rPr>
        <w:t xml:space="preserve"> </w:t>
      </w:r>
    </w:p>
    <w:p w14:paraId="1A64486B" w14:textId="77777777" w:rsidR="00E34456" w:rsidRDefault="00EA554A">
      <w:pPr>
        <w:numPr>
          <w:ilvl w:val="1"/>
          <w:numId w:val="1"/>
        </w:numPr>
        <w:ind w:hanging="360"/>
      </w:pPr>
      <w:r>
        <w:rPr>
          <w:rFonts w:cs="Aptos"/>
          <w:b/>
        </w:rPr>
        <w:t>YYY:</w:t>
      </w:r>
      <w:r>
        <w:t xml:space="preserve"> Año de la resolución</w:t>
      </w:r>
      <w:r>
        <w:rPr>
          <w:rFonts w:cs="Aptos"/>
        </w:rPr>
        <w:t xml:space="preserve"> </w:t>
      </w:r>
    </w:p>
    <w:p w14:paraId="143ADF08" w14:textId="77777777" w:rsidR="00E34456" w:rsidRDefault="00EA554A">
      <w:pPr>
        <w:spacing w:after="0"/>
        <w:ind w:left="1786" w:firstLine="0"/>
        <w:jc w:val="left"/>
      </w:pPr>
      <w:r>
        <w:rPr>
          <w:rFonts w:cs="Aptos"/>
        </w:rPr>
        <w:t xml:space="preserve"> </w:t>
      </w:r>
    </w:p>
    <w:p w14:paraId="318AE530" w14:textId="77777777" w:rsidR="00E34456" w:rsidRDefault="00EA554A">
      <w:pPr>
        <w:numPr>
          <w:ilvl w:val="0"/>
          <w:numId w:val="1"/>
        </w:numPr>
        <w:spacing w:after="160"/>
        <w:ind w:hanging="360"/>
      </w:pPr>
      <w:r>
        <w:t xml:space="preserve">Dicha geodatabase debe ser almacenada y organizada de acuerdo con los nombres de los Features Dataset y Feature Class (figura) y establecida en el anexo técnico denominado </w:t>
      </w:r>
      <w:r>
        <w:rPr>
          <w:rFonts w:cs="Aptos"/>
          <w:b/>
        </w:rPr>
        <w:t>“gdb_ ley_2173 _2021”.</w:t>
      </w:r>
      <w:r>
        <w:rPr>
          <w:rFonts w:cs="Aptos"/>
        </w:rPr>
        <w:t xml:space="preserve"> </w:t>
      </w:r>
    </w:p>
    <w:p w14:paraId="38872D84" w14:textId="77777777" w:rsidR="00E34456" w:rsidRDefault="00EA554A">
      <w:pPr>
        <w:spacing w:after="98"/>
        <w:ind w:left="37" w:firstLine="0"/>
        <w:jc w:val="center"/>
      </w:pPr>
      <w:r>
        <w:rPr>
          <w:noProof/>
        </w:rPr>
        <w:drawing>
          <wp:inline distT="0" distB="0" distL="0" distR="0" wp14:anchorId="4AF6EABF" wp14:editId="7D988B1B">
            <wp:extent cx="2876550" cy="2438400"/>
            <wp:effectExtent l="0" t="0" r="0" b="0"/>
            <wp:docPr id="214" name="Picture 214" descr="Interfaz de usuario gráfica, 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Picture 2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ptos"/>
        </w:rPr>
        <w:t xml:space="preserve"> </w:t>
      </w:r>
    </w:p>
    <w:p w14:paraId="34E9FAF1" w14:textId="77777777" w:rsidR="00E34456" w:rsidRDefault="00EA554A">
      <w:pPr>
        <w:spacing w:after="0"/>
        <w:ind w:left="720" w:firstLine="0"/>
        <w:jc w:val="left"/>
      </w:pPr>
      <w:r>
        <w:rPr>
          <w:rFonts w:cs="Aptos"/>
        </w:rPr>
        <w:t xml:space="preserve"> </w:t>
      </w:r>
    </w:p>
    <w:p w14:paraId="0F4CCF2A" w14:textId="77777777" w:rsidR="00E34456" w:rsidRDefault="00EA554A">
      <w:pPr>
        <w:numPr>
          <w:ilvl w:val="0"/>
          <w:numId w:val="1"/>
        </w:numPr>
        <w:ind w:hanging="360"/>
      </w:pPr>
      <w:r>
        <w:t>Cada uno de los Feature Class, deberá contener los atributos (campos) mínimos, que permita el análisis espacial.</w:t>
      </w:r>
      <w:r>
        <w:rPr>
          <w:rFonts w:cs="Aptos"/>
        </w:rPr>
        <w:t xml:space="preserve"> </w:t>
      </w:r>
    </w:p>
    <w:p w14:paraId="10B4290C" w14:textId="77777777" w:rsidR="00E34456" w:rsidRDefault="00EA554A">
      <w:pPr>
        <w:spacing w:after="0"/>
        <w:ind w:left="720" w:firstLine="0"/>
        <w:jc w:val="left"/>
      </w:pPr>
      <w:r>
        <w:rPr>
          <w:rFonts w:cs="Aptos"/>
        </w:rPr>
        <w:t xml:space="preserve"> </w:t>
      </w:r>
    </w:p>
    <w:p w14:paraId="6A9759F8" w14:textId="77777777" w:rsidR="00E34456" w:rsidRDefault="00EA554A">
      <w:pPr>
        <w:numPr>
          <w:ilvl w:val="0"/>
          <w:numId w:val="1"/>
        </w:numPr>
        <w:ind w:hanging="360"/>
      </w:pPr>
      <w:r>
        <w:t>Las escalas de captura de información de las Áreas de Vida podrán ser 1:100.000 o más detalle y para las Zonas de Siembra de 1:5.000 o más detalle.</w:t>
      </w:r>
      <w:r>
        <w:rPr>
          <w:rFonts w:cs="Aptos"/>
        </w:rPr>
        <w:t xml:space="preserve"> </w:t>
      </w:r>
    </w:p>
    <w:p w14:paraId="4B636A2A" w14:textId="77777777" w:rsidR="00E34456" w:rsidRDefault="00EA554A">
      <w:pPr>
        <w:spacing w:after="0"/>
        <w:ind w:left="720" w:firstLine="0"/>
        <w:jc w:val="left"/>
      </w:pPr>
      <w:r>
        <w:rPr>
          <w:rFonts w:cs="Aptos"/>
        </w:rPr>
        <w:t xml:space="preserve"> </w:t>
      </w:r>
    </w:p>
    <w:p w14:paraId="3FECBCC0" w14:textId="77777777" w:rsidR="00E34456" w:rsidRDefault="00EA554A">
      <w:pPr>
        <w:numPr>
          <w:ilvl w:val="0"/>
          <w:numId w:val="1"/>
        </w:numPr>
        <w:ind w:hanging="360"/>
      </w:pPr>
      <w:r>
        <w:t>El sistema de referencia para la información cartográfica presentada debe estar bajo las especificaciones técnicas del literal a. del numeral i. del artículo 4° de la Resolución 471 de 2020 del IGAC (modificada por la Resolución 197 de 2022), Sistema de referencia horizontal, o cualquiera que lo reemplace, sustituya o modifique. MAGNA SIRGAS – Origen Nacional.</w:t>
      </w:r>
      <w:r>
        <w:rPr>
          <w:rFonts w:cs="Aptos"/>
        </w:rPr>
        <w:t xml:space="preserve"> </w:t>
      </w:r>
    </w:p>
    <w:p w14:paraId="7811F660" w14:textId="77777777" w:rsidR="00E34456" w:rsidRDefault="00EA554A">
      <w:pPr>
        <w:spacing w:after="0"/>
        <w:ind w:left="720" w:firstLine="0"/>
        <w:jc w:val="left"/>
      </w:pPr>
      <w:r>
        <w:rPr>
          <w:rFonts w:cs="Aptos"/>
        </w:rPr>
        <w:t xml:space="preserve"> </w:t>
      </w:r>
    </w:p>
    <w:p w14:paraId="6425BEE7" w14:textId="77777777" w:rsidR="00E34456" w:rsidRDefault="00EA554A">
      <w:pPr>
        <w:numPr>
          <w:ilvl w:val="0"/>
          <w:numId w:val="1"/>
        </w:numPr>
        <w:spacing w:after="158"/>
        <w:ind w:hanging="360"/>
      </w:pPr>
      <w:r>
        <w:t xml:space="preserve">El metadato se deberá presentar por cada Feature Class, de acuerdo con lo establecido en el anexo técnico denominado </w:t>
      </w:r>
      <w:r>
        <w:rPr>
          <w:rFonts w:cs="Aptos"/>
          <w:b/>
        </w:rPr>
        <w:t>“metadato_ ley_2173 _2021”.</w:t>
      </w:r>
      <w:r>
        <w:rPr>
          <w:rFonts w:cs="Aptos"/>
        </w:rPr>
        <w:t xml:space="preserve"> </w:t>
      </w:r>
    </w:p>
    <w:p w14:paraId="171991B1" w14:textId="77777777" w:rsidR="00E34456" w:rsidRDefault="00EA554A">
      <w:pPr>
        <w:spacing w:after="0"/>
        <w:ind w:left="0" w:firstLine="0"/>
        <w:jc w:val="left"/>
      </w:pPr>
      <w:r>
        <w:rPr>
          <w:rFonts w:cs="Aptos"/>
        </w:rPr>
        <w:t xml:space="preserve"> </w:t>
      </w:r>
    </w:p>
    <w:sectPr w:rsidR="00E34456">
      <w:pgSz w:w="12240" w:h="15840"/>
      <w:pgMar w:top="1440" w:right="1695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A35FA"/>
    <w:multiLevelType w:val="hybridMultilevel"/>
    <w:tmpl w:val="FFFFFFFF"/>
    <w:lvl w:ilvl="0" w:tplc="0B9CA062">
      <w:start w:val="1"/>
      <w:numFmt w:val="decimal"/>
      <w:lvlText w:val="%1."/>
      <w:lvlJc w:val="left"/>
      <w:pPr>
        <w:ind w:left="705"/>
      </w:pPr>
      <w:rPr>
        <w:rFonts w:ascii="Aptos" w:eastAsia="Aptos" w:hAnsi="Aptos" w:cs="Apto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8A38EE">
      <w:start w:val="1"/>
      <w:numFmt w:val="bullet"/>
      <w:lvlText w:val="o"/>
      <w:lvlJc w:val="left"/>
      <w:pPr>
        <w:ind w:left="178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F44528">
      <w:start w:val="1"/>
      <w:numFmt w:val="bullet"/>
      <w:lvlText w:val="▪"/>
      <w:lvlJc w:val="left"/>
      <w:pPr>
        <w:ind w:left="25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B8D62C">
      <w:start w:val="1"/>
      <w:numFmt w:val="bullet"/>
      <w:lvlText w:val="•"/>
      <w:lvlJc w:val="left"/>
      <w:pPr>
        <w:ind w:left="32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2671BA">
      <w:start w:val="1"/>
      <w:numFmt w:val="bullet"/>
      <w:lvlText w:val="o"/>
      <w:lvlJc w:val="left"/>
      <w:pPr>
        <w:ind w:left="394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408D88">
      <w:start w:val="1"/>
      <w:numFmt w:val="bullet"/>
      <w:lvlText w:val="▪"/>
      <w:lvlJc w:val="left"/>
      <w:pPr>
        <w:ind w:left="466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4E5D20">
      <w:start w:val="1"/>
      <w:numFmt w:val="bullet"/>
      <w:lvlText w:val="•"/>
      <w:lvlJc w:val="left"/>
      <w:pPr>
        <w:ind w:left="538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AFAAE">
      <w:start w:val="1"/>
      <w:numFmt w:val="bullet"/>
      <w:lvlText w:val="o"/>
      <w:lvlJc w:val="left"/>
      <w:pPr>
        <w:ind w:left="61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6AD570">
      <w:start w:val="1"/>
      <w:numFmt w:val="bullet"/>
      <w:lvlText w:val="▪"/>
      <w:lvlJc w:val="left"/>
      <w:pPr>
        <w:ind w:left="68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4157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456"/>
    <w:rsid w:val="008D62D5"/>
    <w:rsid w:val="00E34456"/>
    <w:rsid w:val="00EA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BDACA0"/>
  <w15:docId w15:val="{3AC82B99-4CB2-D442-8688-CC5A5416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MX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9" w:lineRule="auto"/>
      <w:ind w:left="730" w:hanging="370"/>
      <w:jc w:val="both"/>
    </w:pPr>
    <w:rPr>
      <w:rFonts w:ascii="Aptos" w:eastAsia="Aptos" w:hAnsi="Aptos" w:cs="Times New Roman"/>
      <w:color w:val="000000"/>
      <w:sz w:val="22"/>
      <w:lang w:val="es" w:eastAsia="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1020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Davila Giraldo</dc:creator>
  <cp:keywords/>
  <cp:lastModifiedBy>Laura Daniela Duarte Jaramillo</cp:lastModifiedBy>
  <cp:revision>2</cp:revision>
  <dcterms:created xsi:type="dcterms:W3CDTF">2025-10-17T23:43:00Z</dcterms:created>
  <dcterms:modified xsi:type="dcterms:W3CDTF">2025-10-17T23:43:00Z</dcterms:modified>
</cp:coreProperties>
</file>