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740" w:type="dxa"/>
        <w:tblInd w:w="-922" w:type="dxa"/>
        <w:tblBorders>
          <w:top w:val="single" w:sz="4" w:space="0" w:color="auto"/>
          <w:left w:val="single" w:sz="4" w:space="0" w:color="auto"/>
          <w:bottom w:val="single" w:sz="4" w:space="0" w:color="auto"/>
          <w:right w:val="single" w:sz="4" w:space="0" w:color="auto"/>
        </w:tblBorders>
        <w:shd w:val="clear" w:color="auto" w:fill="FFFFFF"/>
        <w:tblCellMar>
          <w:top w:w="57" w:type="dxa"/>
          <w:left w:w="85" w:type="dxa"/>
          <w:bottom w:w="57" w:type="dxa"/>
          <w:right w:w="85" w:type="dxa"/>
        </w:tblCellMar>
        <w:tblLook w:val="0000" w:firstRow="0" w:lastRow="0" w:firstColumn="0" w:lastColumn="0" w:noHBand="0" w:noVBand="0"/>
      </w:tblPr>
      <w:tblGrid>
        <w:gridCol w:w="4254"/>
        <w:gridCol w:w="2960"/>
        <w:gridCol w:w="3606"/>
      </w:tblGrid>
      <w:tr w:rsidR="00072956" w:rsidRPr="00431BB6" w14:paraId="3AE644EF" w14:textId="77777777" w:rsidTr="008BADD2">
        <w:trPr>
          <w:trHeight w:val="97"/>
        </w:trPr>
        <w:tc>
          <w:tcPr>
            <w:tcW w:w="3580" w:type="dxa"/>
            <w:tcBorders>
              <w:top w:val="single" w:sz="4" w:space="0" w:color="auto"/>
              <w:bottom w:val="single" w:sz="4" w:space="0" w:color="auto"/>
              <w:right w:val="single" w:sz="4" w:space="0" w:color="auto"/>
            </w:tcBorders>
            <w:shd w:val="clear" w:color="auto" w:fill="154A8A"/>
            <w:vAlign w:val="center"/>
          </w:tcPr>
          <w:p w14:paraId="20A1E6B9" w14:textId="77777777" w:rsidR="00072956" w:rsidRPr="00431BB6" w:rsidRDefault="00072956" w:rsidP="007F5995">
            <w:pPr>
              <w:pStyle w:val="Ttulo2"/>
              <w:ind w:right="72"/>
              <w:jc w:val="left"/>
              <w:rPr>
                <w:rFonts w:ascii="Arial Narrow" w:hAnsi="Arial Narrow" w:cs="Arial"/>
                <w:bCs/>
                <w:color w:val="FFFFFF"/>
                <w:sz w:val="22"/>
                <w:szCs w:val="22"/>
              </w:rPr>
            </w:pPr>
            <w:bookmarkStart w:id="0" w:name="_Hlk198837109"/>
            <w:bookmarkEnd w:id="0"/>
            <w:r w:rsidRPr="00431BB6">
              <w:rPr>
                <w:rFonts w:ascii="Arial Narrow" w:hAnsi="Arial Narrow" w:cs="Arial"/>
                <w:color w:val="FFFFFF"/>
                <w:sz w:val="22"/>
                <w:szCs w:val="22"/>
                <w:lang w:val="es-CO"/>
              </w:rPr>
              <w:t>Entidad originadora:</w:t>
            </w:r>
          </w:p>
        </w:tc>
        <w:tc>
          <w:tcPr>
            <w:tcW w:w="7160" w:type="dxa"/>
            <w:gridSpan w:val="2"/>
            <w:tcBorders>
              <w:top w:val="single" w:sz="4" w:space="0" w:color="auto"/>
              <w:left w:val="single" w:sz="4" w:space="0" w:color="auto"/>
              <w:bottom w:val="single" w:sz="4" w:space="0" w:color="auto"/>
            </w:tcBorders>
            <w:shd w:val="clear" w:color="auto" w:fill="FFFFFF" w:themeFill="background1"/>
            <w:vAlign w:val="center"/>
          </w:tcPr>
          <w:p w14:paraId="7E1D08C4" w14:textId="77777777" w:rsidR="00072956" w:rsidRPr="00494C83" w:rsidRDefault="00072956" w:rsidP="007F5995">
            <w:pPr>
              <w:pStyle w:val="Ttulo2"/>
              <w:ind w:left="72" w:right="72"/>
              <w:jc w:val="left"/>
              <w:rPr>
                <w:rFonts w:ascii="Arial Narrow" w:hAnsi="Arial Narrow" w:cs="Arial"/>
                <w:b w:val="0"/>
                <w:iCs/>
                <w:sz w:val="22"/>
                <w:szCs w:val="22"/>
              </w:rPr>
            </w:pPr>
            <w:r>
              <w:rPr>
                <w:rFonts w:ascii="Arial Narrow" w:hAnsi="Arial Narrow" w:cs="Arial"/>
                <w:b w:val="0"/>
                <w:iCs/>
                <w:sz w:val="22"/>
                <w:szCs w:val="22"/>
              </w:rPr>
              <w:t xml:space="preserve">Ministerio de Ambiente y Desarrollo Sostenible. </w:t>
            </w:r>
          </w:p>
        </w:tc>
      </w:tr>
      <w:tr w:rsidR="00072956" w:rsidRPr="00431BB6" w14:paraId="0EE45DBA" w14:textId="77777777" w:rsidTr="008BADD2">
        <w:trPr>
          <w:trHeight w:val="97"/>
        </w:trPr>
        <w:tc>
          <w:tcPr>
            <w:tcW w:w="3580" w:type="dxa"/>
            <w:tcBorders>
              <w:top w:val="single" w:sz="4" w:space="0" w:color="auto"/>
              <w:bottom w:val="single" w:sz="4" w:space="0" w:color="auto"/>
              <w:right w:val="single" w:sz="4" w:space="0" w:color="auto"/>
            </w:tcBorders>
            <w:shd w:val="clear" w:color="auto" w:fill="154A8A"/>
            <w:vAlign w:val="center"/>
          </w:tcPr>
          <w:p w14:paraId="2EEF56DF" w14:textId="77777777" w:rsidR="00072956" w:rsidRPr="00431BB6" w:rsidRDefault="00072956" w:rsidP="007F5995">
            <w:pPr>
              <w:pStyle w:val="Ttulo2"/>
              <w:ind w:right="72"/>
              <w:jc w:val="left"/>
              <w:rPr>
                <w:rFonts w:ascii="Arial Narrow" w:hAnsi="Arial Narrow" w:cs="Arial"/>
                <w:bCs/>
                <w:color w:val="FFFFFF"/>
                <w:sz w:val="22"/>
                <w:szCs w:val="22"/>
              </w:rPr>
            </w:pPr>
            <w:r w:rsidRPr="00431BB6">
              <w:rPr>
                <w:rFonts w:ascii="Arial Narrow" w:hAnsi="Arial Narrow" w:cs="Arial"/>
                <w:bCs/>
                <w:color w:val="FFFFFF"/>
                <w:sz w:val="22"/>
                <w:szCs w:val="22"/>
              </w:rPr>
              <w:t>Fecha (dd/mm/aa):</w:t>
            </w:r>
          </w:p>
        </w:tc>
        <w:tc>
          <w:tcPr>
            <w:tcW w:w="7160" w:type="dxa"/>
            <w:gridSpan w:val="2"/>
            <w:tcBorders>
              <w:top w:val="single" w:sz="4" w:space="0" w:color="auto"/>
              <w:left w:val="single" w:sz="4" w:space="0" w:color="auto"/>
              <w:bottom w:val="single" w:sz="4" w:space="0" w:color="auto"/>
            </w:tcBorders>
            <w:shd w:val="clear" w:color="auto" w:fill="FFFFFF" w:themeFill="background1"/>
            <w:vAlign w:val="center"/>
          </w:tcPr>
          <w:p w14:paraId="2EE47EE2" w14:textId="03D69FCE" w:rsidR="00072956" w:rsidRPr="00494C83" w:rsidRDefault="00085553" w:rsidP="007F5995">
            <w:pPr>
              <w:pStyle w:val="Ttulo2"/>
              <w:ind w:left="72" w:right="72"/>
              <w:jc w:val="left"/>
              <w:rPr>
                <w:rFonts w:ascii="Arial Narrow" w:hAnsi="Arial Narrow" w:cs="Arial"/>
                <w:b w:val="0"/>
                <w:iCs/>
                <w:sz w:val="22"/>
                <w:szCs w:val="22"/>
              </w:rPr>
            </w:pPr>
            <w:r>
              <w:rPr>
                <w:rFonts w:ascii="Arial Narrow" w:hAnsi="Arial Narrow" w:cs="Arial"/>
                <w:b w:val="0"/>
                <w:iCs/>
                <w:sz w:val="22"/>
                <w:szCs w:val="22"/>
              </w:rPr>
              <w:t>Agosto</w:t>
            </w:r>
            <w:r w:rsidR="00072956">
              <w:rPr>
                <w:rFonts w:ascii="Arial Narrow" w:hAnsi="Arial Narrow" w:cs="Arial"/>
                <w:b w:val="0"/>
                <w:iCs/>
                <w:sz w:val="22"/>
                <w:szCs w:val="22"/>
              </w:rPr>
              <w:t xml:space="preserve"> de 2025</w:t>
            </w:r>
          </w:p>
        </w:tc>
      </w:tr>
      <w:tr w:rsidR="00072956" w:rsidRPr="00431BB6" w14:paraId="640156C8" w14:textId="77777777" w:rsidTr="008BADD2">
        <w:trPr>
          <w:trHeight w:val="97"/>
        </w:trPr>
        <w:tc>
          <w:tcPr>
            <w:tcW w:w="3580" w:type="dxa"/>
            <w:tcBorders>
              <w:top w:val="single" w:sz="4" w:space="0" w:color="auto"/>
              <w:bottom w:val="single" w:sz="4" w:space="0" w:color="auto"/>
              <w:right w:val="single" w:sz="4" w:space="0" w:color="auto"/>
            </w:tcBorders>
            <w:shd w:val="clear" w:color="auto" w:fill="154A8A"/>
            <w:vAlign w:val="center"/>
          </w:tcPr>
          <w:p w14:paraId="69EC4FD5" w14:textId="77777777" w:rsidR="00072956" w:rsidRPr="00431BB6" w:rsidRDefault="00072956" w:rsidP="007F5995">
            <w:pPr>
              <w:pStyle w:val="Ttulo2"/>
              <w:ind w:right="72"/>
              <w:jc w:val="left"/>
              <w:rPr>
                <w:rFonts w:ascii="Arial Narrow" w:hAnsi="Arial Narrow" w:cs="Arial"/>
                <w:bCs/>
                <w:color w:val="FFFFFF"/>
                <w:sz w:val="22"/>
                <w:szCs w:val="22"/>
              </w:rPr>
            </w:pPr>
            <w:r w:rsidRPr="00431BB6">
              <w:rPr>
                <w:rFonts w:ascii="Arial Narrow" w:hAnsi="Arial Narrow" w:cs="Arial"/>
                <w:bCs/>
                <w:color w:val="FFFFFF"/>
                <w:sz w:val="22"/>
                <w:szCs w:val="22"/>
              </w:rPr>
              <w:t>Proyecto de Decreto/Resolución:</w:t>
            </w:r>
          </w:p>
        </w:tc>
        <w:tc>
          <w:tcPr>
            <w:tcW w:w="7160" w:type="dxa"/>
            <w:gridSpan w:val="2"/>
            <w:tcBorders>
              <w:top w:val="single" w:sz="4" w:space="0" w:color="auto"/>
              <w:left w:val="single" w:sz="4" w:space="0" w:color="auto"/>
              <w:bottom w:val="single" w:sz="4" w:space="0" w:color="auto"/>
            </w:tcBorders>
            <w:shd w:val="clear" w:color="auto" w:fill="FFFFFF" w:themeFill="background1"/>
            <w:vAlign w:val="center"/>
          </w:tcPr>
          <w:p w14:paraId="29BF7F1D" w14:textId="3F5C6CA5" w:rsidR="00072956" w:rsidRPr="00111205" w:rsidRDefault="00072956" w:rsidP="007F5995">
            <w:pPr>
              <w:pStyle w:val="Ttulo2"/>
              <w:ind w:left="72" w:right="72"/>
              <w:jc w:val="both"/>
              <w:rPr>
                <w:rFonts w:ascii="Arial Narrow" w:hAnsi="Arial Narrow" w:cs="Arial"/>
                <w:b w:val="0"/>
                <w:bCs/>
                <w:iCs/>
                <w:spacing w:val="-3"/>
                <w:sz w:val="22"/>
                <w:szCs w:val="22"/>
                <w:lang w:val="es-CO"/>
              </w:rPr>
            </w:pPr>
            <w:r w:rsidRPr="00111205">
              <w:rPr>
                <w:rFonts w:ascii="Arial Narrow" w:hAnsi="Arial Narrow" w:cs="Arial"/>
                <w:b w:val="0"/>
                <w:bCs/>
                <w:iCs/>
                <w:spacing w:val="-3"/>
                <w:sz w:val="22"/>
                <w:szCs w:val="22"/>
                <w:lang w:val="es-CO"/>
              </w:rPr>
              <w:t>Por el cual se adiciona el capítulo 11, del Título 2, de la Parte 2, del Libro 2 del Decreto 1076 de 2015, Único Reglamentario del Sector Ambiente y Desarrollo Sostenible, en lo relacionado con la Licencia Ambiental Eólica</w:t>
            </w:r>
            <w:r w:rsidR="002E216D" w:rsidRPr="00111205">
              <w:rPr>
                <w:rFonts w:ascii="Arial Narrow" w:hAnsi="Arial Narrow" w:cs="Arial"/>
                <w:b w:val="0"/>
                <w:bCs/>
                <w:iCs/>
                <w:spacing w:val="-3"/>
                <w:sz w:val="22"/>
                <w:szCs w:val="22"/>
                <w:lang w:val="es-CO"/>
              </w:rPr>
              <w:t xml:space="preserve"> con Diseño Optimizado</w:t>
            </w:r>
            <w:r w:rsidRPr="00111205">
              <w:rPr>
                <w:rFonts w:ascii="Arial Narrow" w:hAnsi="Arial Narrow" w:cs="Arial"/>
                <w:b w:val="0"/>
                <w:bCs/>
                <w:iCs/>
                <w:spacing w:val="-3"/>
                <w:sz w:val="22"/>
                <w:szCs w:val="22"/>
                <w:lang w:val="es-CO"/>
              </w:rPr>
              <w:t xml:space="preserve"> -LAEólica- para impulsar la Transición Energética Justa y se dictan otras disposiciones</w:t>
            </w:r>
          </w:p>
          <w:p w14:paraId="327C421E" w14:textId="77777777" w:rsidR="00072956" w:rsidRPr="004F3374" w:rsidRDefault="00072956" w:rsidP="007F5995">
            <w:pPr>
              <w:pStyle w:val="Ttulo2"/>
              <w:ind w:left="72" w:right="72"/>
              <w:jc w:val="both"/>
              <w:rPr>
                <w:rFonts w:ascii="Arial Narrow" w:hAnsi="Arial Narrow" w:cs="Arial"/>
                <w:iCs/>
                <w:spacing w:val="-3"/>
                <w:sz w:val="22"/>
                <w:szCs w:val="22"/>
                <w:lang w:val="es-CO"/>
              </w:rPr>
            </w:pPr>
          </w:p>
        </w:tc>
      </w:tr>
      <w:tr w:rsidR="00072956" w:rsidRPr="000B180A" w14:paraId="7A75322E" w14:textId="77777777" w:rsidTr="008BADD2">
        <w:trPr>
          <w:trHeight w:val="674"/>
        </w:trPr>
        <w:tc>
          <w:tcPr>
            <w:tcW w:w="10740" w:type="dxa"/>
            <w:gridSpan w:val="3"/>
            <w:tcBorders>
              <w:top w:val="single" w:sz="4" w:space="0" w:color="auto"/>
            </w:tcBorders>
            <w:shd w:val="clear" w:color="auto" w:fill="FFFFFF" w:themeFill="background1"/>
            <w:vAlign w:val="center"/>
          </w:tcPr>
          <w:p w14:paraId="226B275A" w14:textId="77777777" w:rsidR="00072956" w:rsidRPr="000B180A" w:rsidRDefault="00072956" w:rsidP="007F5995">
            <w:pPr>
              <w:numPr>
                <w:ilvl w:val="0"/>
                <w:numId w:val="3"/>
              </w:num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ANTECEDENTES Y RAZONES DE OPORTUNIDAD Y CONVENIENCIA QUE JUSTIFICAN SU EXPEDICIÓN.</w:t>
            </w:r>
          </w:p>
          <w:p w14:paraId="03D1625E" w14:textId="77777777" w:rsidR="00072956" w:rsidRPr="000B180A" w:rsidRDefault="00072956" w:rsidP="007F5995">
            <w:pPr>
              <w:rPr>
                <w:rFonts w:ascii="Arial Narrow" w:hAnsi="Arial Narrow" w:cs="Arial"/>
                <w:sz w:val="24"/>
                <w:szCs w:val="24"/>
                <w:shd w:val="clear" w:color="auto" w:fill="FFFFFF"/>
                <w:lang w:val="es-CO"/>
              </w:rPr>
            </w:pPr>
          </w:p>
          <w:p w14:paraId="12B76C3E"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1.1 Antecedentes normativos.</w:t>
            </w:r>
          </w:p>
          <w:p w14:paraId="21C053ED" w14:textId="77777777" w:rsidR="00072956" w:rsidRPr="000B180A" w:rsidRDefault="00072956" w:rsidP="007F5995">
            <w:pPr>
              <w:rPr>
                <w:rFonts w:ascii="Arial Narrow" w:hAnsi="Arial Narrow" w:cs="Arial"/>
                <w:sz w:val="24"/>
                <w:szCs w:val="24"/>
                <w:shd w:val="clear" w:color="auto" w:fill="FFFFFF"/>
                <w:lang w:val="es-CO"/>
              </w:rPr>
            </w:pPr>
          </w:p>
          <w:p w14:paraId="6A6076EC"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Constitución Política de 1991 consagró al medio ambiente como un bien jurídico de interés superior, dotándolo de protección reforzada mediante un conjunto amplio de disposiciones que configuran lo que se ha denominado una “Constitución Ecológica”. En este marco, el medio ambiente se reconoce como un principio rector del orden constitucional, así como un derecho colectivo fundamental y una obligación correlativa tanto del Estado como de los particulares. Esta arquitectura normativa establece los fundamentos esenciales para reconfigurar las relaciones entre la sociedad y la naturaleza, bajo un enfoque de sostenibilidad y justicia intergeneracional. En coherencia con el mandato constitucional de protección y conservación ambiental, y ante los desafíos globales del cambio climático y la degradación ecosistémica, el Estado colombiano asume el deber de adoptar medidas estructurales orientadas a la mitigación, adaptación y transición energética justa, que garanticen la integridad ecológica y los derechos de las generaciones presentes y futuras.</w:t>
            </w:r>
          </w:p>
          <w:p w14:paraId="11BF350C" w14:textId="77777777" w:rsidR="00072956" w:rsidRPr="000B180A" w:rsidRDefault="00072956" w:rsidP="007F5995">
            <w:pPr>
              <w:jc w:val="both"/>
              <w:rPr>
                <w:rFonts w:ascii="Arial Narrow" w:hAnsi="Arial Narrow" w:cs="Arial"/>
                <w:sz w:val="24"/>
                <w:szCs w:val="24"/>
                <w:shd w:val="clear" w:color="auto" w:fill="FFFFFF"/>
                <w:lang w:val="es-CO"/>
              </w:rPr>
            </w:pPr>
          </w:p>
          <w:p w14:paraId="6F62C3C1"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En el conjunto de mandatos constitucionales se establece como obligación del Estado la planificación del manejo y aprovechamiento de los recursos naturales, para garantizar su desarrollo sostenible, su conservación, restauración o sustitución. Además, del deber de prevenir y controlar los factores de deterioro ambiental, imponer sanciones legales y exigir la reparación de los daños causados. Así mismo, la Constitución Política establece en su artículo 334 que el Estado puede intervenir en la economía para la explotación de los recursos naturales, el uso del suelo, la producción y consumo de los bienes y servicios, la prestación de los servicios públicos, entre otros, con el objetivo de mejorar la calidad de vida de los habitantes y la preservación de un ambiente sano. </w:t>
            </w:r>
          </w:p>
          <w:p w14:paraId="3AFCBE5F" w14:textId="77777777" w:rsidR="00072956" w:rsidRPr="000B180A" w:rsidRDefault="00072956" w:rsidP="007F5995">
            <w:pPr>
              <w:jc w:val="both"/>
              <w:rPr>
                <w:rFonts w:ascii="Arial Narrow" w:hAnsi="Arial Narrow" w:cs="Arial"/>
                <w:sz w:val="24"/>
                <w:szCs w:val="24"/>
                <w:shd w:val="clear" w:color="auto" w:fill="FFFFFF"/>
                <w:lang w:val="es-CO"/>
              </w:rPr>
            </w:pPr>
          </w:p>
          <w:p w14:paraId="0D2014B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La Ley 23 de 1973 establece en su artículo 2 que las actividades de mejoramiento y conservación del medio ambiente, entendido este como la atmósfera y los recursos naturales renovables, se consideran de utilidad pública. En desarrollo de esta preceptiva, el artículo 45 del Código Nacional de Recursos Naturales Renovables, establece como una de las actividades administrativas relacionadas con la conservación de los recursos naturales, la de asegurar mediante la planeación en todos los niveles, la compatibilidad entre la necesidad de lograr el desarrollo económico del país y la aplicación de la política ambiental y de los recursos naturales. </w:t>
            </w:r>
          </w:p>
          <w:p w14:paraId="22C7478F" w14:textId="77777777" w:rsidR="00072956" w:rsidRPr="000B180A" w:rsidRDefault="00072956" w:rsidP="007F5995">
            <w:pPr>
              <w:jc w:val="both"/>
              <w:rPr>
                <w:rFonts w:ascii="Arial Narrow" w:hAnsi="Arial Narrow" w:cs="Arial"/>
                <w:sz w:val="24"/>
                <w:szCs w:val="24"/>
                <w:shd w:val="clear" w:color="auto" w:fill="FFFFFF"/>
                <w:lang w:val="es-CO"/>
              </w:rPr>
            </w:pPr>
          </w:p>
          <w:p w14:paraId="521110B1"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el ámbito internacional, en 1992 se realizó la Conferencia de las Naciones Unidas sobre el Medio Ambiente y el Desarrollo realizada en Río de Janeiro, donde se reafirmó la Declaración de la Conferencia de las Naciones Unidas sobre el Medio Ambiente Humano, aprobada en Estocolmo el 16 de junio de 1972, en la que se dispone entre sus principios que: “el derecho al desarrollo debe ejercerse en forma tal que responda equitativamente a las necesidades de desarrollo y ambientales de las generaciones presentes y futuras” (Principio 3).</w:t>
            </w:r>
          </w:p>
          <w:p w14:paraId="73BA24AC" w14:textId="77777777" w:rsidR="00072956" w:rsidRPr="000B180A" w:rsidRDefault="00072956" w:rsidP="007F5995">
            <w:pPr>
              <w:jc w:val="both"/>
              <w:rPr>
                <w:rFonts w:ascii="Arial Narrow" w:hAnsi="Arial Narrow" w:cs="Arial"/>
                <w:sz w:val="24"/>
                <w:szCs w:val="24"/>
                <w:shd w:val="clear" w:color="auto" w:fill="FFFFFF"/>
                <w:lang w:val="es-CO"/>
              </w:rPr>
            </w:pPr>
          </w:p>
          <w:p w14:paraId="471DDA89"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consonancia con lo anterior, el Congreso de la República promulgó la Ley 99 de 1993, “por la cual se crea el Ministerio del Medio Ambiente, se reordena el Sector Público encargado de la gestión y conservación del medio ambiente y los recursos naturales renovables, se organiza el Sistema Nacional Ambiental (SINA) y se dictan otras disposiciones”, donde se incorporaron los principios generales ambientales contenidos en la Declaración de Río, al señalar que “El proceso de desarrollo económico y social del país se orientará según principios universales y del desarrollo sostenible contenidos en la Declaración de Río de Janeiro de junio de 1992 sobre el Medio Ambiente y Desarrollo”.</w:t>
            </w:r>
          </w:p>
          <w:p w14:paraId="5F55A3F1" w14:textId="77777777" w:rsidR="00072956" w:rsidRPr="000B180A" w:rsidRDefault="00072956" w:rsidP="007F5995">
            <w:pPr>
              <w:jc w:val="both"/>
              <w:rPr>
                <w:rFonts w:ascii="Arial Narrow" w:hAnsi="Arial Narrow" w:cs="Arial"/>
                <w:sz w:val="24"/>
                <w:szCs w:val="24"/>
                <w:shd w:val="clear" w:color="auto" w:fill="FFFFFF"/>
                <w:lang w:val="es-CO"/>
              </w:rPr>
            </w:pPr>
          </w:p>
          <w:p w14:paraId="737F3D2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Así mismo, la Ley 99 de 1993, en su artículo 5, numeral 14, otorga al Ministerio de Ambiente y Desarrollo Sostenible la facultad de definir y regular los instrumentos administrativos y mecanismos necesarios para la prevención y el control de los factores de deterioro ambiental; así como de determinar los criterios de evaluación, seguimiento y manejo ambiental de las actividades económicas.</w:t>
            </w:r>
          </w:p>
          <w:p w14:paraId="7359CA85" w14:textId="77777777" w:rsidR="00072956" w:rsidRPr="000B180A" w:rsidRDefault="00072956" w:rsidP="007F5995">
            <w:pPr>
              <w:jc w:val="both"/>
              <w:rPr>
                <w:rFonts w:ascii="Arial Narrow" w:hAnsi="Arial Narrow" w:cs="Arial"/>
                <w:sz w:val="24"/>
                <w:szCs w:val="24"/>
                <w:shd w:val="clear" w:color="auto" w:fill="FFFFFF"/>
                <w:lang w:val="es-CO"/>
              </w:rPr>
            </w:pPr>
          </w:p>
          <w:p w14:paraId="56BB49ED"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Que el artículo 51 de la ley 99 de 1993 establece que “las Licencias Ambientales serán otorgadas por el Ministerio del medio Ambiente, las Corporaciones Autónomas Regionales y algunos municipios y distritos, de conformidad con lo previsto en esta Ley”.</w:t>
            </w:r>
          </w:p>
          <w:p w14:paraId="6A0FDB71" w14:textId="77777777" w:rsidR="00072956" w:rsidRPr="000B180A" w:rsidRDefault="00072956" w:rsidP="007F5995">
            <w:pPr>
              <w:jc w:val="both"/>
              <w:rPr>
                <w:rFonts w:ascii="Arial Narrow" w:hAnsi="Arial Narrow" w:cs="Arial"/>
                <w:sz w:val="24"/>
                <w:szCs w:val="24"/>
                <w:shd w:val="clear" w:color="auto" w:fill="FFFFFF"/>
                <w:lang w:val="es-CO"/>
              </w:rPr>
            </w:pPr>
          </w:p>
          <w:p w14:paraId="7D626FCA"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Conforme a lo expuesto, y como ha quedado establecido en líneas precedentes, el Estado tiene la potestad de la administración de los recursos naturales, motivo por el cual, dentro del ordenamiento jurídico se han previsto, entre otros, el instrumento de Licencia Ambiental, entendida como: la autorización que otorga la autoridad ambiental competente para la ejecución de un proyecto, obra o actividad, que de acuerdo con la Ley y sus reglamentos (Decreto 1076 de 2015), tiene la potencialidad de producir un deterioro grave a los recursos naturales renovables o al medio ambiente o introducir modificaciones considerables o notorias al paisaje (artículo 50, Ley 99 de 1993). </w:t>
            </w:r>
          </w:p>
          <w:p w14:paraId="44678E3F" w14:textId="77777777" w:rsidR="00072956" w:rsidRPr="000B180A" w:rsidRDefault="00072956" w:rsidP="007F5995">
            <w:pPr>
              <w:jc w:val="both"/>
              <w:rPr>
                <w:rFonts w:ascii="Arial Narrow" w:hAnsi="Arial Narrow" w:cs="Arial"/>
                <w:sz w:val="24"/>
                <w:szCs w:val="24"/>
                <w:shd w:val="clear" w:color="auto" w:fill="FFFFFF"/>
                <w:lang w:val="es-CO"/>
              </w:rPr>
            </w:pPr>
          </w:p>
          <w:p w14:paraId="53C8D61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Igualmente, cabe resaltar que el medio ambiente se ha establecido dentro de la categoría de los derechos colectivos, conforme con lo consignado en los literales a) y c) del artículo 4 de la Ley 472 de 1998, donde se establecen como derechos e intereses colectivos, entre otros, los relacionados con el goce de un ambiente sano, la existencia del equilibrio ecológico y el manejo y aprovechamiento racional de los recursos naturales para garantizar su desarrollo sostenible, su conservación, restauración o sustitución, así como la conservación de las especies animales y vegetales, la protección de áreas de especial importancia ecológica, de los ecosistemas situados en las zonas fronterizas, y demás intereses de la comunidad relacionados con la preservación y restauración del medio ambiente.</w:t>
            </w:r>
          </w:p>
          <w:p w14:paraId="5AC9E39B" w14:textId="77777777" w:rsidR="00072956" w:rsidRPr="000B180A" w:rsidRDefault="00072956" w:rsidP="007F5995">
            <w:pPr>
              <w:jc w:val="both"/>
              <w:rPr>
                <w:rFonts w:ascii="Arial Narrow" w:hAnsi="Arial Narrow" w:cs="Arial"/>
                <w:sz w:val="24"/>
                <w:szCs w:val="24"/>
                <w:shd w:val="clear" w:color="auto" w:fill="FFFFFF"/>
                <w:lang w:val="es-CO"/>
              </w:rPr>
            </w:pPr>
          </w:p>
          <w:p w14:paraId="0E2D9471"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La Organización de Naciones Unidas (ONU), estableció una serie de metas globales como parte de la Agenda 2030 para el Desarrollo Sostenible, con el fin de lograr un futuro más justo, próspero y sostenible para todos, denominadas Objetivos de Desarrollo Sostenible (ODS). Éstos fueron incorporados a la arquitectura normativa colombiana mediante el CONPES 3918 de 2018. Entre estos ODS, encontramos el Objetivo No. 7 el cual establece la obligación de los Estados de garantizar el acceso a una energía, fiable, sostenible y moderna para todos. Posteriormente, El CONPES 4075 de 2022 consolidó acciones, estrategias intersectoriales y políticas para llevar a cabo el proceso de transición energética y fomentar el crecimiento económico, energético, tecnológico, ambiental y social del país.  </w:t>
            </w:r>
          </w:p>
          <w:p w14:paraId="05A47272" w14:textId="77777777" w:rsidR="00072956" w:rsidRPr="000B180A" w:rsidRDefault="00072956" w:rsidP="007F5995">
            <w:pPr>
              <w:jc w:val="both"/>
              <w:rPr>
                <w:rFonts w:ascii="Arial Narrow" w:hAnsi="Arial Narrow" w:cs="Arial"/>
                <w:sz w:val="24"/>
                <w:szCs w:val="24"/>
                <w:shd w:val="clear" w:color="auto" w:fill="FFFFFF"/>
                <w:lang w:val="es-CO"/>
              </w:rPr>
            </w:pPr>
          </w:p>
          <w:p w14:paraId="10C72628"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La Convención Marco de las Naciones Unidas sobre el Cambio Climático de 1992, ratificada mediante la ley 164 de 1994, establece en el artículo 2 como objetivo lograr “la estabilización de las concentraciones de gases de efecto invernadero en la atmósfera a un nivel que impida interferencias antropógenas peligrosas en el sistema climático”, así como que “ese nivel </w:t>
            </w:r>
            <w:r w:rsidRPr="000B180A">
              <w:rPr>
                <w:rFonts w:ascii="Arial Narrow" w:hAnsi="Arial Narrow" w:cs="Arial"/>
                <w:sz w:val="24"/>
                <w:szCs w:val="24"/>
                <w:shd w:val="clear" w:color="auto" w:fill="FFFFFF"/>
                <w:lang w:val="es-CO"/>
              </w:rPr>
              <w:lastRenderedPageBreak/>
              <w:t>debería lograrse en un plazo suficiente para permitir que los ecosistemas se adapten naturalmente al cambio climático, asegurar que la producción de alimentos no se vea amenazada y permitir que el desarrollo económico prosiga de manera sostenible”.</w:t>
            </w:r>
          </w:p>
          <w:p w14:paraId="430F7C7C" w14:textId="77777777" w:rsidR="00072956" w:rsidRPr="000B180A" w:rsidRDefault="00072956" w:rsidP="007F5995">
            <w:pPr>
              <w:jc w:val="both"/>
              <w:rPr>
                <w:rFonts w:ascii="Arial Narrow" w:hAnsi="Arial Narrow" w:cs="Arial"/>
                <w:sz w:val="24"/>
                <w:szCs w:val="24"/>
                <w:shd w:val="clear" w:color="auto" w:fill="FFFFFF"/>
                <w:lang w:val="es-CO"/>
              </w:rPr>
            </w:pPr>
          </w:p>
          <w:p w14:paraId="4427847A"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El artículo 2 del Acuerdo de París, ratificado por la ley 1844 de 2017, tiene dentro de sus objetivos principales “Mantener el aumento de la temperatura media mundial muy por debajo de 2 ºC con respecto a los niveles preindustriales, y proseguir los esfuerzos para limitar ese aumento de la temperatura a 1,5 ºC con respecto a los niveles preindustriales, reconociendo que ello reduciría considerablemente los riesgos y los efectos del cambio climático”. </w:t>
            </w:r>
          </w:p>
          <w:p w14:paraId="3B121795" w14:textId="77777777" w:rsidR="00072956" w:rsidRPr="000B180A" w:rsidRDefault="00072956" w:rsidP="007F5995">
            <w:pPr>
              <w:jc w:val="both"/>
              <w:rPr>
                <w:rFonts w:ascii="Arial Narrow" w:hAnsi="Arial Narrow" w:cs="Arial"/>
                <w:sz w:val="24"/>
                <w:szCs w:val="24"/>
                <w:shd w:val="clear" w:color="auto" w:fill="FFFFFF"/>
                <w:lang w:val="es-CO"/>
              </w:rPr>
            </w:pPr>
          </w:p>
          <w:p w14:paraId="401F921C"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la Conferencia de las Partes 28 de Naciones Unidas sobre Cambio Climático (COP28) el Estado colombiano acordó “el principio del fin de la era de los combustibles fósiles sentando las bases para una transición justa, rápida y equitativa, con profundos recortes de emisiones y mayor financiación”. Adicionalmente, en esta Conferencia se aprobaron los objetivos de triplicar la potencia renovable a nivel mundial, y duplicar las mejoras de eficiencia energética para 2030.</w:t>
            </w:r>
          </w:p>
          <w:p w14:paraId="163513FE" w14:textId="77777777" w:rsidR="00072956" w:rsidRPr="000B180A" w:rsidRDefault="00072956" w:rsidP="007F5995">
            <w:pPr>
              <w:jc w:val="both"/>
              <w:rPr>
                <w:rFonts w:ascii="Arial Narrow" w:hAnsi="Arial Narrow" w:cs="Arial"/>
                <w:sz w:val="24"/>
                <w:szCs w:val="24"/>
                <w:shd w:val="clear" w:color="auto" w:fill="FFFFFF"/>
                <w:lang w:val="es-CO"/>
              </w:rPr>
            </w:pPr>
          </w:p>
          <w:p w14:paraId="0D4CA642" w14:textId="0561F9F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la Cumbre del Futuro</w:t>
            </w:r>
            <w:r w:rsidR="001E646E">
              <w:rPr>
                <w:rFonts w:ascii="Arial Narrow" w:hAnsi="Arial Narrow" w:cs="Arial"/>
                <w:sz w:val="24"/>
                <w:szCs w:val="24"/>
                <w:shd w:val="clear" w:color="auto" w:fill="FFFFFF"/>
                <w:lang w:val="es-CO"/>
              </w:rPr>
              <w:t>, realizada</w:t>
            </w:r>
            <w:r w:rsidRPr="000B180A">
              <w:rPr>
                <w:rFonts w:ascii="Arial Narrow" w:hAnsi="Arial Narrow" w:cs="Arial"/>
                <w:sz w:val="24"/>
                <w:szCs w:val="24"/>
                <w:shd w:val="clear" w:color="auto" w:fill="FFFFFF"/>
                <w:lang w:val="es-CO"/>
              </w:rPr>
              <w:t xml:space="preserve"> </w:t>
            </w:r>
            <w:r w:rsidR="001E646E">
              <w:rPr>
                <w:rFonts w:ascii="Arial Narrow" w:hAnsi="Arial Narrow" w:cs="Arial"/>
                <w:sz w:val="24"/>
                <w:szCs w:val="24"/>
                <w:shd w:val="clear" w:color="auto" w:fill="FFFFFF"/>
                <w:lang w:val="es-CO"/>
              </w:rPr>
              <w:t>e</w:t>
            </w:r>
            <w:r w:rsidRPr="000B180A">
              <w:rPr>
                <w:rFonts w:ascii="Arial Narrow" w:hAnsi="Arial Narrow" w:cs="Arial"/>
                <w:sz w:val="24"/>
                <w:szCs w:val="24"/>
                <w:shd w:val="clear" w:color="auto" w:fill="FFFFFF"/>
                <w:lang w:val="es-CO"/>
              </w:rPr>
              <w:t>l 22 de septiembre de 2024</w:t>
            </w:r>
            <w:r w:rsidR="001E646E">
              <w:rPr>
                <w:rFonts w:ascii="Arial Narrow" w:hAnsi="Arial Narrow" w:cs="Arial"/>
                <w:sz w:val="24"/>
                <w:szCs w:val="24"/>
                <w:shd w:val="clear" w:color="auto" w:fill="FFFFFF"/>
                <w:lang w:val="es-CO"/>
              </w:rPr>
              <w:t>,</w:t>
            </w:r>
            <w:r w:rsidRPr="000B180A">
              <w:rPr>
                <w:rFonts w:ascii="Arial Narrow" w:hAnsi="Arial Narrow" w:cs="Arial"/>
                <w:sz w:val="24"/>
                <w:szCs w:val="24"/>
                <w:shd w:val="clear" w:color="auto" w:fill="FFFFFF"/>
                <w:lang w:val="es-CO"/>
              </w:rPr>
              <w:t xml:space="preserve"> la Organización de Naciones Unidas</w:t>
            </w:r>
            <w:r w:rsidR="001E646E">
              <w:rPr>
                <w:rFonts w:ascii="Arial Narrow" w:hAnsi="Arial Narrow" w:cs="Arial"/>
                <w:sz w:val="24"/>
                <w:szCs w:val="24"/>
                <w:shd w:val="clear" w:color="auto" w:fill="FFFFFF"/>
                <w:lang w:val="es-CO"/>
              </w:rPr>
              <w:t xml:space="preserve"> y varios</w:t>
            </w:r>
            <w:r w:rsidRPr="000B180A">
              <w:rPr>
                <w:rFonts w:ascii="Arial Narrow" w:hAnsi="Arial Narrow" w:cs="Arial"/>
                <w:sz w:val="24"/>
                <w:szCs w:val="24"/>
                <w:shd w:val="clear" w:color="auto" w:fill="FFFFFF"/>
                <w:lang w:val="es-CO"/>
              </w:rPr>
              <w:t xml:space="preserve"> los líderes mundiales adoptaron el Pacto para el Futuro y declararon que “[e]l cambio climático es uno de los grandes retos de nuestra época y afecta de forma desproporcionada a los países en desarrollo, especialmente a los que son particularmente vulnerables a sus efectos adversos”. En esta misma línea</w:t>
            </w:r>
            <w:r w:rsidR="001E646E">
              <w:rPr>
                <w:rFonts w:ascii="Arial Narrow" w:hAnsi="Arial Narrow" w:cs="Arial"/>
                <w:sz w:val="24"/>
                <w:szCs w:val="24"/>
                <w:shd w:val="clear" w:color="auto" w:fill="FFFFFF"/>
                <w:lang w:val="es-CO"/>
              </w:rPr>
              <w:t>,</w:t>
            </w:r>
            <w:r w:rsidRPr="000B180A">
              <w:rPr>
                <w:rFonts w:ascii="Arial Narrow" w:hAnsi="Arial Narrow" w:cs="Arial"/>
                <w:sz w:val="24"/>
                <w:szCs w:val="24"/>
                <w:shd w:val="clear" w:color="auto" w:fill="FFFFFF"/>
                <w:lang w:val="es-CO"/>
              </w:rPr>
              <w:t xml:space="preserve"> se comprometieron a acelerar el cumplimiento de las obligaciones en virtud de la Convención Marco de las Naciones Unidas sobre el Cambio Climático y el Acuerdo de París.</w:t>
            </w:r>
          </w:p>
          <w:p w14:paraId="5092E12E" w14:textId="77777777" w:rsidR="00072956" w:rsidRPr="000B180A" w:rsidRDefault="00072956" w:rsidP="007F5995">
            <w:pPr>
              <w:jc w:val="both"/>
              <w:rPr>
                <w:rFonts w:ascii="Arial Narrow" w:hAnsi="Arial Narrow" w:cs="Arial"/>
                <w:sz w:val="24"/>
                <w:szCs w:val="24"/>
                <w:shd w:val="clear" w:color="auto" w:fill="FFFFFF"/>
                <w:lang w:val="es-CO"/>
              </w:rPr>
            </w:pPr>
          </w:p>
          <w:p w14:paraId="2DD58C2F"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el año 2020, Colombia actualizó la Contribución Determinada a Nivel Nacional (NDC, por sus siglas en inglés) para el periodo 2020-2030, y se comprometió a emitir, como máximo, 169.44 millones de t CO2 eq en el año 2030. Esto equivale a una reducción del 51% de las emisiones respecto a la proyección de emisiones en 2030, iniciando un decrecimiento en las emisiones entre 2027 y 2030 tendiente hacia la carbono-neutralidad a mediados de siglo.</w:t>
            </w:r>
          </w:p>
          <w:p w14:paraId="746FC52E" w14:textId="77777777" w:rsidR="00072956" w:rsidRPr="000B180A" w:rsidRDefault="00072956" w:rsidP="007F5995">
            <w:pPr>
              <w:jc w:val="both"/>
              <w:rPr>
                <w:rFonts w:ascii="Arial Narrow" w:hAnsi="Arial Narrow" w:cs="Arial"/>
                <w:sz w:val="24"/>
                <w:szCs w:val="24"/>
                <w:shd w:val="clear" w:color="auto" w:fill="FFFFFF"/>
                <w:lang w:val="es-CO"/>
              </w:rPr>
            </w:pPr>
          </w:p>
          <w:p w14:paraId="7EEC7B4E"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Conforme a lo señalado por la Corte Constitucional en la Sentencia C-056 de 2021, el Estado colombiano ha contraído compromisos internacionales en virtud de su adhesión a la Convención Marco de las Naciones Unidas sobre el Cambio Climático (CMNUCC), el Protocolo de Kyoto y el Acuerdo de París, mediante los cuales se obliga a contribuir al esfuerzo global para mantener el aumento de la temperatura media mundial por debajo de los 2 °C respecto de los niveles preindustriales y a proseguir los esfuerzos para limitar dicho aumento a 1.5 °C.</w:t>
            </w:r>
          </w:p>
          <w:p w14:paraId="51435A71" w14:textId="77777777" w:rsidR="00072956" w:rsidRPr="000B180A" w:rsidRDefault="00072956" w:rsidP="007F5995">
            <w:pPr>
              <w:jc w:val="both"/>
              <w:rPr>
                <w:rFonts w:ascii="Arial Narrow" w:hAnsi="Arial Narrow" w:cs="Arial"/>
                <w:sz w:val="24"/>
                <w:szCs w:val="24"/>
                <w:shd w:val="clear" w:color="auto" w:fill="FFFFFF"/>
                <w:lang w:val="es-CO"/>
              </w:rPr>
            </w:pPr>
          </w:p>
          <w:p w14:paraId="1FF18BAD"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artículo 4 de la Ley 1715 de 2014 declaró como un asunto de utilidad pública e interés social y de conveniencia nacional la promoción, estímulo e incentivo al desarrollo de las actividades de producción y utilización de las fuentes no convencionales de energía, principalmente aquellas de carácter renovable, así como el uso eficiente de la energía, a fin de asegurar la diversificación del abastecimiento energético pleno y oportuno, la competitividad de la economía colombiana, la protección del ambiente, el uso eficiente de la energía y la preservación y conservación de los recursos naturales renovables.</w:t>
            </w:r>
          </w:p>
          <w:p w14:paraId="10883189" w14:textId="77777777" w:rsidR="00072956" w:rsidRPr="000B180A" w:rsidRDefault="00072956" w:rsidP="007F5995">
            <w:pPr>
              <w:jc w:val="both"/>
              <w:rPr>
                <w:rFonts w:ascii="Arial Narrow" w:hAnsi="Arial Narrow" w:cs="Arial"/>
                <w:sz w:val="24"/>
                <w:szCs w:val="24"/>
                <w:shd w:val="clear" w:color="auto" w:fill="FFFFFF"/>
                <w:lang w:val="es-CO"/>
              </w:rPr>
            </w:pPr>
          </w:p>
          <w:p w14:paraId="53E1056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artículo 6 de la Ley 1715 de 2014 establece la obligación, en cabeza del Ministerio de Ambiente y Desarrollo Sostenible, de incorporar en las políticas ambientales, los principios y criterios ambientales de las Fuentes No Convencionales de Energía Renovable, en adelante FNCER, la cogeneración, la autogeneración, la generación distribuida y la gestión eficiente de la energía que conlleven beneficios ambientales, para impulsarlas a nivel nacional y apoyar al Ministerio de Minas y Energía para velar por un desarrollo bajo en carbono del sector energético, a partir del fomento y desarrollo de las FNCER y la eficiencia energética.</w:t>
            </w:r>
          </w:p>
          <w:p w14:paraId="7A98EF78" w14:textId="77777777" w:rsidR="00072956" w:rsidRPr="000B180A" w:rsidRDefault="00072956" w:rsidP="007F5995">
            <w:pPr>
              <w:jc w:val="both"/>
              <w:rPr>
                <w:rFonts w:ascii="Arial Narrow" w:hAnsi="Arial Narrow" w:cs="Arial"/>
                <w:sz w:val="24"/>
                <w:szCs w:val="24"/>
                <w:shd w:val="clear" w:color="auto" w:fill="FFFFFF"/>
                <w:lang w:val="es-CO"/>
              </w:rPr>
            </w:pPr>
          </w:p>
          <w:p w14:paraId="5827D17E"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Ley 2099 de 2021, en el artículo 3, define el carácter de utilidad pública e interés social de las actividades de producción, utilización, almacenamiento, administración, operación y mantenimiento de las fuentes no convencionales de energía, principalmente aquellas de carácter renovable. Esta declaración de utilidad pública e interés social, según el mismo artículo, supone “(…) primacía en todo Io referente a ordenamiento del territorio, urbanismo, planificación ambiental, fomento económico, valoración positiva en los procedimientos administrativos de concurrencia y selección, y de expropiación forzosa.</w:t>
            </w:r>
          </w:p>
          <w:p w14:paraId="0A9CB534" w14:textId="77777777" w:rsidR="00072956" w:rsidRPr="000B180A" w:rsidRDefault="00072956" w:rsidP="007F5995">
            <w:pPr>
              <w:jc w:val="both"/>
              <w:rPr>
                <w:rFonts w:ascii="Arial Narrow" w:hAnsi="Arial Narrow" w:cs="Arial"/>
                <w:sz w:val="24"/>
                <w:szCs w:val="24"/>
                <w:shd w:val="clear" w:color="auto" w:fill="FFFFFF"/>
                <w:lang w:val="es-CO"/>
              </w:rPr>
            </w:pPr>
          </w:p>
          <w:p w14:paraId="38E04AFB"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implementación de la energía eólica ofrece beneficios ambientales significativos al ser una fuente limpia y renovable. A diferencia de los combustibles fósiles, la energía eólica no produce emisiones de gases de efecto invernadero, contribuyendo directamente a la mitigación del cambio climático y a la mejora de la calidad del aire. Además, su operación no requiere el consumo de agua para refrigeración, un recurso escaso en muchas regiones. Al aprovechar la fuerza del viento, esta tecnología reduce nuestra dependencia de recursos finitos y volátiles, promoviendo un modelo energético más sostenible y amigable con nuestro planeta.</w:t>
            </w:r>
          </w:p>
          <w:p w14:paraId="0FA956C7" w14:textId="77777777" w:rsidR="00072956" w:rsidRPr="000B180A" w:rsidRDefault="00072956" w:rsidP="007F5995">
            <w:pPr>
              <w:jc w:val="both"/>
              <w:rPr>
                <w:rFonts w:ascii="Arial Narrow" w:hAnsi="Arial Narrow" w:cs="Arial"/>
                <w:sz w:val="24"/>
                <w:szCs w:val="24"/>
                <w:shd w:val="clear" w:color="auto" w:fill="FFFFFF"/>
                <w:lang w:val="es-CO"/>
              </w:rPr>
            </w:pPr>
          </w:p>
          <w:p w14:paraId="6E72D0BB"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De acuerdo con el reporte del Stockholm Environment Institute (SEI) de abril de 2025, titulado “Energía solar, eólica y comunidades energéticas en Colombia”</w:t>
            </w:r>
            <w:r w:rsidRPr="000B180A">
              <w:footnoteReference w:id="2"/>
            </w:r>
            <w:r w:rsidRPr="000B180A">
              <w:rPr>
                <w:rFonts w:ascii="Arial Narrow" w:hAnsi="Arial Narrow" w:cs="Arial"/>
                <w:sz w:val="24"/>
                <w:szCs w:val="24"/>
                <w:shd w:val="clear" w:color="auto" w:fill="FFFFFF"/>
                <w:lang w:val="es-CO"/>
              </w:rPr>
              <w:t>, el país cuenta con un gran potencial para el desarrollo de energías renovables.</w:t>
            </w:r>
          </w:p>
          <w:p w14:paraId="45BE77DD"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El estudio estima que Colombia tiene un potencial de generación de energía eólica onshore de 35 GW y offshore de 50 GW: </w:t>
            </w:r>
          </w:p>
          <w:p w14:paraId="370942B6" w14:textId="77777777" w:rsidR="00072956" w:rsidRPr="000B180A" w:rsidRDefault="00072956" w:rsidP="007F5995">
            <w:pPr>
              <w:jc w:val="both"/>
              <w:rPr>
                <w:rFonts w:ascii="Arial Narrow" w:hAnsi="Arial Narrow" w:cs="Arial"/>
                <w:sz w:val="24"/>
                <w:szCs w:val="24"/>
                <w:shd w:val="clear" w:color="auto" w:fill="FFFFFF"/>
                <w:lang w:val="es-CO"/>
              </w:rPr>
            </w:pPr>
          </w:p>
          <w:p w14:paraId="79510965" w14:textId="77777777" w:rsidR="00072956" w:rsidRPr="000B180A" w:rsidRDefault="00072956" w:rsidP="007F5995">
            <w:pPr>
              <w:ind w:left="708"/>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Guajira se destaca como la región más estratégica para el desarrollo de proyectos eólicos, gracias a sus recursos de clase mundial: vientos unidireccionales, velocidades promedio de 9,8 m/s, y factores de capacidad cercanos al 65%, lo que representa entre 18 y 21 GW del potencial eólico nacional. Por otro lado, el potencial de energía solar está distribuido a lo largo de todo el territorio nacional.</w:t>
            </w:r>
          </w:p>
          <w:p w14:paraId="34E25A42" w14:textId="77777777" w:rsidR="00072956" w:rsidRPr="000B180A" w:rsidRDefault="00072956" w:rsidP="007F5995">
            <w:pPr>
              <w:ind w:left="708"/>
              <w:jc w:val="both"/>
              <w:rPr>
                <w:rFonts w:ascii="Arial Narrow" w:hAnsi="Arial Narrow" w:cs="Arial"/>
                <w:sz w:val="24"/>
                <w:szCs w:val="24"/>
                <w:shd w:val="clear" w:color="auto" w:fill="FFFFFF"/>
                <w:lang w:val="es-CO"/>
              </w:rPr>
            </w:pPr>
          </w:p>
          <w:p w14:paraId="6AAD6579" w14:textId="77777777" w:rsidR="00072956" w:rsidRPr="000B180A" w:rsidRDefault="00072956" w:rsidP="007F5995">
            <w:pPr>
              <w:ind w:left="708"/>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 finales de 2024, la capacidad instalada de energía solar en Colombia alcanzó 1.928 MW, equivalente al 9% de la capacidad total instalada, mientras que no se registraron proyectos eólicos en la capacidad efectiva neta del sistema. Sin embargo, 31,9 MW de proyectos eólicos y 80,4 MW de proyectos solares estaban en fase de pruebas. Hasta la fecha, se han cancelado cerca de 1,3 GW en proyectos eólicos en diferentes fases de desarrollo, incluyendo algunos en construcción, y en ciertos casos los desarrolladores han optado por subastar los equipos de proyectos cancelados.</w:t>
            </w:r>
          </w:p>
          <w:p w14:paraId="191AC873" w14:textId="77777777" w:rsidR="00072956" w:rsidRPr="000B180A" w:rsidRDefault="00072956" w:rsidP="007F5995">
            <w:pPr>
              <w:ind w:left="708"/>
              <w:jc w:val="both"/>
              <w:rPr>
                <w:rFonts w:ascii="Arial Narrow" w:hAnsi="Arial Narrow" w:cs="Arial"/>
                <w:sz w:val="24"/>
                <w:szCs w:val="24"/>
                <w:shd w:val="clear" w:color="auto" w:fill="FFFFFF"/>
                <w:lang w:val="es-CO"/>
              </w:rPr>
            </w:pPr>
          </w:p>
          <w:p w14:paraId="33889010" w14:textId="77777777" w:rsidR="00072956" w:rsidRPr="000B180A" w:rsidRDefault="00072956" w:rsidP="007F5995">
            <w:pPr>
              <w:ind w:left="708"/>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Finalmente, la UPME reporta que para diciembre de 2024 había en construcción 32 proyectos solares que suman 5.022 MW y 9 proyectos eólicos que totalizan 1.571 MW. Además, se ha aprobado una capacidad cercana a 18,7 GW, de los cuales 13,5 GW corresponden a proyectos solares y 2,8 GW a proyectos eólicos, con fechas estimadas de entrada en operación entre 2023 y 2033”.</w:t>
            </w:r>
          </w:p>
          <w:p w14:paraId="190B76B4" w14:textId="77777777" w:rsidR="00072956" w:rsidRPr="000B180A" w:rsidRDefault="00072956" w:rsidP="007F5995">
            <w:pPr>
              <w:jc w:val="both"/>
              <w:rPr>
                <w:rFonts w:ascii="Arial Narrow" w:hAnsi="Arial Narrow" w:cs="Arial"/>
                <w:sz w:val="24"/>
                <w:szCs w:val="24"/>
                <w:shd w:val="clear" w:color="auto" w:fill="FFFFFF"/>
                <w:lang w:val="es-CO"/>
              </w:rPr>
            </w:pPr>
          </w:p>
          <w:p w14:paraId="67D59667"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resumen, de acuerdo con el SEI, Colombia cuenta con un potencial jurídico-ambiental significativo para el desarrollo de la energía eólica, reconocido tanto en instrumentos de planeación energética como en sus compromisos internacionales de mitigación climática. Las dificultades expuestas por SEI -respeto a la entrada en operación de los proyectos adjudicados-, evidencian la necesidad de ajustar y fortalecer el marco regulatorio para garantizar la efectividad del derecho colectivo a un ambiente sano, la seguridad energética y la diversificación de la matriz, conforme a los artículos 79, 80 y 334 de la Constitución Política.</w:t>
            </w:r>
          </w:p>
          <w:p w14:paraId="07F7E468" w14:textId="77777777" w:rsidR="00072956" w:rsidRPr="000B180A" w:rsidRDefault="00072956" w:rsidP="007F5995">
            <w:pPr>
              <w:jc w:val="both"/>
              <w:rPr>
                <w:rFonts w:ascii="Arial Narrow" w:hAnsi="Arial Narrow" w:cs="Arial"/>
                <w:sz w:val="24"/>
                <w:szCs w:val="24"/>
                <w:shd w:val="clear" w:color="auto" w:fill="FFFFFF"/>
                <w:lang w:val="es-CO"/>
              </w:rPr>
            </w:pPr>
          </w:p>
          <w:p w14:paraId="4C022E57"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desarrollo de la energía eólica en Colombia guarda relación directa con los principios de equidad, participación y justicia ambiental, en virtud de los cuales el Estado debe promover la inclusión de las comunidades locales en los beneficios derivados de la explotación de recursos naturales renovables -como el viento-, tal como lo ordenan el artículo 330 constitucional y la jurisprudencia sobre consulta previa y gobernanza territorial. La transición energética justa requiere de disposiciones normativas que eliminen obstáculos técnicos y sociales, garanticen seguridad jurídica a la inversión responsable y materialicen los fines sociales y ecológicos del Estado, asegurando así la efectividad de los derechos fundamentales, colectivos y ambientales de la población.</w:t>
            </w:r>
          </w:p>
          <w:p w14:paraId="0AB8A12A" w14:textId="77777777" w:rsidR="00072956" w:rsidRPr="000B180A" w:rsidRDefault="00072956" w:rsidP="007F5995">
            <w:pPr>
              <w:jc w:val="both"/>
              <w:rPr>
                <w:rFonts w:ascii="Arial Narrow" w:hAnsi="Arial Narrow" w:cs="Arial"/>
                <w:sz w:val="24"/>
                <w:szCs w:val="24"/>
                <w:shd w:val="clear" w:color="auto" w:fill="FFFFFF"/>
                <w:lang w:val="es-CO"/>
              </w:rPr>
            </w:pPr>
          </w:p>
          <w:p w14:paraId="680B8EC3"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artículo 157 del Decreto Ley 2811 de 1974 -Código Nacional de Recursos Naturales Renovables y de Protección al Medio Ambiente- definió la energía eólica como un recurso energético primario. De forma consecuente, la Ley 697 de 2001 declaró de interés público y utilidad social el uso racional y eficiente de la energía, así como la incorporación y aprovechamiento de las Fuentes No Convencionales de Energía Renovable (FNCER), en concordancia con los objetivos de sostenibilidad y diversificación de la matriz energética nacional.</w:t>
            </w:r>
          </w:p>
          <w:p w14:paraId="1E70CC1F"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 </w:t>
            </w:r>
          </w:p>
          <w:p w14:paraId="68538FB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Ley 1715 de 2014 “Por medio de la cual se regula la integración de las energías renovables no convencionales al Sistema Energético Nacional”, declaró como un asunto de utilidad pública e interés social y de conveniencia nacional, la promoción, estímulo e incentivo al desarrollo de las actividades de producción y utilización de las fuentes no convencionales de energía principalmente aquellas de carácter renovable, así como el uso eficiente de la energía, a fin de asegurar la participación en las zonas no interconectadas, la diversificación del abastecimiento energético pleno y oportuno, la competitividad de la economía colombiana, la protección del ambiente, el uso eficiente de la energía y la preservación y conservación de los recursos naturales renovables.</w:t>
            </w:r>
          </w:p>
          <w:p w14:paraId="68BD19C6" w14:textId="77777777" w:rsidR="00072956" w:rsidRPr="000B180A" w:rsidRDefault="00072956" w:rsidP="007F5995">
            <w:pPr>
              <w:jc w:val="both"/>
              <w:rPr>
                <w:rFonts w:ascii="Arial Narrow" w:hAnsi="Arial Narrow" w:cs="Arial"/>
                <w:sz w:val="24"/>
                <w:szCs w:val="24"/>
                <w:shd w:val="clear" w:color="auto" w:fill="FFFFFF"/>
                <w:lang w:val="es-CO"/>
              </w:rPr>
            </w:pPr>
          </w:p>
          <w:p w14:paraId="3992A6E8" w14:textId="77777777" w:rsidR="00072956" w:rsidRPr="000B180A" w:rsidRDefault="00072956" w:rsidP="007F5995">
            <w:pPr>
              <w:ind w:right="-44"/>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El artículo 20 de la Ley 1715 de 2014 establece que la energía eólica se reconoce expresamente como una Fuente No Convencional de Energía Renovable (FNCER), ordenando su reglamentación técnica por la CREG de acuerdo con las características propias de esta fuente. Además, asigna al Ministerio de Minas y Energía la función de fomentar su aprovechamiento en proyectos de generación tanto en zonas aisladas como interconectadas, así como la definición de los requerimientos técnicos y de calidad de las instalaciones. En particular, el artículo dispone que el Ministerio de Ambiente y Desarrollo Sostenible debe determinar los parámetros ambientales aplicables a los proyectos de energía eólica, incluyendo las medidas necesarias para mitigar los impactos ambientales que puedan generarse durante su implementación. Este mandato implica que dicho Ministerio deberá expedir la regulación ambiental específica para estos proyectos, asegurando su compatibilidad con los principios de desarrollo sostenible, prevención y precaución ambiental previstos en la Constitución y la Ley 99 de 1993, veamos: </w:t>
            </w:r>
          </w:p>
          <w:p w14:paraId="4A19F44A" w14:textId="77777777" w:rsidR="00072956" w:rsidRPr="000B180A" w:rsidRDefault="00072956" w:rsidP="007F5995">
            <w:pPr>
              <w:shd w:val="clear" w:color="auto" w:fill="FFFFFF"/>
              <w:spacing w:before="100" w:beforeAutospacing="1" w:after="100" w:afterAutospacing="1"/>
              <w:ind w:left="827" w:right="1515"/>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“ARTÍCULO</w:t>
            </w:r>
            <w:bookmarkStart w:id="1" w:name="20"/>
            <w:bookmarkEnd w:id="1"/>
            <w:r w:rsidRPr="000B180A">
              <w:rPr>
                <w:rFonts w:ascii="Arial Narrow" w:hAnsi="Arial Narrow" w:cs="Arial"/>
                <w:sz w:val="24"/>
                <w:szCs w:val="24"/>
                <w:shd w:val="clear" w:color="auto" w:fill="FFFFFF"/>
                <w:lang w:val="es-CO"/>
              </w:rPr>
              <w:t> 20. Desarrollo de la energía eólica.</w:t>
            </w:r>
          </w:p>
          <w:p w14:paraId="60BD84D6" w14:textId="77777777" w:rsidR="00072956" w:rsidRPr="000B180A" w:rsidRDefault="00072956" w:rsidP="007F5995">
            <w:pPr>
              <w:shd w:val="clear" w:color="auto" w:fill="FFFFFF"/>
              <w:spacing w:before="100" w:beforeAutospacing="1" w:after="100" w:afterAutospacing="1"/>
              <w:ind w:left="827" w:right="1515"/>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 La energía eólica se considerará como FNCER. Se deberá estudiar y analizar las condiciones propias de la naturaleza de la fuente para su reglamentación técnica por parte de la CREG.</w:t>
            </w:r>
          </w:p>
          <w:p w14:paraId="619DEA4B" w14:textId="77777777" w:rsidR="00072956" w:rsidRPr="000B180A" w:rsidRDefault="00072956" w:rsidP="007F5995">
            <w:pPr>
              <w:shd w:val="clear" w:color="auto" w:fill="FFFFFF"/>
              <w:spacing w:before="100" w:beforeAutospacing="1" w:after="100" w:afterAutospacing="1"/>
              <w:ind w:left="827" w:right="1515"/>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2. El Gobierno Nacional a través del Ministerio de Minas y Energía fomentará el aprovechamiento del recurso eólico en proyectos de generación en zonas aisladas o interconectadas.</w:t>
            </w:r>
          </w:p>
          <w:p w14:paraId="02323650" w14:textId="77777777" w:rsidR="00072956" w:rsidRPr="000B180A" w:rsidRDefault="00072956" w:rsidP="007F5995">
            <w:pPr>
              <w:shd w:val="clear" w:color="auto" w:fill="FFFFFF"/>
              <w:spacing w:before="100" w:beforeAutospacing="1" w:after="100" w:afterAutospacing="1"/>
              <w:ind w:left="827" w:right="1515"/>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3. El Ministerio de Minas y Energía, directamente o a través de la entidad que designe para este fin, determinará requerimientos técnicos y de calidad a cumplir por las instalaciones que utilicen el recurso eólico como fuente de generación.</w:t>
            </w:r>
          </w:p>
          <w:p w14:paraId="5B5A403A" w14:textId="77777777" w:rsidR="00072956" w:rsidRPr="000B180A" w:rsidRDefault="00072956" w:rsidP="007F5995">
            <w:pPr>
              <w:shd w:val="clear" w:color="auto" w:fill="FFFFFF"/>
              <w:spacing w:before="100" w:beforeAutospacing="1" w:after="100" w:afterAutospacing="1"/>
              <w:ind w:left="827" w:right="1515"/>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 El Gobierno Nacional, por intermedio del Ministerio de Ambiente y Desarrollo Sostenible, determinará los parámetros ambientales que deberán cumplir los proyectos desarrollados con energía eólica, así como la mitigación de los impactos ambientales que puedan presentarse en la implementación”.</w:t>
            </w:r>
          </w:p>
          <w:p w14:paraId="305ECE82" w14:textId="746C6E7A"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Por medio de la Ley 2099 de 2021 se dictan disposiciones para la transición energética, la dinamización del mercado energético. De un lado, el artículo 3 define el carácter de utilidad pública e interés social de las actividades de producción, utilización, almacenamiento, administración, operación y mantenimiento de las fuentes no convencionales de energía, principalmente aquellas de carácter renovable. La anterior declaratoria se funda, entre otras cosas, en la protección del medio ambiente y la preservación y conservación de los recursos naturales renovables. </w:t>
            </w:r>
            <w:r w:rsidR="001E646E">
              <w:rPr>
                <w:rFonts w:ascii="Arial Narrow" w:hAnsi="Arial Narrow" w:cs="Arial"/>
                <w:sz w:val="24"/>
                <w:szCs w:val="24"/>
                <w:shd w:val="clear" w:color="auto" w:fill="FFFFFF"/>
                <w:lang w:val="es-CO"/>
              </w:rPr>
              <w:t>De otro lado</w:t>
            </w:r>
            <w:r w:rsidRPr="000B180A">
              <w:rPr>
                <w:rFonts w:ascii="Arial Narrow" w:hAnsi="Arial Narrow" w:cs="Arial"/>
                <w:sz w:val="24"/>
                <w:szCs w:val="24"/>
                <w:shd w:val="clear" w:color="auto" w:fill="FFFFFF"/>
                <w:lang w:val="es-CO"/>
              </w:rPr>
              <w:t>, de dicho artículo debe destacarse que la calificación de utilidad pública e interés social tendrá los efectos para su “primacía en todo lo referente a ordenamiento del territorio, urbanismo, planificación ambiental, fomento económico, entre otros.</w:t>
            </w:r>
          </w:p>
          <w:p w14:paraId="40252F1D" w14:textId="77777777" w:rsidR="00072956" w:rsidRPr="000B180A" w:rsidRDefault="00072956" w:rsidP="007F5995">
            <w:pPr>
              <w:jc w:val="both"/>
              <w:rPr>
                <w:rFonts w:ascii="Arial Narrow" w:hAnsi="Arial Narrow" w:cs="Arial"/>
                <w:sz w:val="24"/>
                <w:szCs w:val="24"/>
                <w:shd w:val="clear" w:color="auto" w:fill="FFFFFF"/>
                <w:lang w:val="es-CO"/>
              </w:rPr>
            </w:pPr>
          </w:p>
          <w:p w14:paraId="6D8D35DD"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Además, la generación a través de Fuentes No Convencionales de Energía Renovable y, entre estas la energía eólica, contribuyen de manera importante a la Transición Energética Justa establecida como eje de la transformación productiva, la asociatividad con comunidades, la seguridad energética y la acción climática de acuerdo con el Plan Nacional de Desarrollo 2022-2026 “Colombia Potencia Mundial de la Vida”. Este instrumento de planeación con órden jurídico de ley estable las metas, objetivos y políticas trazadas por el Gobierno Nacional que orientarán el rumbo del país en los próximos años. </w:t>
            </w:r>
          </w:p>
          <w:p w14:paraId="5D584051" w14:textId="77777777" w:rsidR="00072956" w:rsidRPr="000B180A" w:rsidRDefault="00072956" w:rsidP="007F5995">
            <w:pPr>
              <w:jc w:val="both"/>
              <w:rPr>
                <w:rFonts w:ascii="Arial Narrow" w:hAnsi="Arial Narrow" w:cs="Arial"/>
                <w:sz w:val="24"/>
                <w:szCs w:val="24"/>
                <w:shd w:val="clear" w:color="auto" w:fill="FFFFFF"/>
                <w:lang w:val="es-CO"/>
              </w:rPr>
            </w:pPr>
          </w:p>
          <w:p w14:paraId="1DA845F5"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Dentro de los catalizadores propuestos en las bases de dicho Plan se encuentra la “Transición energética justa, segura, confiable y eficiente” con la cual se busca “acelerar la generación de energías renovables e impulsar tecnologías que permitan el desarrollo del potencial de energía eólica, solar, geotérmica, biomasa y otras no convencionales como estrategia para democratizar la generación de la energía e incentivar la reducción de tarifas de energía a través del aprovechamiento de las energías verdes. El país acelerará la penetración de energías renovables en la matriz, y el sistema energético contará con infraestructura y tecnología avanzada que atienda la demanda, a la vez que cumple los compromisos sociales, ambientales y garantiza la seguridad, confiabilidad, asequibilidad y eficiencia del servicio de energía”.</w:t>
            </w:r>
          </w:p>
          <w:p w14:paraId="5B909C5F" w14:textId="77777777" w:rsidR="00072956" w:rsidRPr="000B180A" w:rsidRDefault="00072956" w:rsidP="007F5995">
            <w:pPr>
              <w:jc w:val="both"/>
              <w:rPr>
                <w:rFonts w:ascii="Arial Narrow" w:hAnsi="Arial Narrow" w:cs="Arial"/>
                <w:sz w:val="24"/>
                <w:szCs w:val="24"/>
                <w:shd w:val="clear" w:color="auto" w:fill="FFFFFF"/>
                <w:lang w:val="es-CO"/>
              </w:rPr>
            </w:pPr>
          </w:p>
          <w:p w14:paraId="55CBD695"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Los proyectos de generación de energías virtualmente contaminantes a partir FNCER, contribuirán al fortalecimiento de la matriz energética del país y al cumplimiento de la meta “Transición energética para la vida”, establecida en el eje de transformación productiva, internalización y acción climática del Plan Nacional de Desarrollo (Ley 2294 de 2023), con el que se busca la diversificación basada en el potencial de energías renovables para enfrentar el cambio climático y fortalecer las capacidades del país hacia una economía verde.</w:t>
            </w:r>
          </w:p>
          <w:p w14:paraId="07F3E574" w14:textId="77777777" w:rsidR="00072956" w:rsidRPr="000B180A" w:rsidRDefault="00072956" w:rsidP="007F5995">
            <w:pPr>
              <w:jc w:val="both"/>
              <w:rPr>
                <w:rFonts w:ascii="Arial Narrow" w:hAnsi="Arial Narrow" w:cs="Arial"/>
                <w:sz w:val="24"/>
                <w:szCs w:val="24"/>
                <w:shd w:val="clear" w:color="auto" w:fill="FFFFFF"/>
                <w:lang w:val="es-CO"/>
              </w:rPr>
            </w:pPr>
          </w:p>
          <w:p w14:paraId="32B64605" w14:textId="77777777" w:rsidR="00072956" w:rsidRPr="000B180A" w:rsidRDefault="00072956" w:rsidP="007F5995">
            <w:pPr>
              <w:jc w:val="both"/>
              <w:rPr>
                <w:rFonts w:ascii="Arial Narrow" w:hAnsi="Arial Narrow" w:cs="Arial"/>
                <w:sz w:val="24"/>
                <w:szCs w:val="24"/>
                <w:shd w:val="clear" w:color="auto" w:fill="FFFFFF"/>
                <w:lang w:val="es-CO"/>
              </w:rPr>
            </w:pPr>
          </w:p>
          <w:p w14:paraId="15A8EE1C"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artículo 3 de la Ley 1437 de 2011, por medio de la cual “se expide el Código de Procedimiento Administrativo y de lo Contencioso Administrativo”, desarrolla los principios de eficacia, economía y celeridad, que deben regir las actuaciones administrativas y en función de lo dispuesto en el artículo 209 de la Constitución Política. En este sentido, las autoridades deben remover los obstáculos puramente formales, evitando decisiones inhibitorias, dilaciones o retardos y sanearán las irregularidades procedimentales que se presenten, optimizar el uso del tiempo y de los demás recursos, procurando el más alto nivel de calidad y protección de derechos, y que los procedimientos se adelanten con diligencia, dentro de los términos legales y sin dilaciones injustificadas.</w:t>
            </w:r>
          </w:p>
          <w:p w14:paraId="0CC355CF" w14:textId="77777777" w:rsidR="00072956" w:rsidRPr="000B180A" w:rsidRDefault="00072956" w:rsidP="007F5995">
            <w:pPr>
              <w:jc w:val="both"/>
              <w:rPr>
                <w:rFonts w:ascii="Arial Narrow" w:hAnsi="Arial Narrow" w:cs="Arial"/>
                <w:sz w:val="24"/>
                <w:szCs w:val="24"/>
                <w:shd w:val="clear" w:color="auto" w:fill="FFFFFF"/>
                <w:lang w:val="es-CO"/>
              </w:rPr>
            </w:pPr>
          </w:p>
          <w:p w14:paraId="3CBF8B11" w14:textId="40F81C95"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Al lado de lo anterior, la Ley 2052 de 2020</w:t>
            </w:r>
            <w:r w:rsidR="001E646E">
              <w:rPr>
                <w:rFonts w:ascii="Arial Narrow" w:hAnsi="Arial Narrow" w:cs="Arial"/>
                <w:sz w:val="24"/>
                <w:szCs w:val="24"/>
                <w:shd w:val="clear" w:color="auto" w:fill="FFFFFF"/>
                <w:lang w:val="es-CO"/>
              </w:rPr>
              <w:t>,</w:t>
            </w:r>
            <w:r w:rsidRPr="000B180A">
              <w:rPr>
                <w:rFonts w:ascii="Arial Narrow" w:hAnsi="Arial Narrow" w:cs="Arial"/>
                <w:sz w:val="24"/>
                <w:szCs w:val="24"/>
                <w:shd w:val="clear" w:color="auto" w:fill="FFFFFF"/>
                <w:lang w:val="es-CO"/>
              </w:rPr>
              <w:t xml:space="preserve"> “Por medio de la cual se establecen disposiciones transversales a la rama ejecutiva del nivel nacional y territorial y a los particulares que cumplan funciones públicas y/o administrativas, en relación con la racionalización de trámites y se dictan otras disposiciones" establece en su artículo cuarto, que las entidades de la Rama Ejecutiva del nivel nacional, entre otras, deben revisar que los trámites cumplan con los lineamientos y criterios fijados por la Política  de Racionalización de Trámites y demás normas que regulen la materia.</w:t>
            </w:r>
          </w:p>
          <w:p w14:paraId="1B46CCBE" w14:textId="77777777" w:rsidR="00072956" w:rsidRPr="000B180A" w:rsidRDefault="00072956" w:rsidP="007F5995">
            <w:pPr>
              <w:jc w:val="both"/>
              <w:rPr>
                <w:rFonts w:ascii="Arial Narrow" w:hAnsi="Arial Narrow" w:cs="Arial"/>
                <w:sz w:val="24"/>
                <w:szCs w:val="24"/>
                <w:shd w:val="clear" w:color="auto" w:fill="FFFFFF"/>
                <w:lang w:val="es-CO"/>
              </w:rPr>
            </w:pPr>
          </w:p>
          <w:p w14:paraId="06294608"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De acuerdo con el Departamento de la Función Pública, la Política de Racionalización de Trámites constituye una herramienta fundamental para cumplir uno de los propósitos del Modelo Integrado de Planeación y Gestión (MIPG) al interior de las entidades públicas: propender a que sus procesos de gestión se focalicen en la obtención de resultados que garanticen los derechos y necesidades de la ciudadanía. Este propósito se traduce, en parte, en la racionalización de trámites y procedimientos administrativos, a través de su simplificación y optimización (reduciendo tiempos, procesos y pasos en la interacción de los ciudadanos con las entidades públicas) para lograr sus resultados y materializar las decisiones de su planeación institucional. Esta racionalización o simplificación implica, entre otros aspectos, la disminución de tiempos de ejecución de los trámites a cargo de entidades públicas, cuando así se identifique.</w:t>
            </w:r>
          </w:p>
          <w:p w14:paraId="78704C70" w14:textId="77777777" w:rsidR="00072956" w:rsidRPr="000B180A" w:rsidRDefault="00072956" w:rsidP="007F5995">
            <w:pPr>
              <w:jc w:val="both"/>
              <w:rPr>
                <w:rFonts w:ascii="Arial Narrow" w:hAnsi="Arial Narrow" w:cs="Arial"/>
                <w:sz w:val="24"/>
                <w:szCs w:val="24"/>
                <w:shd w:val="clear" w:color="auto" w:fill="FFFFFF"/>
                <w:lang w:val="es-CO"/>
              </w:rPr>
            </w:pPr>
          </w:p>
          <w:p w14:paraId="073152FC" w14:textId="77777777" w:rsidR="00072956" w:rsidRPr="000B180A" w:rsidRDefault="00072956" w:rsidP="007F5995">
            <w:pPr>
              <w:pStyle w:val="Normal1"/>
              <w:jc w:val="both"/>
              <w:rPr>
                <w:rFonts w:ascii="Arial Narrow" w:hAnsi="Arial Narrow" w:cs="Arial"/>
                <w:shd w:val="clear" w:color="auto" w:fill="FFFFFF"/>
                <w:lang w:eastAsia="es-ES"/>
              </w:rPr>
            </w:pPr>
            <w:r w:rsidRPr="000B180A">
              <w:rPr>
                <w:rFonts w:ascii="Arial Narrow" w:hAnsi="Arial Narrow" w:cs="Arial"/>
                <w:shd w:val="clear" w:color="auto" w:fill="FFFFFF"/>
                <w:lang w:eastAsia="es-ES"/>
              </w:rPr>
              <w:t xml:space="preserve">Con el propósito de impulsar e incentivar la incorporación de la energía eólica al sistema energético nacional, diversificar la matriz eléctrica, avanzar en la descarbonización de la economía y dar cumplimiento a los compromisos internacionales adquiridos por el país en materia de cambio climático, se requiere la adopción de un proyecto normativo que promueva la racionalización del trámite de licencia ambiental para los proyectos de generación de energía eólica. En este sentido, se hace necesario adicionar el Capítulo 11 del Título 2, Parte 2, Libro 2 del Decreto 1076 de 2015, Decreto Único Reglamentario del Sector Ambiente y Desarrollo Sostenible, con el fin de establecer criterios ambientales específicos que faciliten el desarrollo de este tipo de proyectos, contribuyan al impulso de la Transición Energética Justa y fortalezcan la competitividad y sostenibilidad del sector energético nacional. </w:t>
            </w:r>
          </w:p>
          <w:p w14:paraId="0A494F6A" w14:textId="77777777" w:rsidR="00072956" w:rsidRPr="000B180A" w:rsidRDefault="00072956" w:rsidP="007F5995">
            <w:pPr>
              <w:pStyle w:val="Normal1"/>
              <w:jc w:val="both"/>
              <w:rPr>
                <w:rFonts w:ascii="Arial Narrow" w:hAnsi="Arial Narrow" w:cs="Arial"/>
                <w:shd w:val="clear" w:color="auto" w:fill="FFFFFF"/>
                <w:lang w:eastAsia="es-ES"/>
              </w:rPr>
            </w:pPr>
          </w:p>
          <w:p w14:paraId="39783C0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Por lo anterior, con base en lo expuesto por el Departamento de la Función Pública, en cuanto a que la racionalización de trámites implica, incluso, “Modificar o suprimir las normas que respaldan el trámite ampliando vigencias, reduciendo plazos, tiempos, costos o requisitos, o eliminando el trámite”, el presente decreto se orienta a tal propósito por medio de la agilización (reducción) de términos para el otorgamiento de LAEólica por parte de la Autoridad Nacional de Licencias Ambientales, sin perjuicio de que los términos otorgados al solicitante para la ejecución de sus cargas dentro del trámite de LAEólica se rijan de conformidad con lo previsto en el artículo 58 de la Ley 99 de 1993.</w:t>
            </w:r>
          </w:p>
          <w:p w14:paraId="54A37397" w14:textId="77777777" w:rsidR="00072956" w:rsidRPr="000B180A" w:rsidRDefault="00072956" w:rsidP="007F5995">
            <w:pPr>
              <w:jc w:val="both"/>
              <w:rPr>
                <w:rFonts w:ascii="Arial Narrow" w:hAnsi="Arial Narrow" w:cs="Arial"/>
                <w:sz w:val="24"/>
                <w:szCs w:val="24"/>
                <w:shd w:val="clear" w:color="auto" w:fill="FFFFFF"/>
                <w:lang w:val="es-CO"/>
              </w:rPr>
            </w:pPr>
          </w:p>
          <w:p w14:paraId="1D9657A7"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Decreto Único Reglamentario del Sector Ambiente y Desarrollo Sostenible, Decreto 1076 de 2015, establece, en el Título 2, Capítulo 3, que estarán sujetos a Licencia Ambiental únicamente los proyectos, obras y actividades que se enumeran en los artículos 2.2.2.3.2.2 y 2.2.2.3.2.3. En relación con los artículos anteriormente citados, cabe aclarar que, se establecen tanto las actividades que están obligadas al trámite de licenciamiento ambiental, como la definición de la competencia de la Autoridad Nacional de Licencias Ambientales (ANLA) y de las Corporaciones Autónomas Regionales (CAR).</w:t>
            </w:r>
          </w:p>
          <w:p w14:paraId="2BAD5572" w14:textId="77777777" w:rsidR="00072956" w:rsidRPr="000B180A" w:rsidRDefault="00072956" w:rsidP="007F5995">
            <w:pPr>
              <w:jc w:val="both"/>
              <w:rPr>
                <w:rFonts w:ascii="Arial Narrow" w:hAnsi="Arial Narrow" w:cs="Arial"/>
                <w:sz w:val="24"/>
                <w:szCs w:val="24"/>
                <w:shd w:val="clear" w:color="auto" w:fill="FFFFFF"/>
                <w:lang w:val="es-CO"/>
              </w:rPr>
            </w:pPr>
          </w:p>
          <w:p w14:paraId="33B3BD99"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Los compromisos internacionales, junto con la relevancia que le dan las distintas leyes citadas a las FNCER, indican que la transición energética y, en consecuencia, el licenciamiento ambiental de los proyectos de energía eólica es de interés nacional. Este factor, sumado a las funciones del Ministerio del Medio Ambiente como cabeza del sector y a la competencia de la ANLA como autoridad nacional encargada del licenciamiento ambiental, justifican que sea esta entidad la que asuma la evaluación y el otorgamiento de la Licencia Ambiental en proyectos de Energía Eólica -LAEólica, de que trata el decreto.     </w:t>
            </w:r>
          </w:p>
          <w:p w14:paraId="117D5F7E" w14:textId="77777777" w:rsidR="00072956" w:rsidRPr="000B180A" w:rsidRDefault="00072956" w:rsidP="007F5995">
            <w:pPr>
              <w:jc w:val="both"/>
              <w:rPr>
                <w:rFonts w:ascii="Arial Narrow" w:hAnsi="Arial Narrow" w:cs="Arial"/>
                <w:sz w:val="24"/>
                <w:szCs w:val="24"/>
                <w:shd w:val="clear" w:color="auto" w:fill="FFFFFF"/>
                <w:lang w:val="es-CO"/>
              </w:rPr>
            </w:pPr>
          </w:p>
          <w:p w14:paraId="11C50E23" w14:textId="77777777" w:rsidR="00072956" w:rsidRPr="000B180A" w:rsidRDefault="00072956" w:rsidP="007F5995">
            <w:pPr>
              <w:numPr>
                <w:ilvl w:val="0"/>
                <w:numId w:val="13"/>
              </w:numPr>
              <w:jc w:val="both"/>
              <w:rPr>
                <w:rFonts w:ascii="Arial Narrow" w:hAnsi="Arial Narrow" w:cs="Arial"/>
                <w:sz w:val="24"/>
                <w:szCs w:val="24"/>
                <w:shd w:val="clear" w:color="auto" w:fill="FFFFFF"/>
                <w:lang w:val="es-CO"/>
              </w:rPr>
            </w:pPr>
            <w:bookmarkStart w:id="2" w:name="_Hlk149068484"/>
            <w:r w:rsidRPr="000B180A">
              <w:rPr>
                <w:rFonts w:ascii="Arial Narrow" w:hAnsi="Arial Narrow" w:cs="Arial"/>
                <w:sz w:val="24"/>
                <w:szCs w:val="24"/>
                <w:shd w:val="clear" w:color="auto" w:fill="FFFFFF"/>
                <w:lang w:val="es-CO"/>
              </w:rPr>
              <w:t>Relevancia de la energía eólica</w:t>
            </w:r>
          </w:p>
          <w:p w14:paraId="4FBC1261"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667CBD20" w14:textId="77777777" w:rsidR="00167009" w:rsidRPr="00167009" w:rsidRDefault="00167009" w:rsidP="00167009">
            <w:pPr>
              <w:ind w:left="720"/>
              <w:jc w:val="both"/>
              <w:rPr>
                <w:rFonts w:ascii="Arial Narrow" w:hAnsi="Arial Narrow" w:cs="Arial"/>
                <w:sz w:val="24"/>
                <w:szCs w:val="24"/>
                <w:shd w:val="clear" w:color="auto" w:fill="FFFFFF"/>
                <w:lang w:val="es-CO"/>
              </w:rPr>
            </w:pPr>
            <w:r w:rsidRPr="00167009">
              <w:rPr>
                <w:rFonts w:ascii="Arial Narrow" w:hAnsi="Arial Narrow" w:cs="Arial"/>
                <w:sz w:val="24"/>
                <w:szCs w:val="24"/>
                <w:shd w:val="clear" w:color="auto" w:fill="FFFFFF"/>
                <w:lang w:val="es-CO"/>
              </w:rPr>
              <w:t>Según el documento Resiliencia energética: acciones para la entrada en operación de proyectos de generación FNCER (UPME. 2025), actualmente se encuentran registrados 256 proyectos en el marco de la Estrategia 6GW, que se agrupan a continuación según la fuente de energía utilizada y capacidad de cada una:</w:t>
            </w:r>
          </w:p>
          <w:p w14:paraId="5A705AFA" w14:textId="77777777" w:rsidR="00167009" w:rsidRPr="00167009" w:rsidRDefault="00167009" w:rsidP="00167009">
            <w:pPr>
              <w:ind w:left="720"/>
              <w:jc w:val="both"/>
              <w:rPr>
                <w:rFonts w:ascii="Arial Narrow" w:hAnsi="Arial Narrow" w:cs="Arial"/>
                <w:sz w:val="24"/>
                <w:szCs w:val="24"/>
                <w:shd w:val="clear" w:color="auto" w:fill="FFFFFF"/>
                <w:lang w:val="es-CO"/>
              </w:rPr>
            </w:pPr>
          </w:p>
          <w:p w14:paraId="235F074F" w14:textId="4AE38D48" w:rsidR="00167009" w:rsidRPr="00167009" w:rsidRDefault="00167009" w:rsidP="00233CB3">
            <w:pPr>
              <w:ind w:left="720"/>
              <w:jc w:val="center"/>
              <w:rPr>
                <w:rFonts w:ascii="Arial Narrow" w:hAnsi="Arial Narrow" w:cs="Arial"/>
                <w:sz w:val="24"/>
                <w:szCs w:val="24"/>
                <w:shd w:val="clear" w:color="auto" w:fill="FFFFFF"/>
                <w:lang w:val="es-MX"/>
              </w:rPr>
            </w:pPr>
            <w:r w:rsidRPr="00167009">
              <w:rPr>
                <w:rFonts w:ascii="Arial Narrow" w:hAnsi="Arial Narrow" w:cs="Arial"/>
                <w:sz w:val="24"/>
                <w:szCs w:val="24"/>
                <w:shd w:val="clear" w:color="auto" w:fill="FFFFFF"/>
              </w:rPr>
              <w:t xml:space="preserve">Figura </w:t>
            </w:r>
            <w:r w:rsidRPr="00167009">
              <w:rPr>
                <w:rFonts w:ascii="Arial Narrow" w:hAnsi="Arial Narrow" w:cs="Arial"/>
                <w:sz w:val="24"/>
                <w:szCs w:val="24"/>
                <w:shd w:val="clear" w:color="auto" w:fill="FFFFFF"/>
              </w:rPr>
              <w:fldChar w:fldCharType="begin"/>
            </w:r>
            <w:r w:rsidRPr="00167009">
              <w:rPr>
                <w:rFonts w:ascii="Arial Narrow" w:hAnsi="Arial Narrow" w:cs="Arial"/>
                <w:sz w:val="24"/>
                <w:szCs w:val="24"/>
                <w:shd w:val="clear" w:color="auto" w:fill="FFFFFF"/>
              </w:rPr>
              <w:instrText xml:space="preserve"> SEQ Figura \* ARABIC </w:instrText>
            </w:r>
            <w:r w:rsidRPr="00167009">
              <w:rPr>
                <w:rFonts w:ascii="Arial Narrow" w:hAnsi="Arial Narrow" w:cs="Arial"/>
                <w:sz w:val="24"/>
                <w:szCs w:val="24"/>
                <w:shd w:val="clear" w:color="auto" w:fill="FFFFFF"/>
              </w:rPr>
              <w:fldChar w:fldCharType="separate"/>
            </w:r>
            <w:r w:rsidRPr="00167009">
              <w:rPr>
                <w:rFonts w:ascii="Arial Narrow" w:hAnsi="Arial Narrow" w:cs="Arial"/>
                <w:sz w:val="24"/>
                <w:szCs w:val="24"/>
                <w:shd w:val="clear" w:color="auto" w:fill="FFFFFF"/>
              </w:rPr>
              <w:t>1</w:t>
            </w:r>
            <w:r w:rsidRPr="00167009">
              <w:rPr>
                <w:rFonts w:ascii="Arial Narrow" w:hAnsi="Arial Narrow" w:cs="Arial"/>
                <w:sz w:val="24"/>
                <w:szCs w:val="24"/>
                <w:shd w:val="clear" w:color="auto" w:fill="FFFFFF"/>
                <w:lang w:val="es-CO"/>
              </w:rPr>
              <w:fldChar w:fldCharType="end"/>
            </w:r>
            <w:r w:rsidRPr="00167009">
              <w:rPr>
                <w:rFonts w:ascii="Arial Narrow" w:hAnsi="Arial Narrow" w:cs="Arial"/>
                <w:sz w:val="24"/>
                <w:szCs w:val="24"/>
                <w:shd w:val="clear" w:color="auto" w:fill="FFFFFF"/>
              </w:rPr>
              <w:t>.Cantidad de pr</w:t>
            </w:r>
            <w:r w:rsidRPr="00167009">
              <w:rPr>
                <w:rFonts w:ascii="Arial Narrow" w:hAnsi="Arial Narrow" w:cs="Arial"/>
                <w:sz w:val="24"/>
                <w:szCs w:val="24"/>
                <w:shd w:val="clear" w:color="auto" w:fill="FFFFFF"/>
                <w:lang w:val="es-MX"/>
              </w:rPr>
              <w:t>oyectos de generación FNCER</w:t>
            </w:r>
          </w:p>
          <w:p w14:paraId="0FA8170D" w14:textId="40AF4A60" w:rsidR="00167009" w:rsidRPr="00167009" w:rsidRDefault="00167009" w:rsidP="00233CB3">
            <w:pPr>
              <w:ind w:left="720"/>
              <w:jc w:val="center"/>
              <w:rPr>
                <w:rFonts w:ascii="Arial Narrow" w:hAnsi="Arial Narrow" w:cs="Arial"/>
                <w:sz w:val="24"/>
                <w:szCs w:val="24"/>
                <w:shd w:val="clear" w:color="auto" w:fill="FFFFFF"/>
                <w:lang w:val="es-CO"/>
              </w:rPr>
            </w:pPr>
            <w:r w:rsidRPr="00167009">
              <w:rPr>
                <w:rFonts w:ascii="Arial Narrow" w:hAnsi="Arial Narrow" w:cs="Arial"/>
                <w:noProof/>
                <w:sz w:val="24"/>
                <w:szCs w:val="24"/>
                <w:shd w:val="clear" w:color="auto" w:fill="FFFFFF"/>
                <w:lang w:val="es-CO"/>
              </w:rPr>
              <w:drawing>
                <wp:inline distT="0" distB="0" distL="0" distR="0" wp14:anchorId="20AB4B84" wp14:editId="546B312F">
                  <wp:extent cx="3283173" cy="1914525"/>
                  <wp:effectExtent l="0" t="0" r="0" b="0"/>
                  <wp:docPr id="1272088432" name="Imagen 2" descr="Gráfico, Gráfico en casca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 descr="Gráfico, Gráfico en cascada&#10;&#10;El contenido generado por IA puede ser incorrect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03257" cy="1926237"/>
                          </a:xfrm>
                          <a:prstGeom prst="rect">
                            <a:avLst/>
                          </a:prstGeom>
                          <a:noFill/>
                          <a:ln>
                            <a:noFill/>
                          </a:ln>
                        </pic:spPr>
                      </pic:pic>
                    </a:graphicData>
                  </a:graphic>
                </wp:inline>
              </w:drawing>
            </w:r>
          </w:p>
          <w:p w14:paraId="3E890DC9" w14:textId="77777777" w:rsidR="00167009" w:rsidRPr="00167009" w:rsidRDefault="00167009" w:rsidP="00233CB3">
            <w:pPr>
              <w:ind w:left="720"/>
              <w:jc w:val="center"/>
              <w:rPr>
                <w:rFonts w:ascii="Arial Narrow" w:hAnsi="Arial Narrow" w:cs="Arial"/>
                <w:sz w:val="24"/>
                <w:szCs w:val="24"/>
                <w:shd w:val="clear" w:color="auto" w:fill="FFFFFF"/>
                <w:lang w:val="es-CO"/>
              </w:rPr>
            </w:pPr>
            <w:r w:rsidRPr="00167009">
              <w:rPr>
                <w:rFonts w:ascii="Arial Narrow" w:hAnsi="Arial Narrow" w:cs="Arial"/>
                <w:sz w:val="24"/>
                <w:szCs w:val="24"/>
                <w:shd w:val="clear" w:color="auto" w:fill="FFFFFF"/>
                <w:lang w:val="es-CO"/>
              </w:rPr>
              <w:t>Fuente: UPME (2025)</w:t>
            </w:r>
          </w:p>
          <w:p w14:paraId="2AE2BD79" w14:textId="77777777" w:rsidR="00167009" w:rsidRDefault="00167009" w:rsidP="0048555B">
            <w:pPr>
              <w:ind w:left="720"/>
              <w:jc w:val="center"/>
              <w:rPr>
                <w:rFonts w:ascii="Arial Narrow" w:hAnsi="Arial Narrow" w:cs="Arial"/>
                <w:sz w:val="24"/>
                <w:szCs w:val="24"/>
                <w:shd w:val="clear" w:color="auto" w:fill="FFFFFF"/>
                <w:lang w:val="es-CO"/>
              </w:rPr>
            </w:pPr>
          </w:p>
          <w:p w14:paraId="6BCFE688" w14:textId="77777777" w:rsidR="0048555B" w:rsidRPr="0048555B" w:rsidRDefault="0048555B" w:rsidP="00233CB3">
            <w:pPr>
              <w:ind w:left="720"/>
              <w:jc w:val="center"/>
              <w:rPr>
                <w:rFonts w:ascii="Arial Narrow" w:hAnsi="Arial Narrow" w:cs="Arial"/>
                <w:sz w:val="24"/>
                <w:szCs w:val="24"/>
                <w:shd w:val="clear" w:color="auto" w:fill="FFFFFF"/>
              </w:rPr>
            </w:pPr>
            <w:r w:rsidRPr="0048555B">
              <w:rPr>
                <w:rFonts w:ascii="Arial Narrow" w:hAnsi="Arial Narrow" w:cs="Arial"/>
                <w:sz w:val="24"/>
                <w:szCs w:val="24"/>
                <w:shd w:val="clear" w:color="auto" w:fill="FFFFFF"/>
              </w:rPr>
              <w:t xml:space="preserve">Figura </w:t>
            </w:r>
            <w:r w:rsidRPr="0048555B">
              <w:rPr>
                <w:rFonts w:ascii="Arial Narrow" w:hAnsi="Arial Narrow" w:cs="Arial"/>
                <w:sz w:val="24"/>
                <w:szCs w:val="24"/>
                <w:shd w:val="clear" w:color="auto" w:fill="FFFFFF"/>
              </w:rPr>
              <w:fldChar w:fldCharType="begin"/>
            </w:r>
            <w:r w:rsidRPr="0048555B">
              <w:rPr>
                <w:rFonts w:ascii="Arial Narrow" w:hAnsi="Arial Narrow" w:cs="Arial"/>
                <w:sz w:val="24"/>
                <w:szCs w:val="24"/>
                <w:shd w:val="clear" w:color="auto" w:fill="FFFFFF"/>
              </w:rPr>
              <w:instrText xml:space="preserve"> SEQ Figura \* ARABIC </w:instrText>
            </w:r>
            <w:r w:rsidRPr="0048555B">
              <w:rPr>
                <w:rFonts w:ascii="Arial Narrow" w:hAnsi="Arial Narrow" w:cs="Arial"/>
                <w:sz w:val="24"/>
                <w:szCs w:val="24"/>
                <w:shd w:val="clear" w:color="auto" w:fill="FFFFFF"/>
              </w:rPr>
              <w:fldChar w:fldCharType="separate"/>
            </w:r>
            <w:r w:rsidRPr="0048555B">
              <w:rPr>
                <w:rFonts w:ascii="Arial Narrow" w:hAnsi="Arial Narrow" w:cs="Arial"/>
                <w:sz w:val="24"/>
                <w:szCs w:val="24"/>
                <w:shd w:val="clear" w:color="auto" w:fill="FFFFFF"/>
              </w:rPr>
              <w:t>2</w:t>
            </w:r>
            <w:r w:rsidRPr="0048555B">
              <w:rPr>
                <w:rFonts w:ascii="Arial Narrow" w:hAnsi="Arial Narrow" w:cs="Arial"/>
                <w:sz w:val="24"/>
                <w:szCs w:val="24"/>
                <w:shd w:val="clear" w:color="auto" w:fill="FFFFFF"/>
                <w:lang w:val="es-CO"/>
              </w:rPr>
              <w:fldChar w:fldCharType="end"/>
            </w:r>
            <w:r w:rsidRPr="0048555B">
              <w:rPr>
                <w:rFonts w:ascii="Arial Narrow" w:hAnsi="Arial Narrow" w:cs="Arial"/>
                <w:sz w:val="24"/>
                <w:szCs w:val="24"/>
                <w:shd w:val="clear" w:color="auto" w:fill="FFFFFF"/>
              </w:rPr>
              <w:t>. Capacidad MW por tipo de tecnología de generación</w:t>
            </w:r>
          </w:p>
          <w:p w14:paraId="21CBEE56" w14:textId="57F6A7A2" w:rsidR="0048555B" w:rsidRPr="0048555B" w:rsidRDefault="0048555B" w:rsidP="00233CB3">
            <w:pPr>
              <w:ind w:left="720"/>
              <w:jc w:val="center"/>
              <w:rPr>
                <w:rFonts w:ascii="Arial Narrow" w:hAnsi="Arial Narrow" w:cs="Arial"/>
                <w:sz w:val="24"/>
                <w:szCs w:val="24"/>
                <w:shd w:val="clear" w:color="auto" w:fill="FFFFFF"/>
                <w:lang w:val="es-CO"/>
              </w:rPr>
            </w:pPr>
            <w:r w:rsidRPr="0048555B">
              <w:rPr>
                <w:rFonts w:ascii="Arial Narrow" w:hAnsi="Arial Narrow" w:cs="Arial"/>
                <w:noProof/>
                <w:sz w:val="24"/>
                <w:szCs w:val="24"/>
                <w:shd w:val="clear" w:color="auto" w:fill="FFFFFF"/>
                <w:lang w:val="es-CO"/>
              </w:rPr>
              <w:drawing>
                <wp:inline distT="0" distB="0" distL="0" distR="0" wp14:anchorId="2E25663C" wp14:editId="66D6AB01">
                  <wp:extent cx="3143250" cy="1933058"/>
                  <wp:effectExtent l="0" t="0" r="0" b="0"/>
                  <wp:docPr id="1666766187" name="Imagen 6"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ng" descr="Gráfico, Gráfico de barras&#10;&#10;El contenido generado por IA puede ser incorrecto."/>
                          <pic:cNvPicPr>
                            <a:picLocks noChangeAspect="1" noChangeArrowheads="1"/>
                          </pic:cNvPicPr>
                        </pic:nvPicPr>
                        <pic:blipFill>
                          <a:blip r:embed="rId9" cstate="print">
                            <a:extLst>
                              <a:ext uri="{28A0092B-C50C-407E-A947-70E740481C1C}">
                                <a14:useLocalDpi xmlns:a14="http://schemas.microsoft.com/office/drawing/2010/main" val="0"/>
                              </a:ext>
                            </a:extLst>
                          </a:blip>
                          <a:srcRect t="4794"/>
                          <a:stretch>
                            <a:fillRect/>
                          </a:stretch>
                        </pic:blipFill>
                        <pic:spPr bwMode="auto">
                          <a:xfrm>
                            <a:off x="0" y="0"/>
                            <a:ext cx="3145562" cy="1934480"/>
                          </a:xfrm>
                          <a:prstGeom prst="rect">
                            <a:avLst/>
                          </a:prstGeom>
                          <a:noFill/>
                          <a:ln>
                            <a:noFill/>
                          </a:ln>
                        </pic:spPr>
                      </pic:pic>
                    </a:graphicData>
                  </a:graphic>
                </wp:inline>
              </w:drawing>
            </w:r>
          </w:p>
          <w:p w14:paraId="278327B2" w14:textId="77777777" w:rsidR="0048555B" w:rsidRPr="0048555B" w:rsidRDefault="0048555B" w:rsidP="00233CB3">
            <w:pPr>
              <w:ind w:left="720"/>
              <w:jc w:val="center"/>
              <w:rPr>
                <w:rFonts w:ascii="Arial Narrow" w:hAnsi="Arial Narrow" w:cs="Arial"/>
                <w:sz w:val="24"/>
                <w:szCs w:val="24"/>
                <w:shd w:val="clear" w:color="auto" w:fill="FFFFFF"/>
                <w:lang w:val="es-CO"/>
              </w:rPr>
            </w:pPr>
            <w:r w:rsidRPr="0048555B">
              <w:rPr>
                <w:rFonts w:ascii="Arial Narrow" w:hAnsi="Arial Narrow" w:cs="Arial"/>
                <w:sz w:val="24"/>
                <w:szCs w:val="24"/>
                <w:shd w:val="clear" w:color="auto" w:fill="FFFFFF"/>
                <w:lang w:val="es-CO"/>
              </w:rPr>
              <w:t>Fuente: UPME (2025)</w:t>
            </w:r>
          </w:p>
          <w:p w14:paraId="188BC64A" w14:textId="77777777" w:rsidR="0048555B" w:rsidRPr="00167009" w:rsidRDefault="0048555B" w:rsidP="00167009">
            <w:pPr>
              <w:ind w:left="720"/>
              <w:jc w:val="both"/>
              <w:rPr>
                <w:rFonts w:ascii="Arial Narrow" w:hAnsi="Arial Narrow" w:cs="Arial"/>
                <w:sz w:val="24"/>
                <w:szCs w:val="24"/>
                <w:shd w:val="clear" w:color="auto" w:fill="FFFFFF"/>
                <w:lang w:val="es-CO"/>
              </w:rPr>
            </w:pPr>
          </w:p>
          <w:p w14:paraId="23D735D6" w14:textId="77777777" w:rsidR="00072956" w:rsidRDefault="00072956" w:rsidP="00233CB3">
            <w:pPr>
              <w:jc w:val="both"/>
              <w:rPr>
                <w:rFonts w:ascii="Arial Narrow" w:hAnsi="Arial Narrow" w:cs="Arial"/>
                <w:sz w:val="24"/>
                <w:szCs w:val="24"/>
                <w:shd w:val="clear" w:color="auto" w:fill="FFFFFF"/>
                <w:lang w:val="es-CO"/>
              </w:rPr>
            </w:pPr>
          </w:p>
          <w:p w14:paraId="26D93960" w14:textId="66A2DC89" w:rsidR="00370FBB" w:rsidRDefault="00370FBB" w:rsidP="00370FBB">
            <w:pPr>
              <w:jc w:val="both"/>
              <w:rPr>
                <w:rFonts w:ascii="Arial Narrow" w:hAnsi="Arial Narrow" w:cs="Arial"/>
                <w:sz w:val="24"/>
                <w:szCs w:val="24"/>
                <w:shd w:val="clear" w:color="auto" w:fill="FFFFFF"/>
                <w:lang w:val="es-CO"/>
              </w:rPr>
            </w:pPr>
            <w:r w:rsidRPr="00233CB3">
              <w:rPr>
                <w:rFonts w:ascii="Arial Narrow" w:hAnsi="Arial Narrow" w:cs="Arial"/>
                <w:sz w:val="24"/>
                <w:szCs w:val="24"/>
                <w:shd w:val="clear" w:color="auto" w:fill="FFFFFF"/>
                <w:lang w:val="es-CO"/>
              </w:rPr>
              <w:t>Aunque en número de proyectos predominan los de generación solar, la energía eólica cobra una importancia estratégica en Colombia, al representar cerca del 22 % de la capacidad asignada dentro del potencial de Fuentes No Convencionales de Energía Renovable (FNCER). Además, los proyectos eólicos muestran una eficiencia territorial notable: la relación entre el área intervenida y la energía producida es especialmente favorable, ya que los aerogeneradores ocupan una superficie reducida respecto a la generación eléctrica que aportan.</w:t>
            </w:r>
            <w:r>
              <w:rPr>
                <w:rFonts w:ascii="Arial Narrow" w:hAnsi="Arial Narrow" w:cs="Arial"/>
                <w:sz w:val="24"/>
                <w:szCs w:val="24"/>
                <w:shd w:val="clear" w:color="auto" w:fill="FFFFFF"/>
                <w:lang w:val="es-CO"/>
              </w:rPr>
              <w:t xml:space="preserve"> </w:t>
            </w:r>
            <w:r w:rsidRPr="00233CB3">
              <w:rPr>
                <w:rFonts w:ascii="Arial Narrow" w:hAnsi="Arial Narrow" w:cs="Arial"/>
                <w:sz w:val="24"/>
                <w:szCs w:val="24"/>
                <w:shd w:val="clear" w:color="auto" w:fill="FFFFFF"/>
                <w:lang w:val="es-CO"/>
              </w:rPr>
              <w:t>A pesar de este potencial, en 2022 la capacidad instalada real de energía eólica en Colombia era apenas de unos 19,5 MW, lo que equivale a apenas el 0,1 % del potencial teórico estimado (21 GW en La Guajira)</w:t>
            </w:r>
            <w:r>
              <w:rPr>
                <w:rFonts w:ascii="Arial Narrow" w:hAnsi="Arial Narrow" w:cs="Arial"/>
                <w:sz w:val="24"/>
                <w:szCs w:val="24"/>
                <w:shd w:val="clear" w:color="auto" w:fill="FFFFFF"/>
                <w:lang w:val="es-CO"/>
              </w:rPr>
              <w:t xml:space="preserve">. </w:t>
            </w:r>
            <w:r w:rsidRPr="00233CB3">
              <w:rPr>
                <w:rFonts w:ascii="Arial Narrow" w:hAnsi="Arial Narrow" w:cs="Arial"/>
                <w:sz w:val="24"/>
                <w:szCs w:val="24"/>
                <w:shd w:val="clear" w:color="auto" w:fill="FFFFFF"/>
                <w:lang w:val="es-CO"/>
              </w:rPr>
              <w:t>Hacia 2024, la instalación combinada de solar y eólica alcanzó solo el 9 % de la matriz eléctrica total, aunque con un acelerado crecimiento solar como principal impulsor</w:t>
            </w:r>
            <w:r>
              <w:rPr>
                <w:rFonts w:ascii="Arial Narrow" w:hAnsi="Arial Narrow" w:cs="Arial"/>
                <w:sz w:val="24"/>
                <w:szCs w:val="24"/>
                <w:shd w:val="clear" w:color="auto" w:fill="FFFFFF"/>
                <w:lang w:val="es-CO"/>
              </w:rPr>
              <w:t>.</w:t>
            </w:r>
          </w:p>
          <w:p w14:paraId="46390AE0" w14:textId="77777777" w:rsidR="00370FBB" w:rsidRPr="00370FBB" w:rsidRDefault="00370FBB" w:rsidP="00233CB3">
            <w:pPr>
              <w:jc w:val="both"/>
              <w:rPr>
                <w:rFonts w:ascii="Arial Narrow" w:hAnsi="Arial Narrow" w:cs="Arial"/>
                <w:sz w:val="24"/>
                <w:szCs w:val="24"/>
                <w:shd w:val="clear" w:color="auto" w:fill="FFFFFF"/>
                <w:lang w:val="es-CO"/>
              </w:rPr>
            </w:pPr>
          </w:p>
          <w:p w14:paraId="767AD0F8" w14:textId="13DE8C7A" w:rsidR="00370FBB" w:rsidRDefault="00370FBB" w:rsidP="00370FBB">
            <w:pPr>
              <w:jc w:val="both"/>
              <w:rPr>
                <w:rFonts w:ascii="Arial Narrow" w:hAnsi="Arial Narrow" w:cs="Arial"/>
                <w:sz w:val="24"/>
                <w:szCs w:val="24"/>
                <w:shd w:val="clear" w:color="auto" w:fill="FFFFFF"/>
                <w:lang w:val="es-CO"/>
              </w:rPr>
            </w:pPr>
            <w:r w:rsidRPr="00233CB3">
              <w:rPr>
                <w:rFonts w:ascii="Arial Narrow" w:hAnsi="Arial Narrow" w:cs="Arial"/>
                <w:sz w:val="24"/>
                <w:szCs w:val="24"/>
                <w:shd w:val="clear" w:color="auto" w:fill="FFFFFF"/>
                <w:lang w:val="es-CO"/>
              </w:rPr>
              <w:t>De cara al futuro, en el Plan Indicativo de Expansión de la Generación 2023–2037, la UPME proyecta que las fuentes no convencionales (entre ellas solar y eólica) incrementarán su participación en la matriz de generación de aproximadamente el 2 % actual hasta alcanzar entre el 37 % y 45 % en 2037</w:t>
            </w:r>
            <w:r w:rsidR="00056EDA">
              <w:rPr>
                <w:rFonts w:ascii="Arial Narrow" w:hAnsi="Arial Narrow" w:cs="Arial"/>
                <w:sz w:val="24"/>
                <w:szCs w:val="24"/>
                <w:shd w:val="clear" w:color="auto" w:fill="FFFFFF"/>
                <w:lang w:val="es-CO"/>
              </w:rPr>
              <w:t xml:space="preserve">. </w:t>
            </w:r>
            <w:r w:rsidRPr="00233CB3">
              <w:rPr>
                <w:rFonts w:ascii="Arial Narrow" w:hAnsi="Arial Narrow" w:cs="Arial"/>
                <w:sz w:val="24"/>
                <w:szCs w:val="24"/>
                <w:shd w:val="clear" w:color="auto" w:fill="FFFFFF"/>
                <w:lang w:val="es-CO"/>
              </w:rPr>
              <w:t>Dentro de esta transición, el potencial eólico supera al solar según estimaciones de potencial (21 GW frente a 30 GW nacional en total), lo que refuerza la conveniencia de implementar políticas efectivas de regulación, incentivo y control para su desarrollo responsable</w:t>
            </w:r>
            <w:r w:rsidR="00056EDA">
              <w:rPr>
                <w:rFonts w:ascii="Arial Narrow" w:hAnsi="Arial Narrow" w:cs="Arial"/>
                <w:sz w:val="24"/>
                <w:szCs w:val="24"/>
                <w:shd w:val="clear" w:color="auto" w:fill="FFFFFF"/>
                <w:lang w:val="es-CO"/>
              </w:rPr>
              <w:t>.</w:t>
            </w:r>
          </w:p>
          <w:p w14:paraId="4C18F58B" w14:textId="77777777" w:rsidR="00056EDA" w:rsidRPr="00370FBB" w:rsidRDefault="00056EDA" w:rsidP="00233CB3">
            <w:pPr>
              <w:jc w:val="both"/>
              <w:rPr>
                <w:rFonts w:ascii="Arial Narrow" w:hAnsi="Arial Narrow" w:cs="Arial"/>
                <w:sz w:val="24"/>
                <w:szCs w:val="24"/>
                <w:shd w:val="clear" w:color="auto" w:fill="FFFFFF"/>
                <w:lang w:val="es-CO"/>
              </w:rPr>
            </w:pPr>
          </w:p>
          <w:p w14:paraId="3498B703"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el marco de los compromisos nacionales e internacionales para la mitigación del cambio climático y la transición energética, el Estado colombiano ha promovido el desarrollo de fuentes no convencionales de energía renovable (FNCER), entre ellas, la energía eólica. No obstante, el marco normativo actual en materia de licenciamiento ambiental no diferencia entre proyectos de distintas escalas o niveles de sensibilidad ambiental del territorio, lo cual ha generado trámites innecesariamente complejos para proyectos con bajo impacto, afectando la oportunidad en el desarrollo de estas iniciativas.</w:t>
            </w:r>
          </w:p>
          <w:p w14:paraId="61B1B8CB" w14:textId="77777777" w:rsidR="00072956" w:rsidRPr="000B180A" w:rsidRDefault="00072956" w:rsidP="007F5995">
            <w:pPr>
              <w:jc w:val="both"/>
              <w:rPr>
                <w:rFonts w:ascii="Arial Narrow" w:hAnsi="Arial Narrow" w:cs="Arial"/>
                <w:sz w:val="24"/>
                <w:szCs w:val="24"/>
                <w:shd w:val="clear" w:color="auto" w:fill="FFFFFF"/>
                <w:lang w:val="es-CO"/>
              </w:rPr>
            </w:pPr>
          </w:p>
          <w:p w14:paraId="7A0B2141"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consecuencia, se hace necesario establecer un régimen diferencial de licenciamiento ambiental, aplicable a proyectos de generación de energía eólica con capacidad instalada entre 10 y 100 megavatios (MW), cuando estos se ubiquen en áreas previamente identificadas que, conforme a los requisitos establecidos en el decreto, no generan afectaciones significativas sobre el medio ambiente, al no ubicarse ni intervenir en condiciones territoriales o ecosistémicas especialmente sensibles, bajo condiciones técnicas, ambientales y procedimentales claras. Este régimen busca reducir las cargas innecesarias para el Estado y los desarrolladores, sin disminuir los estándares de protección ambiental.</w:t>
            </w:r>
          </w:p>
          <w:p w14:paraId="1807AED4" w14:textId="77777777" w:rsidR="00072956" w:rsidRPr="000B180A" w:rsidRDefault="00072956" w:rsidP="007F5995">
            <w:pPr>
              <w:jc w:val="both"/>
              <w:rPr>
                <w:rFonts w:ascii="Arial Narrow" w:hAnsi="Arial Narrow" w:cs="Arial"/>
                <w:sz w:val="24"/>
                <w:szCs w:val="24"/>
                <w:shd w:val="clear" w:color="auto" w:fill="FFFFFF"/>
                <w:lang w:val="es-CO"/>
              </w:rPr>
            </w:pPr>
          </w:p>
          <w:p w14:paraId="79CACA5D"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implementación de un procedimiento de licenciamiento ambiental racionalizado para proyectos de generación de energía eólica no configura una afectación a la libre competencia, toda vez que no implica un tratamiento preferencial arbitrario ni una restricción al acceso de otros agentes al mercado de generación energética. Por el contrario, responde a criterios objetivos, técnicos y ambientales, basados en las características particulares de esta fuente, tales como su bajo impacto relativo sobre los recursos naturales, la menor complejidad de sus instalaciones y su localización frecuente en zonas que, conforme a los requisitos establecidos en el decreto, no generan afectaciones significativas sobre el medio ambiente, al no ubicarse ni intervenir en condiciones territoriales o ecosistémicas especialmente sensibles. Esta medida busca optimizar la gestión ambiental sin alterar las condiciones del mercado, promoviendo la eficiencia regulatoria y reduciendo cargas administrativas cuando el riesgo ambiental es limitado. De hecho, este decreto pretende ser el pionero, de otra serie de decretos relacionados para la optimización de la licencia para el sector energético, como la eólica o la actividad de transmisión, bajo estándares de eficiencia energética.</w:t>
            </w:r>
          </w:p>
          <w:p w14:paraId="73C23955" w14:textId="77777777" w:rsidR="00072956" w:rsidRPr="000B180A" w:rsidRDefault="00072956" w:rsidP="007F5995">
            <w:pPr>
              <w:jc w:val="both"/>
              <w:rPr>
                <w:rFonts w:ascii="Arial Narrow" w:hAnsi="Arial Narrow" w:cs="Arial"/>
                <w:sz w:val="24"/>
                <w:szCs w:val="24"/>
                <w:shd w:val="clear" w:color="auto" w:fill="FFFFFF"/>
                <w:lang w:val="es-CO"/>
              </w:rPr>
            </w:pPr>
          </w:p>
          <w:p w14:paraId="7D1E7347" w14:textId="77777777" w:rsidR="00072956" w:rsidRPr="000B180A" w:rsidRDefault="00072956" w:rsidP="007F5995">
            <w:pPr>
              <w:numPr>
                <w:ilvl w:val="0"/>
                <w:numId w:val="10"/>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Competencia de la Autoridad Nacional de Licencias Ambientales (ANLA)</w:t>
            </w:r>
          </w:p>
          <w:p w14:paraId="14395F4F" w14:textId="77777777" w:rsidR="00072956" w:rsidRPr="000B180A" w:rsidRDefault="00072956" w:rsidP="007F5995">
            <w:pPr>
              <w:jc w:val="both"/>
              <w:rPr>
                <w:rFonts w:ascii="Arial Narrow" w:hAnsi="Arial Narrow" w:cs="Arial"/>
                <w:sz w:val="24"/>
                <w:szCs w:val="24"/>
                <w:shd w:val="clear" w:color="auto" w:fill="FFFFFF"/>
                <w:lang w:val="es-CO"/>
              </w:rPr>
            </w:pPr>
          </w:p>
          <w:p w14:paraId="780A1E8E"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artículo 52 de la Ley 99 de 1993 establece que corresponde al Ministerio de Ambiente y Desarrollo Sostenible otorgar licencias ambientales para proyectos como centrales de generación eléctrica con más de 100.000 kW de capacidad instalada y proyectos de exploración y uso de fuentes de energía alternativa virtualmente contaminantes, sin definir umbrales que dividan competencias entre autoridades nacionales y regionales.</w:t>
            </w:r>
          </w:p>
          <w:p w14:paraId="37432B04" w14:textId="77777777" w:rsidR="00072956" w:rsidRPr="000B180A" w:rsidRDefault="00072956" w:rsidP="007F5995">
            <w:pPr>
              <w:pStyle w:val="NormalWeb"/>
              <w:jc w:val="both"/>
              <w:rPr>
                <w:rFonts w:ascii="Arial Narrow" w:eastAsia="Times New Roman" w:hAnsi="Arial Narrow" w:cs="Arial"/>
                <w:shd w:val="clear" w:color="auto" w:fill="FFFFFF"/>
                <w:lang w:val="es-CO"/>
              </w:rPr>
            </w:pPr>
            <w:r w:rsidRPr="000B180A">
              <w:rPr>
                <w:rFonts w:ascii="Arial Narrow" w:eastAsia="Times New Roman" w:hAnsi="Arial Narrow" w:cs="Arial"/>
                <w:shd w:val="clear" w:color="auto" w:fill="FFFFFF"/>
                <w:lang w:val="es-CO"/>
              </w:rPr>
              <w:t>El artículo 53 de la misma ley faculta al Gobierno Nacional para reglamentar los casos en que las Corporaciones Autónomas Regionales otorgarán licencias y definir cuándo se requerirá estudio de impacto ambiental o diagnóstico ambiental de alternativas.</w:t>
            </w:r>
          </w:p>
          <w:p w14:paraId="26D614FE" w14:textId="77777777" w:rsidR="00072956" w:rsidRPr="000B180A" w:rsidRDefault="00072956" w:rsidP="007F5995">
            <w:pPr>
              <w:pStyle w:val="NormalWeb"/>
              <w:jc w:val="both"/>
              <w:rPr>
                <w:rFonts w:ascii="Arial Narrow" w:eastAsia="Times New Roman" w:hAnsi="Arial Narrow" w:cs="Arial"/>
                <w:shd w:val="clear" w:color="auto" w:fill="FFFFFF"/>
                <w:lang w:val="es-CO"/>
              </w:rPr>
            </w:pPr>
            <w:r w:rsidRPr="000B180A">
              <w:rPr>
                <w:rFonts w:ascii="Arial Narrow" w:eastAsia="Times New Roman" w:hAnsi="Arial Narrow" w:cs="Arial"/>
                <w:shd w:val="clear" w:color="auto" w:fill="FFFFFF"/>
                <w:lang w:val="es-CO"/>
              </w:rPr>
              <w:t>Posteriormente, el Decreto 3573 de 2011 creó la ANLA como entidad encargada de evaluar y decidir sobre licencias, permisos y trámites ambientales de competencia del Ministerio, garantizando el cumplimiento de la normativa ambiental y promoviendo el desarrollo sostenible (arts. 2 y 3).</w:t>
            </w:r>
          </w:p>
          <w:p w14:paraId="7DF01442" w14:textId="77777777" w:rsidR="00072956" w:rsidRPr="000B180A" w:rsidRDefault="00072956" w:rsidP="007F5995">
            <w:pPr>
              <w:pStyle w:val="NormalWeb"/>
              <w:jc w:val="both"/>
              <w:rPr>
                <w:rFonts w:ascii="Arial Narrow" w:eastAsia="Times New Roman" w:hAnsi="Arial Narrow" w:cs="Arial"/>
                <w:shd w:val="clear" w:color="auto" w:fill="FFFFFF"/>
                <w:lang w:val="es-CO"/>
              </w:rPr>
            </w:pPr>
            <w:r w:rsidRPr="000B180A">
              <w:rPr>
                <w:rFonts w:ascii="Arial Narrow" w:eastAsia="Times New Roman" w:hAnsi="Arial Narrow" w:cs="Arial"/>
                <w:shd w:val="clear" w:color="auto" w:fill="FFFFFF"/>
                <w:lang w:val="es-CO"/>
              </w:rPr>
              <w:t>La ANLA desempeña un papel clave en la planeación y desarrollo territorial al evaluar proyectos con potencial impacto ambiental, asegurando la aplicación de la normativa y la mitigación de impactos negativos. En los últimos años, la ANLA ha fortalecido su capacidad técnica e institucional, con un promedio de respuesta de 90 días en evaluaciones, mediante instrumentos creados para optimizar y gestionar los tramites, tales como:</w:t>
            </w:r>
          </w:p>
          <w:p w14:paraId="7E462CD2" w14:textId="77777777" w:rsidR="00072956" w:rsidRPr="000B180A" w:rsidRDefault="00072956" w:rsidP="007F5995">
            <w:pPr>
              <w:numPr>
                <w:ilvl w:val="0"/>
                <w:numId w:val="11"/>
              </w:numPr>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Obligaciones mínimas: estandariza los requerimientos legales por tipo de proyecto. </w:t>
            </w:r>
          </w:p>
          <w:p w14:paraId="65327670" w14:textId="77777777" w:rsidR="00072956" w:rsidRPr="000B180A" w:rsidRDefault="00072956" w:rsidP="007F5995">
            <w:pPr>
              <w:numPr>
                <w:ilvl w:val="0"/>
                <w:numId w:val="11"/>
              </w:numPr>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Jerarquización de impactos: facilita la visualización de impactos acumulativos. </w:t>
            </w:r>
          </w:p>
          <w:p w14:paraId="5BF69428" w14:textId="77777777" w:rsidR="00072956" w:rsidRPr="000B180A" w:rsidRDefault="00072956" w:rsidP="007F5995">
            <w:pPr>
              <w:numPr>
                <w:ilvl w:val="0"/>
                <w:numId w:val="11"/>
              </w:numPr>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Índice de Desempeño Ambiental (IDA): mide el cumplimiento ambiental de los proyectos activos. </w:t>
            </w:r>
          </w:p>
          <w:p w14:paraId="1D9EAAD5" w14:textId="77777777" w:rsidR="00072956" w:rsidRPr="000B180A" w:rsidRDefault="00072956" w:rsidP="007F5995">
            <w:pPr>
              <w:numPr>
                <w:ilvl w:val="0"/>
                <w:numId w:val="11"/>
              </w:numPr>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Seguimiento documental espacial: permite detectar cambios en el área de influencia de los proyectos. </w:t>
            </w:r>
          </w:p>
          <w:p w14:paraId="6B0C8139" w14:textId="77777777" w:rsidR="00072956" w:rsidRPr="000B180A" w:rsidRDefault="00072956" w:rsidP="007F5995">
            <w:pPr>
              <w:numPr>
                <w:ilvl w:val="0"/>
                <w:numId w:val="11"/>
              </w:numPr>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Plataforma AGIL: integra información geográfica relevante para la evaluación de proyectos. </w:t>
            </w:r>
          </w:p>
          <w:p w14:paraId="59C64B5C" w14:textId="77777777" w:rsidR="00072956" w:rsidRPr="000B180A" w:rsidRDefault="00072956" w:rsidP="007F5995">
            <w:pPr>
              <w:spacing w:before="100" w:beforeAutospacing="1" w:after="100" w:afterAutospacing="1"/>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Además, la ANLA realiza análisis regionales que aportan una visión integrada del territorio con base en tres líneas de acción:</w:t>
            </w:r>
          </w:p>
          <w:p w14:paraId="2745F8BE" w14:textId="77777777" w:rsidR="00072956" w:rsidRPr="000B180A" w:rsidRDefault="00072956" w:rsidP="007F5995">
            <w:pPr>
              <w:numPr>
                <w:ilvl w:val="0"/>
                <w:numId w:val="12"/>
              </w:numPr>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Sensibilidad ambiental regional: evalúa la criticidad biofísica y socioeconómica del territorio.</w:t>
            </w:r>
          </w:p>
          <w:p w14:paraId="42644F37" w14:textId="77777777" w:rsidR="00072956" w:rsidRPr="000B180A" w:rsidRDefault="00072956" w:rsidP="007F5995">
            <w:pPr>
              <w:numPr>
                <w:ilvl w:val="0"/>
                <w:numId w:val="12"/>
              </w:numPr>
              <w:spacing w:before="100" w:beforeAutospacing="1" w:after="100" w:afterAutospacing="1"/>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Análisis socioambiental regional: genera alertas sobre presión y estado de los recursos.</w:t>
            </w:r>
          </w:p>
          <w:p w14:paraId="1D3FC1AE" w14:textId="77777777" w:rsidR="00072956" w:rsidRPr="000B180A" w:rsidRDefault="00072956" w:rsidP="007F5995">
            <w:pPr>
              <w:numPr>
                <w:ilvl w:val="0"/>
                <w:numId w:val="12"/>
              </w:numPr>
              <w:spacing w:before="100" w:beforeAutospacing="1" w:after="100" w:afterAutospacing="1"/>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Reportes de alertas regionales: informan sobre el estado de los recursos naturales frente al desarrollo de proyectos. </w:t>
            </w:r>
          </w:p>
          <w:p w14:paraId="31F5FBBD" w14:textId="77777777" w:rsidR="00072956" w:rsidRPr="000B180A" w:rsidRDefault="00072956" w:rsidP="007F5995">
            <w:pPr>
              <w:pStyle w:val="NormalWeb"/>
              <w:jc w:val="both"/>
              <w:rPr>
                <w:rFonts w:ascii="Arial Narrow" w:eastAsia="Times New Roman" w:hAnsi="Arial Narrow" w:cs="Arial"/>
                <w:shd w:val="clear" w:color="auto" w:fill="FFFFFF"/>
                <w:lang w:val="es-CO"/>
              </w:rPr>
            </w:pPr>
            <w:r w:rsidRPr="000B180A">
              <w:rPr>
                <w:rFonts w:ascii="Arial Narrow" w:eastAsia="Times New Roman" w:hAnsi="Arial Narrow" w:cs="Arial"/>
                <w:shd w:val="clear" w:color="auto" w:fill="FFFFFF"/>
                <w:lang w:val="es-CO"/>
              </w:rPr>
              <w:t>Estas herramientas permiten a la ANLA tener una visión integral del territorio, identificar impactos acumulativos, mejorar la calidad de los estudios de impacto ambiental y tomar decisiones informadas en el proceso de licenciamiento, especialmente en proyectos FNCER. La Autoridad Nacional de Licencias Ambientales cuenta con un respaldo institucional robusto que la faculta para asumir con solvencia técnica, administrativa y operativa la evaluación y el otorgamiento de licencias ambientales racionalizadas para proyectos de generación de energía eólica entre 10 y 100 MW en zonas que, conforme a los requisitos establecidos en el decreto, no generan afectaciones significativas sobre el medio ambiente, al no ubicarse ni intervenir en condiciones territoriales o ecosistémicas especialmente sensibles. Esta entidad ha consolidado una arquitectura institucional moderna, basada en sistemas de gestión de calidad, herramientas tecnológicas de análisis espacial, metodologías estandarizadas para la evaluación de impactos, y plataformas como AGIL y el Centro de Monitoreo, que permiten la trazabilidad, transparencia y eficiencia en el proceso de licenciamiento. Además, dispone de un equipo técnico interdisciplinario con experiencia comprobada en el análisis de proyectos complejos, así como de mecanismos de monitoreo ambiental continuo y reportes de sensibilidad regional, que aseguran decisiones informadas y ajustadas a los principios de desarrollo sostenible. Todo lo anterior demuestra que la ANLA no solo tiene la competencia legal, sino también la capacidad operativa e institucional necesaria para implementar un procedimiento racionalizado riguroso y eficaz, sin comprometer la calidad de la evaluación ambiental ni los derechos de las comunidades y del entorno natural.</w:t>
            </w:r>
          </w:p>
          <w:p w14:paraId="44C75F19" w14:textId="77777777" w:rsidR="00072956" w:rsidRPr="000B180A" w:rsidRDefault="00072956" w:rsidP="007F5995">
            <w:pPr>
              <w:pStyle w:val="NormalWeb"/>
              <w:jc w:val="both"/>
              <w:rPr>
                <w:rFonts w:ascii="Arial Narrow" w:eastAsia="Times New Roman" w:hAnsi="Arial Narrow" w:cs="Arial"/>
                <w:shd w:val="clear" w:color="auto" w:fill="FFFFFF"/>
                <w:lang w:val="es-CO"/>
              </w:rPr>
            </w:pPr>
            <w:r w:rsidRPr="000B180A">
              <w:rPr>
                <w:rFonts w:ascii="Arial Narrow" w:eastAsia="Times New Roman" w:hAnsi="Arial Narrow" w:cs="Arial"/>
                <w:shd w:val="clear" w:color="auto" w:fill="FFFFFF"/>
                <w:lang w:val="es-CO"/>
              </w:rPr>
              <w:t xml:space="preserve">En este contexto, se concluye que el Ministerio de Ambiente y Desarrollo Sostenible es competente para definir que la ANLA actúe como autoridad ambiental responsable del otorgamiento de licencias ambientales racionalizadas para proyectos de generación de energía eólica ubicados en zonas que, conforme a los requisitos establecidos en el decreto, no generan afectaciones significativas sobre el medio ambiente, al no ubicarse ni intervenir en condiciones territoriales o ecosistémicas especialmente sensibles. </w:t>
            </w:r>
          </w:p>
          <w:p w14:paraId="2F9808F7" w14:textId="77777777" w:rsidR="00072956" w:rsidRPr="000B180A" w:rsidRDefault="00072956" w:rsidP="007F5995">
            <w:pPr>
              <w:pStyle w:val="NormalWeb"/>
              <w:jc w:val="both"/>
              <w:rPr>
                <w:rFonts w:ascii="Arial Narrow" w:eastAsia="Times New Roman" w:hAnsi="Arial Narrow" w:cs="Arial"/>
                <w:shd w:val="clear" w:color="auto" w:fill="FFFFFF"/>
                <w:lang w:val="es-CO"/>
              </w:rPr>
            </w:pPr>
            <w:r w:rsidRPr="000B180A">
              <w:rPr>
                <w:rFonts w:ascii="Arial Narrow" w:eastAsia="Times New Roman" w:hAnsi="Arial Narrow" w:cs="Arial"/>
                <w:shd w:val="clear" w:color="auto" w:fill="FFFFFF"/>
                <w:lang w:val="es-CO"/>
              </w:rPr>
              <w:t>Esta medida no implica un vaciamiento de competencias de las Corporaciones Autónomas Regionales, ya que estas conservarán su facultad para otorgar licencias ambientales a los demás proyectos de generación a partir de fuentes convencionales de energía, así como a los proyectos de energía eólica en una capacidad de generación entre 10 y 50 MW que no cumplan con los requisitos para acceder a la licencia racionalizada. Además, las corporaciones continúan con su competencia para expedir los permisos, autorizaciones y concesiones relacionados con el uso y aprovechamiento de los recursos naturales renovables, particularmente las que se necesiten para proyectos de FNCER en una capacidad de generación hasta 10MW. Esta distribución de competencias responde a criterios de eficiencia institucional, especialización técnica y adecuada gestión ambiental en los territorios.</w:t>
            </w:r>
          </w:p>
          <w:p w14:paraId="769CBF1F" w14:textId="77777777" w:rsidR="00072956" w:rsidRPr="000B180A" w:rsidRDefault="00072956" w:rsidP="007F5995">
            <w:pPr>
              <w:spacing w:before="240" w:after="240"/>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De acuerdo con la información suministrada por SER Colombia, agremiación del sector de desarrolladores de energías renovables, se ha identificado que algunas solicitudes de licenciamiento ambiental para proyectos de generación de energías renovables no convencionales presentadas ante las Corporaciones Autónomas Regionales pueden enfrentar demoras significativas, que en ciertos casos alcanzan hasta 1100 días, pese a que la Ley 99 de 1993 establece un término de 90 días calendario para este tipo de trámites. La Procuraduría General de la Nación, en un análisis que ha realizado y hecho público en julio de 2025 sobre 76 trámites referidos a FNCER vigentes a enero de 2025 en estas Corporaciones, ha identificado que el promedio de días de dichos trámites es 800, con lo cual queda en evidencia la dilación y retraso en la implementación de los proyectos de la transición energética. </w:t>
            </w:r>
          </w:p>
          <w:p w14:paraId="765D0ED4" w14:textId="77777777" w:rsidR="00072956" w:rsidRPr="000B180A" w:rsidRDefault="00072956" w:rsidP="007F5995">
            <w:pPr>
              <w:spacing w:before="240" w:after="240"/>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Este panorama plantea un desafío importante para el cumplimiento de las metas nacionales en materia de transición energética y desarrollo sostenible. En este contexto, resulta valioso destacar la experiencia positiva de la Autoridad Nacional de Licencias Ambientales (ANLA), entidad que ha logrado cumplir con más del 97% de los términos legales establecidos en sus procesos de evaluación y que a mediados de 2025 logró un cumplimiento del 100%. Este resultado ha sido posible gracias a la implementación de estrategias administrativas en términos de la reorganización de los grupos de trabajo especializado, técnicas y operativas respecto a los procesos de evaluación, así como la creciente implementación de herramientas tecnológicas que fortalecen el seguimiento, control y gestión de los expedientes. Estas buenas prácticas sirven como referente para fortalecer las capacidades institucionales y promover una mayor articulación entre las autoridades ambientales, en beneficio de una gestión más eficiente, oportuna y técnica del licenciamiento ambiental en todo el país, sin comprometer los estándares de protección ambiental.</w:t>
            </w:r>
          </w:p>
          <w:p w14:paraId="6B0EE3E8" w14:textId="77777777" w:rsidR="00072956" w:rsidRPr="000B180A" w:rsidRDefault="00072956" w:rsidP="007F5995">
            <w:pPr>
              <w:spacing w:before="240" w:after="240"/>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Desde 2019, la ANLA ha mejorado paulatinamente en responder dentro de los términos oportunos las solicitudes que se le presenta hasta alcanzar un 100% de efectividad en la actualidad: entre </w:t>
            </w:r>
            <w:r w:rsidRPr="000B180A">
              <w:rPr>
                <w:rFonts w:ascii="Arial Narrow" w:hAnsi="Arial Narrow" w:cs="Arial"/>
                <w:sz w:val="24"/>
                <w:szCs w:val="24"/>
                <w:shd w:val="clear" w:color="auto" w:fill="FFFFFF"/>
              </w:rPr>
              <w:t>2020–2021 el cumplimiento promedio fue 93,5 % , entre 2022–2024 el cumplimiento tuvo niveles superiores al 95 %; y, finalmente, a junio de 2025 el cumplimiento es de  100 %.</w:t>
            </w:r>
          </w:p>
          <w:p w14:paraId="354A3617"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creación del Centro de Monitoreo del Estado de los Recursos Naturales (CMRN) representa uno de los avances más significativos en la transformación institucional de la Autoridad Nacional de Licencias Ambientales – ANLA, en tanto ha habilitado a la entidad para transitar hacia un modelo de gestión ambiental basado en el conocimiento técnico, el análisis predictivo y la toma de decisiones sustentada en datos, simulaciones y evidencia espacial.</w:t>
            </w:r>
          </w:p>
          <w:p w14:paraId="7B09DF1A" w14:textId="77777777" w:rsidR="00072956" w:rsidRPr="000B180A" w:rsidRDefault="00072956" w:rsidP="007F5995">
            <w:pPr>
              <w:jc w:val="both"/>
              <w:rPr>
                <w:rFonts w:ascii="Arial Narrow" w:hAnsi="Arial Narrow" w:cs="Arial"/>
                <w:sz w:val="24"/>
                <w:szCs w:val="24"/>
                <w:shd w:val="clear" w:color="auto" w:fill="FFFFFF"/>
                <w:lang w:val="es-CO"/>
              </w:rPr>
            </w:pPr>
          </w:p>
          <w:p w14:paraId="44C0E4FA"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CMRN no es un simple repositorio de información, sino un sistema estratégico que centraliza depura, analiza y proyecta información ambiental en múltiples dimensiones (espacial, temporal y temática), permitiendo anticipar conflictos, identificar riesgos y optimizar el proceso de evaluación, seguimiento y decisión en materia de licenciamiento ambiental. Su diseño se basó en una revisión de buenas prácticas nacionales e internacionales, y su implementación se articuló en torno a cuatro líneas fundamentales: modelación ambiental, manejo de información, algoritmos y desarrollos, y visualización de resultados.</w:t>
            </w:r>
          </w:p>
          <w:p w14:paraId="371D2077" w14:textId="77777777" w:rsidR="00072956" w:rsidRPr="000B180A" w:rsidRDefault="00072956" w:rsidP="007F5995">
            <w:pPr>
              <w:jc w:val="both"/>
              <w:rPr>
                <w:rFonts w:ascii="Arial Narrow" w:hAnsi="Arial Narrow" w:cs="Arial"/>
                <w:sz w:val="24"/>
                <w:szCs w:val="24"/>
                <w:shd w:val="clear" w:color="auto" w:fill="FFFFFF"/>
                <w:lang w:val="es-CO"/>
              </w:rPr>
            </w:pPr>
          </w:p>
          <w:p w14:paraId="7373404E"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 Optimización del manejo de información ambiental</w:t>
            </w:r>
          </w:p>
          <w:p w14:paraId="2776F0B1" w14:textId="77777777" w:rsidR="00072956" w:rsidRPr="000B180A" w:rsidRDefault="00072956" w:rsidP="007F5995">
            <w:pPr>
              <w:jc w:val="both"/>
              <w:rPr>
                <w:rFonts w:ascii="Arial Narrow" w:hAnsi="Arial Narrow" w:cs="Arial"/>
                <w:sz w:val="24"/>
                <w:szCs w:val="24"/>
                <w:shd w:val="clear" w:color="auto" w:fill="FFFFFF"/>
                <w:lang w:val="es-CO"/>
              </w:rPr>
            </w:pPr>
          </w:p>
          <w:p w14:paraId="18FC6FA0"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CMRN ha abordado una de las barreras históricas de la gestión ambiental en Colombia: la dispersión, baja interoperabilidad y escasa validación de los datos provenientes de proyectos licenciados. A través de la consolidación de la Base de Datos Corporativa (BDC) y la implementación del aplicativo AGIL, se ha estandarizado el proceso de recepción y validación de información geográfica y alfanumérica, asegurando la completitud, consistencia, topología y trazabilidad de los datos ambientales.</w:t>
            </w:r>
          </w:p>
          <w:p w14:paraId="2752FEE1" w14:textId="77777777" w:rsidR="00072956" w:rsidRPr="000B180A" w:rsidRDefault="00072956" w:rsidP="007F5995">
            <w:pPr>
              <w:jc w:val="both"/>
              <w:rPr>
                <w:rFonts w:ascii="Arial Narrow" w:hAnsi="Arial Narrow" w:cs="Arial"/>
                <w:sz w:val="24"/>
                <w:szCs w:val="24"/>
                <w:shd w:val="clear" w:color="auto" w:fill="FFFFFF"/>
                <w:lang w:val="es-CO"/>
              </w:rPr>
            </w:pPr>
          </w:p>
          <w:p w14:paraId="3608C898"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Este sistema se complementa con herramientas como la asignación del ID ANLA, que permite la trazabilidad unívoca de cada permiso u obligación asociada, y el desarrollo del Sistema Gestor de Permisos y Obligaciones (SGPO) que permite una gestión integral y automatizada de todo el ciclo de vida de los permisos, desde su imposición hasta su cierre.</w:t>
            </w:r>
          </w:p>
          <w:p w14:paraId="0A04344E" w14:textId="77777777" w:rsidR="00072956" w:rsidRPr="000B180A" w:rsidRDefault="00072956" w:rsidP="007F5995">
            <w:pPr>
              <w:jc w:val="both"/>
              <w:rPr>
                <w:rFonts w:ascii="Arial Narrow" w:hAnsi="Arial Narrow" w:cs="Arial"/>
                <w:sz w:val="24"/>
                <w:szCs w:val="24"/>
                <w:shd w:val="clear" w:color="auto" w:fill="FFFFFF"/>
                <w:lang w:val="es-CO"/>
              </w:rPr>
            </w:pPr>
          </w:p>
          <w:p w14:paraId="5E5759F1"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Para los proyectos de energía eólica, que a menudo requieren caracterizaciones ambientales sobre áreas amplias, estos avances significan que los datos de cobertura de la tierra, biodiversidad, uso del suelo y sensibilidad ecosistémica estén disponibles y validados de forma ágil, favoreciendo una evaluación con mayor resolución espacial y mejor sustento técnico.</w:t>
            </w:r>
          </w:p>
          <w:p w14:paraId="582268F0" w14:textId="77777777" w:rsidR="00072956" w:rsidRPr="000B180A" w:rsidRDefault="00072956" w:rsidP="007F5995">
            <w:pPr>
              <w:jc w:val="both"/>
              <w:rPr>
                <w:rFonts w:ascii="Arial Narrow" w:hAnsi="Arial Narrow" w:cs="Arial"/>
                <w:sz w:val="24"/>
                <w:szCs w:val="24"/>
                <w:shd w:val="clear" w:color="auto" w:fill="FFFFFF"/>
                <w:lang w:val="es-CO"/>
              </w:rPr>
            </w:pPr>
          </w:p>
          <w:p w14:paraId="3B2098BA"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2. Generación de insumos técnicos de alta calidad a partir de la modelación ambiental espacial</w:t>
            </w:r>
          </w:p>
          <w:p w14:paraId="6C8FF3BB" w14:textId="77777777" w:rsidR="00072956" w:rsidRPr="000B180A" w:rsidRDefault="00072956" w:rsidP="007F5995">
            <w:pPr>
              <w:jc w:val="both"/>
              <w:rPr>
                <w:rFonts w:ascii="Arial Narrow" w:hAnsi="Arial Narrow" w:cs="Arial"/>
                <w:sz w:val="24"/>
                <w:szCs w:val="24"/>
                <w:shd w:val="clear" w:color="auto" w:fill="FFFFFF"/>
                <w:lang w:val="es-CO"/>
              </w:rPr>
            </w:pPr>
          </w:p>
          <w:p w14:paraId="698636CE"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Una de las fortalezas más notables del Centro de Monitoreo es su capacidad instalada para realizar ejercicios de modelación ambiental espacial, apoyados en software especializado (como ArcGIS, AERMOD, CALPUFF, MIKE y SoundPLAN), lenguajes de programación (R, Python), sensores remotos y sistemas de información geográfica (SIG).</w:t>
            </w:r>
          </w:p>
          <w:p w14:paraId="5CF17000" w14:textId="77777777" w:rsidR="00072956" w:rsidRPr="000B180A" w:rsidRDefault="00072956" w:rsidP="007F5995">
            <w:pPr>
              <w:jc w:val="both"/>
              <w:rPr>
                <w:rFonts w:ascii="Arial Narrow" w:hAnsi="Arial Narrow" w:cs="Arial"/>
                <w:sz w:val="24"/>
                <w:szCs w:val="24"/>
                <w:shd w:val="clear" w:color="auto" w:fill="FFFFFF"/>
                <w:lang w:val="es-CO"/>
              </w:rPr>
            </w:pPr>
          </w:p>
          <w:p w14:paraId="356290CF"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Gracias a un equipo multidisciplinario de profesionales expertos en recursos hídricos, medio biótico, atmósfera y ruido, el CMRN realiza modelaciones integradas sobre áreas regionalizadas y proyectos críticos. Estas simulaciones permiten estimar:</w:t>
            </w:r>
          </w:p>
          <w:p w14:paraId="215A22C1" w14:textId="77777777" w:rsidR="00072956" w:rsidRPr="000B180A" w:rsidRDefault="00072956" w:rsidP="007F5995">
            <w:pPr>
              <w:jc w:val="both"/>
              <w:rPr>
                <w:rFonts w:ascii="Arial Narrow" w:hAnsi="Arial Narrow" w:cs="Arial"/>
                <w:sz w:val="24"/>
                <w:szCs w:val="24"/>
                <w:shd w:val="clear" w:color="auto" w:fill="FFFFFF"/>
                <w:lang w:val="es-CO"/>
              </w:rPr>
            </w:pPr>
          </w:p>
          <w:p w14:paraId="19F3F984" w14:textId="77777777" w:rsidR="00072956" w:rsidRPr="000B180A" w:rsidRDefault="00072956" w:rsidP="007F5995">
            <w:pPr>
              <w:pStyle w:val="Prrafodelista"/>
              <w:numPr>
                <w:ilvl w:val="0"/>
                <w:numId w:val="2"/>
              </w:numPr>
              <w:spacing w:line="259" w:lineRule="auto"/>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La oferta hídrica superficial y subterránea disponible para nuevos proyectos.</w:t>
            </w:r>
          </w:p>
          <w:p w14:paraId="3FB807A8" w14:textId="77777777" w:rsidR="00072956" w:rsidRPr="000B180A" w:rsidRDefault="00072956" w:rsidP="007F5995">
            <w:pPr>
              <w:pStyle w:val="Prrafodelista"/>
              <w:numPr>
                <w:ilvl w:val="0"/>
                <w:numId w:val="2"/>
              </w:numPr>
              <w:spacing w:line="259" w:lineRule="auto"/>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Las áreas de exclusión por vulnerabilidad ecológica o contaminación potencial.</w:t>
            </w:r>
          </w:p>
          <w:p w14:paraId="120A958B" w14:textId="77777777" w:rsidR="00072956" w:rsidRPr="000B180A" w:rsidRDefault="00072956" w:rsidP="007F5995">
            <w:pPr>
              <w:pStyle w:val="Prrafodelista"/>
              <w:numPr>
                <w:ilvl w:val="0"/>
                <w:numId w:val="2"/>
              </w:numPr>
              <w:spacing w:line="259" w:lineRule="auto"/>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La dispersión de contaminantes atmosféricos como PM10 y PM2.5.</w:t>
            </w:r>
          </w:p>
          <w:p w14:paraId="3B17C359" w14:textId="77777777" w:rsidR="00072956" w:rsidRPr="000B180A" w:rsidRDefault="00072956" w:rsidP="007F5995">
            <w:pPr>
              <w:pStyle w:val="Prrafodelista"/>
              <w:numPr>
                <w:ilvl w:val="0"/>
                <w:numId w:val="2"/>
              </w:numPr>
              <w:spacing w:line="259" w:lineRule="auto"/>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La propagación del ruido y su efecto en receptores sensibles.</w:t>
            </w:r>
          </w:p>
          <w:p w14:paraId="19ADFC9C" w14:textId="77777777" w:rsidR="00072956" w:rsidRPr="000B180A" w:rsidRDefault="00072956" w:rsidP="007F5995">
            <w:pPr>
              <w:pStyle w:val="Prrafodelista"/>
              <w:numPr>
                <w:ilvl w:val="0"/>
                <w:numId w:val="2"/>
              </w:numPr>
              <w:spacing w:line="259" w:lineRule="auto"/>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La conectividad ecológica y fragmentación de hábitats.</w:t>
            </w:r>
          </w:p>
          <w:p w14:paraId="42C0A6E4" w14:textId="77777777" w:rsidR="00072956" w:rsidRPr="000B180A" w:rsidRDefault="00072956" w:rsidP="007F5995">
            <w:pPr>
              <w:pStyle w:val="Prrafodelista"/>
              <w:numPr>
                <w:ilvl w:val="0"/>
                <w:numId w:val="2"/>
              </w:numPr>
              <w:spacing w:line="259" w:lineRule="auto"/>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La respuesta ambiental a cambios de cobertura terrestre y uso del suelo.</w:t>
            </w:r>
          </w:p>
          <w:p w14:paraId="73CF57D6" w14:textId="77777777" w:rsidR="00072956" w:rsidRPr="000B180A" w:rsidRDefault="00072956" w:rsidP="007F5995">
            <w:pPr>
              <w:pStyle w:val="Prrafodelista"/>
              <w:spacing w:line="259" w:lineRule="auto"/>
              <w:rPr>
                <w:rFonts w:ascii="Arial Narrow" w:eastAsia="Times New Roman" w:hAnsi="Arial Narrow"/>
                <w:sz w:val="24"/>
                <w:szCs w:val="24"/>
                <w:shd w:val="clear" w:color="auto" w:fill="FFFFFF"/>
                <w:lang w:eastAsia="es-ES"/>
              </w:rPr>
            </w:pPr>
          </w:p>
          <w:p w14:paraId="746992DE"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Este tipo de modelaciones, especialmente las de carácter multitemporal y regional, permiten trascender el enfoque de evaluación por proyecto y pasar a un análisis acumulativo y sinérgico, fundamental para el licenciamiento de proyectos eólicos en regiones con alta densidad de desarrollos energéticos. </w:t>
            </w:r>
          </w:p>
          <w:p w14:paraId="11343EAB" w14:textId="77777777" w:rsidR="00072956" w:rsidRPr="000B180A" w:rsidRDefault="00072956" w:rsidP="007F5995">
            <w:pPr>
              <w:jc w:val="both"/>
              <w:rPr>
                <w:rFonts w:ascii="Arial Narrow" w:hAnsi="Arial Narrow" w:cs="Arial"/>
                <w:sz w:val="24"/>
                <w:szCs w:val="24"/>
                <w:shd w:val="clear" w:color="auto" w:fill="FFFFFF"/>
                <w:lang w:val="es-CO"/>
              </w:rPr>
            </w:pPr>
          </w:p>
          <w:p w14:paraId="1C54EEE1"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3. Apoyo efectivo a la toma de decisiones y fortalecimiento de la función misional</w:t>
            </w:r>
          </w:p>
          <w:p w14:paraId="015CEF88" w14:textId="77777777" w:rsidR="00072956" w:rsidRPr="000B180A" w:rsidRDefault="00072956" w:rsidP="007F5995">
            <w:pPr>
              <w:jc w:val="both"/>
              <w:rPr>
                <w:rFonts w:ascii="Arial Narrow" w:hAnsi="Arial Narrow" w:cs="Arial"/>
                <w:sz w:val="24"/>
                <w:szCs w:val="24"/>
                <w:shd w:val="clear" w:color="auto" w:fill="FFFFFF"/>
                <w:lang w:val="es-CO"/>
              </w:rPr>
            </w:pPr>
          </w:p>
          <w:p w14:paraId="655DD3F3"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CMRN ha permitido fortalecer el núcleo de la función de la ANLA: la toma de decisiones informadas, preventivas y adaptativas. Los productos de modelación, integrados en tableros de control, storymaps interactivos y reportes automatizados, se han constituido en herramientas clave para:</w:t>
            </w:r>
          </w:p>
          <w:p w14:paraId="5B98FD2D" w14:textId="77777777" w:rsidR="00072956" w:rsidRPr="000B180A" w:rsidRDefault="00072956" w:rsidP="007F5995">
            <w:pPr>
              <w:jc w:val="both"/>
              <w:rPr>
                <w:rFonts w:ascii="Arial Narrow" w:hAnsi="Arial Narrow" w:cs="Arial"/>
                <w:sz w:val="24"/>
                <w:szCs w:val="24"/>
                <w:shd w:val="clear" w:color="auto" w:fill="FFFFFF"/>
                <w:lang w:val="es-CO"/>
              </w:rPr>
            </w:pPr>
          </w:p>
          <w:p w14:paraId="17357BDF" w14:textId="77777777" w:rsidR="00072956" w:rsidRPr="000B180A" w:rsidRDefault="00072956" w:rsidP="007F5995">
            <w:pPr>
              <w:pStyle w:val="Prrafodelista"/>
              <w:numPr>
                <w:ilvl w:val="0"/>
                <w:numId w:val="2"/>
              </w:numPr>
              <w:spacing w:line="259" w:lineRule="auto"/>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Evaluar de forma más precisa los impactos esperados de nuevos proyectos.</w:t>
            </w:r>
          </w:p>
          <w:p w14:paraId="79DDC94A" w14:textId="77777777" w:rsidR="00072956" w:rsidRPr="000B180A" w:rsidRDefault="00072956" w:rsidP="007F5995">
            <w:pPr>
              <w:pStyle w:val="Prrafodelista"/>
              <w:numPr>
                <w:ilvl w:val="0"/>
                <w:numId w:val="2"/>
              </w:numPr>
              <w:spacing w:line="259" w:lineRule="auto"/>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Validar la efectividad de medidas de manejo propuestas por los proponentes.</w:t>
            </w:r>
          </w:p>
          <w:p w14:paraId="4C800D53" w14:textId="77777777" w:rsidR="00072956" w:rsidRPr="000B180A" w:rsidRDefault="00072956" w:rsidP="007F5995">
            <w:pPr>
              <w:pStyle w:val="Prrafodelista"/>
              <w:numPr>
                <w:ilvl w:val="0"/>
                <w:numId w:val="2"/>
              </w:numPr>
              <w:spacing w:line="259" w:lineRule="auto"/>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Identificar necesidades de ajustes a los diseños o áreas de intervención.</w:t>
            </w:r>
          </w:p>
          <w:p w14:paraId="678C034A" w14:textId="77777777" w:rsidR="00072956" w:rsidRPr="000B180A" w:rsidRDefault="00072956" w:rsidP="007F5995">
            <w:pPr>
              <w:pStyle w:val="Prrafodelista"/>
              <w:numPr>
                <w:ilvl w:val="0"/>
                <w:numId w:val="2"/>
              </w:numPr>
              <w:spacing w:line="259" w:lineRule="auto"/>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Sustentar técnicamente condicionamientos o restricciones en las licencias.</w:t>
            </w:r>
          </w:p>
          <w:p w14:paraId="01671B6F" w14:textId="77777777" w:rsidR="00072956" w:rsidRPr="000B180A" w:rsidRDefault="00072956" w:rsidP="007F5995">
            <w:pPr>
              <w:pStyle w:val="Prrafodelista"/>
              <w:numPr>
                <w:ilvl w:val="0"/>
                <w:numId w:val="2"/>
              </w:numPr>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Discriminar zonas aptas o no aptas para cierto tipo de desarrollos.</w:t>
            </w:r>
          </w:p>
          <w:p w14:paraId="6B9413DD" w14:textId="77777777" w:rsidR="00072956" w:rsidRPr="000B180A" w:rsidRDefault="00072956" w:rsidP="007F5995">
            <w:pPr>
              <w:pStyle w:val="Prrafodelista"/>
              <w:rPr>
                <w:rFonts w:ascii="Arial Narrow" w:eastAsia="Times New Roman" w:hAnsi="Arial Narrow"/>
                <w:sz w:val="24"/>
                <w:szCs w:val="24"/>
                <w:shd w:val="clear" w:color="auto" w:fill="FFFFFF"/>
                <w:lang w:eastAsia="es-ES"/>
              </w:rPr>
            </w:pPr>
          </w:p>
          <w:p w14:paraId="2ACAFB60"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capacidad de simular escenarios “qué pasaría si” frente a distintas variables (uso del suelo, concentración de fuentes, características ecológicas del área) mejora la objetividad, reduce la incertidumbre y permite una actuación más proactiva de la entidad. Así mismo, los tableros de control de proyectos como Cerrejón, Aeropuerto El Dorado o la subzona Alto San Jorge, han mostrado cómo la visualización de resultados fortalece la transparencia y la rendición de cuentas.</w:t>
            </w:r>
          </w:p>
          <w:p w14:paraId="481A5B14" w14:textId="77777777" w:rsidR="00072956" w:rsidRPr="000B180A" w:rsidRDefault="00072956" w:rsidP="007F5995">
            <w:pPr>
              <w:jc w:val="both"/>
              <w:rPr>
                <w:rFonts w:ascii="Arial Narrow" w:hAnsi="Arial Narrow" w:cs="Arial"/>
                <w:sz w:val="24"/>
                <w:szCs w:val="24"/>
                <w:shd w:val="clear" w:color="auto" w:fill="FFFFFF"/>
                <w:lang w:val="es-CO"/>
              </w:rPr>
            </w:pPr>
          </w:p>
          <w:p w14:paraId="3624F9DD"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 Valor agregado para el licenciamiento ambiental de proyectos eólicos</w:t>
            </w:r>
          </w:p>
          <w:p w14:paraId="439266D5" w14:textId="77777777" w:rsidR="00072956" w:rsidRPr="000B180A" w:rsidRDefault="00072956" w:rsidP="007F5995">
            <w:pPr>
              <w:jc w:val="both"/>
              <w:rPr>
                <w:rFonts w:ascii="Arial Narrow" w:hAnsi="Arial Narrow" w:cs="Arial"/>
                <w:sz w:val="24"/>
                <w:szCs w:val="24"/>
                <w:shd w:val="clear" w:color="auto" w:fill="FFFFFF"/>
                <w:lang w:val="es-CO"/>
              </w:rPr>
            </w:pPr>
          </w:p>
          <w:p w14:paraId="627FC129"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el caso específico de los proyectos de generación de energía eólica, el Centro de Monitoreo contribuye de manera directa a garantizar un licenciamiento más riguroso, rápido y territorialmente pertinente, al:</w:t>
            </w:r>
          </w:p>
          <w:p w14:paraId="5A221C2F" w14:textId="77777777" w:rsidR="00072956" w:rsidRPr="000B180A" w:rsidRDefault="00072956" w:rsidP="007F5995">
            <w:pPr>
              <w:jc w:val="both"/>
              <w:rPr>
                <w:rFonts w:ascii="Arial Narrow" w:hAnsi="Arial Narrow" w:cs="Arial"/>
                <w:sz w:val="24"/>
                <w:szCs w:val="24"/>
                <w:shd w:val="clear" w:color="auto" w:fill="FFFFFF"/>
                <w:lang w:val="es-CO"/>
              </w:rPr>
            </w:pPr>
          </w:p>
          <w:p w14:paraId="69A00C31" w14:textId="77777777" w:rsidR="00072956" w:rsidRPr="000B180A" w:rsidRDefault="00072956" w:rsidP="007F5995">
            <w:pPr>
              <w:pStyle w:val="Prrafodelista"/>
              <w:numPr>
                <w:ilvl w:val="0"/>
                <w:numId w:val="1"/>
              </w:numPr>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Identificar elementos con alta sensibilidad ambiental que deben ser evitados.</w:t>
            </w:r>
          </w:p>
          <w:p w14:paraId="3C009AD4" w14:textId="77777777" w:rsidR="00072956" w:rsidRPr="000B180A" w:rsidRDefault="00072956" w:rsidP="007F5995">
            <w:pPr>
              <w:pStyle w:val="Prrafodelista"/>
              <w:numPr>
                <w:ilvl w:val="0"/>
                <w:numId w:val="1"/>
              </w:numPr>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Evaluar de forma acumulativa el impacto de múltiples proyectos eólicos ubicados en un mismo corredor o región.</w:t>
            </w:r>
          </w:p>
          <w:p w14:paraId="7E40877C" w14:textId="77777777" w:rsidR="00072956" w:rsidRPr="000B180A" w:rsidRDefault="00072956" w:rsidP="007F5995">
            <w:pPr>
              <w:pStyle w:val="Prrafodelista"/>
              <w:numPr>
                <w:ilvl w:val="0"/>
                <w:numId w:val="1"/>
              </w:numPr>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Modelar la presión potencial sobre recursos limitados como el agua en zonas semiáridas.</w:t>
            </w:r>
          </w:p>
          <w:p w14:paraId="0C9AA366" w14:textId="77777777" w:rsidR="00072956" w:rsidRPr="000B180A" w:rsidRDefault="00072956" w:rsidP="007F5995">
            <w:pPr>
              <w:pStyle w:val="Prrafodelista"/>
              <w:numPr>
                <w:ilvl w:val="0"/>
                <w:numId w:val="1"/>
              </w:numPr>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Verificar la compatibilidad de uso del suelo, cobertura vegetal y fauna presente.</w:t>
            </w:r>
          </w:p>
          <w:p w14:paraId="237B4391" w14:textId="77777777" w:rsidR="00072956" w:rsidRPr="000B180A" w:rsidRDefault="00072956" w:rsidP="007F5995">
            <w:pPr>
              <w:pStyle w:val="Prrafodelista"/>
              <w:numPr>
                <w:ilvl w:val="0"/>
                <w:numId w:val="1"/>
              </w:numPr>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Establecer zonas con conflictos de uso y proponer condiciones diferenciadas.</w:t>
            </w:r>
          </w:p>
          <w:p w14:paraId="4ADBDE67" w14:textId="77777777" w:rsidR="00072956" w:rsidRPr="000B180A" w:rsidRDefault="00072956" w:rsidP="007F5995">
            <w:pPr>
              <w:pStyle w:val="Prrafodelista"/>
              <w:numPr>
                <w:ilvl w:val="0"/>
                <w:numId w:val="1"/>
              </w:numPr>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Evaluar los proyectos en diferentes en diferentes escenarios de ocupación del territorio.</w:t>
            </w:r>
          </w:p>
          <w:p w14:paraId="6FEFEF41" w14:textId="77777777" w:rsidR="00072956" w:rsidRPr="000B180A" w:rsidRDefault="00072956" w:rsidP="007F5995">
            <w:pPr>
              <w:pStyle w:val="Prrafodelista"/>
              <w:rPr>
                <w:rFonts w:ascii="Arial Narrow" w:eastAsia="Times New Roman" w:hAnsi="Arial Narrow"/>
                <w:sz w:val="24"/>
                <w:szCs w:val="24"/>
                <w:shd w:val="clear" w:color="auto" w:fill="FFFFFF"/>
                <w:lang w:eastAsia="es-ES"/>
              </w:rPr>
            </w:pPr>
          </w:p>
          <w:p w14:paraId="62BA88A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Adicionalmente, al integrarse con datos en tiempo real y con protocolos de interoperabilidad, el Centro permite una mejor articulación con autoridades regionales y una supervisión continua durante la fase de operación de los proyectos.</w:t>
            </w:r>
          </w:p>
          <w:p w14:paraId="291921D9" w14:textId="77777777" w:rsidR="00072956" w:rsidRPr="000B180A" w:rsidRDefault="00072956" w:rsidP="007F5995">
            <w:pPr>
              <w:jc w:val="both"/>
              <w:rPr>
                <w:rFonts w:ascii="Arial Narrow" w:hAnsi="Arial Narrow" w:cs="Arial"/>
                <w:sz w:val="24"/>
                <w:szCs w:val="24"/>
                <w:shd w:val="clear" w:color="auto" w:fill="FFFFFF"/>
                <w:lang w:val="es-CO"/>
              </w:rPr>
            </w:pPr>
          </w:p>
          <w:p w14:paraId="443437A1"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conclusión, la modernización institucional de la ANLA, a través del Centro de Monitoreo del Estado de los Recursos Naturales, ha generado un salto cualitativo en la gestión ambiental pública. Al convertir la modelación ambiental espacial en una herramienta de uso rutinario y estratégico, la entidad no solo optimiza sus tiempos de evaluación y seguimiento, sino que también mejora la calidad técnica de sus decisiones, protege de manera más efectiva los recursos naturales, y brinda mayor seguridad jurídica y técnica a los promotores de proyectos, como los del sector eólico. Se trata de una transformación digital con propósito ambiental, basada en el conocimiento y al servicio del desarrollo sostenible.</w:t>
            </w:r>
          </w:p>
          <w:p w14:paraId="2247055D" w14:textId="77777777" w:rsidR="00072956" w:rsidRPr="000B180A" w:rsidRDefault="00072956" w:rsidP="007F5995">
            <w:pPr>
              <w:jc w:val="both"/>
              <w:rPr>
                <w:rFonts w:ascii="Arial Narrow" w:hAnsi="Arial Narrow" w:cs="Arial"/>
                <w:sz w:val="24"/>
                <w:szCs w:val="24"/>
                <w:shd w:val="clear" w:color="auto" w:fill="FFFFFF"/>
                <w:lang w:val="es-CO"/>
              </w:rPr>
            </w:pPr>
          </w:p>
          <w:p w14:paraId="19A58D84" w14:textId="77777777" w:rsidR="00072956" w:rsidRPr="000B180A" w:rsidRDefault="00072956" w:rsidP="007F5995">
            <w:pPr>
              <w:numPr>
                <w:ilvl w:val="0"/>
                <w:numId w:val="9"/>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Justificación para exceptuar del trámite de sustracción el establecimiento de plantas de generación de energía eólica.</w:t>
            </w:r>
          </w:p>
          <w:p w14:paraId="7F32B46D" w14:textId="77777777" w:rsidR="00072956" w:rsidRPr="000B180A" w:rsidRDefault="00072956" w:rsidP="007F5995">
            <w:pPr>
              <w:jc w:val="both"/>
              <w:rPr>
                <w:rFonts w:ascii="Arial Narrow" w:hAnsi="Arial Narrow" w:cs="Arial"/>
                <w:sz w:val="24"/>
                <w:szCs w:val="24"/>
                <w:shd w:val="clear" w:color="auto" w:fill="FFFFFF"/>
                <w:lang w:val="es-CO"/>
              </w:rPr>
            </w:pPr>
          </w:p>
          <w:p w14:paraId="5740B1A2"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Conforme a la Ley 2da de 1959, se adoptaron zonas de reserva forestal en distintas áreas del territorio nacional, a través de la Resolución 1922 de 2013, la Resolución 1923 de 2013, la Resolución 1925 de 2013, la Resolución 1926 de 2013, la Resolución 1276 de 2014 y la Resolución 1275 de 2014, proferidas por el Ministerio de Ambiente y Desarrollo Sostenible.</w:t>
            </w:r>
          </w:p>
          <w:p w14:paraId="67EB6D64" w14:textId="77777777" w:rsidR="00072956" w:rsidRPr="000B180A" w:rsidRDefault="00072956" w:rsidP="007F5995">
            <w:pPr>
              <w:jc w:val="both"/>
              <w:rPr>
                <w:rFonts w:ascii="Arial Narrow" w:hAnsi="Arial Narrow" w:cs="Arial"/>
                <w:sz w:val="24"/>
                <w:szCs w:val="24"/>
                <w:shd w:val="clear" w:color="auto" w:fill="FFFFFF"/>
                <w:lang w:val="es-CO"/>
              </w:rPr>
            </w:pPr>
          </w:p>
          <w:p w14:paraId="4DD0717D"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De acuerdo con lo dispuesto en el parágrafo 2o del artículo 204 de la Ley 1450 de 2011, corresponde al Ministerio de Ambiente y Desarrollo Sostenible señalar las actividades que ocasionen bajo impacto ambiental y generen beneficio social, de manera tal que se pueden desarrollar en las áreas de reserva forestal, sin necesidad de efectuar la sustracción de las mismas. Así mismo, le corresponde a este Ministerio establecer las condiciones y medidas de manejo ambiental requeridas para adelantar dichas actividades.</w:t>
            </w:r>
          </w:p>
          <w:p w14:paraId="509EB248" w14:textId="77777777" w:rsidR="00072956" w:rsidRPr="000B180A" w:rsidRDefault="00072956" w:rsidP="007F5995">
            <w:pPr>
              <w:jc w:val="both"/>
              <w:rPr>
                <w:rFonts w:ascii="Arial Narrow" w:hAnsi="Arial Narrow" w:cs="Arial"/>
                <w:sz w:val="24"/>
                <w:szCs w:val="24"/>
                <w:shd w:val="clear" w:color="auto" w:fill="FFFFFF"/>
                <w:lang w:val="es-CO"/>
              </w:rPr>
            </w:pPr>
          </w:p>
          <w:p w14:paraId="732A673E"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El desarrollo de los proyectos de energía eólica, con los criterios que propone el decreto, son actividades que ocasionan bajo impacto ambiental y generan beneficio social. Además, dichas actividades contribuyen a la evitación y disminución de emisiones de gases efecto invernadero. En consecuencia, es razonable y conveniente que los proyectos de energía eólica puedan ejecutarse en zonas que, conforme a los requisitos establecidos en el decreto, no generan afectaciones significativas sobre el medio ambiente, al no ubicarse ni intervenir en condiciones territoriales o ecosistémicas especialmente sensibles bajo el amparo de una licencia ambiental. </w:t>
            </w:r>
          </w:p>
          <w:p w14:paraId="3CC7B5BA" w14:textId="77777777" w:rsidR="00072956" w:rsidRPr="000B180A" w:rsidRDefault="00072956" w:rsidP="007F5995">
            <w:pPr>
              <w:jc w:val="both"/>
              <w:rPr>
                <w:rFonts w:ascii="Arial Narrow" w:hAnsi="Arial Narrow" w:cs="Arial"/>
                <w:sz w:val="24"/>
                <w:szCs w:val="24"/>
                <w:shd w:val="clear" w:color="auto" w:fill="FFFFFF"/>
                <w:lang w:val="es-CO"/>
              </w:rPr>
            </w:pPr>
          </w:p>
          <w:p w14:paraId="54937251"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Lo anterior, siempre y cuando dichas actividades incorporen criterios tecnológicos y de diseño que garanticen su bajo impacto ambiental, tanto en fase de instalación como de operación, en coherencia con los principios de precaución, prevención y sostenibilidad.</w:t>
            </w:r>
          </w:p>
          <w:p w14:paraId="37956DC9"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     </w:t>
            </w:r>
          </w:p>
          <w:p w14:paraId="7AA1821F"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 importante destacar que los proyectos de generación de energía eólica que se ajustan a los criterios de inclusión del artículo 2.2.2.11.2 no implican un cambio en el uso del suelo y preservan la condición de reserva forestal. A continuación, se detalla un resumen de los requisitos establecidos en dicho artículo:</w:t>
            </w:r>
          </w:p>
          <w:p w14:paraId="2109D1C1" w14:textId="77777777" w:rsidR="00072956" w:rsidRPr="000B180A" w:rsidRDefault="00072956" w:rsidP="007F5995">
            <w:pPr>
              <w:jc w:val="both"/>
              <w:rPr>
                <w:rFonts w:ascii="Arial Narrow" w:hAnsi="Arial Narrow" w:cs="Arial"/>
                <w:sz w:val="24"/>
                <w:szCs w:val="24"/>
                <w:shd w:val="clear" w:color="auto" w:fill="FFFFFF"/>
                <w:lang w:val="es-CO"/>
              </w:rPr>
            </w:pPr>
          </w:p>
          <w:p w14:paraId="10C0A192" w14:textId="77777777" w:rsidR="00072956" w:rsidRPr="00233CB3" w:rsidRDefault="00072956" w:rsidP="00233CB3">
            <w:pPr>
              <w:rPr>
                <w:rFonts w:ascii="Arial Narrow" w:hAnsi="Arial Narrow"/>
                <w:sz w:val="24"/>
                <w:szCs w:val="24"/>
                <w:shd w:val="clear" w:color="auto" w:fill="FFFFFF"/>
              </w:rPr>
            </w:pPr>
            <w:r w:rsidRPr="00233CB3">
              <w:rPr>
                <w:rFonts w:ascii="Arial Narrow" w:hAnsi="Arial Narrow"/>
                <w:sz w:val="24"/>
                <w:szCs w:val="24"/>
                <w:shd w:val="clear" w:color="auto" w:fill="FFFFFF"/>
              </w:rPr>
              <w:t>Criterios de localización ambiental</w:t>
            </w:r>
          </w:p>
          <w:p w14:paraId="49032A51" w14:textId="77777777" w:rsidR="00072956" w:rsidRPr="000B180A" w:rsidRDefault="00072956" w:rsidP="007F5995">
            <w:pPr>
              <w:rPr>
                <w:rFonts w:ascii="Arial Narrow" w:hAnsi="Arial Narrow" w:cs="Arial"/>
                <w:sz w:val="24"/>
                <w:szCs w:val="24"/>
                <w:shd w:val="clear" w:color="auto" w:fill="FFFFFF"/>
                <w:lang w:val="es-CO"/>
              </w:rPr>
            </w:pPr>
          </w:p>
          <w:p w14:paraId="044F5DA2" w14:textId="77777777" w:rsidR="00370FBB" w:rsidRPr="00233CB3" w:rsidRDefault="00370FBB" w:rsidP="00370FBB">
            <w:pPr>
              <w:pStyle w:val="Prrafodelista"/>
              <w:numPr>
                <w:ilvl w:val="0"/>
                <w:numId w:val="41"/>
              </w:numPr>
              <w:shd w:val="clear" w:color="auto" w:fill="FFFFFF" w:themeFill="background1"/>
              <w:spacing w:before="100" w:beforeAutospacing="1" w:after="100" w:afterAutospacing="1"/>
              <w:rPr>
                <w:rFonts w:ascii="Arial Narrow" w:eastAsia="Times New Roman" w:hAnsi="Arial Narrow"/>
                <w:sz w:val="24"/>
                <w:szCs w:val="24"/>
                <w:shd w:val="clear" w:color="auto" w:fill="FFFFFF"/>
                <w:lang w:eastAsia="es-ES"/>
              </w:rPr>
            </w:pPr>
            <w:r w:rsidRPr="00233CB3">
              <w:rPr>
                <w:rFonts w:ascii="Arial Narrow" w:eastAsia="Times New Roman" w:hAnsi="Arial Narrow"/>
                <w:sz w:val="24"/>
                <w:szCs w:val="24"/>
                <w:shd w:val="clear" w:color="auto" w:fill="FFFFFF"/>
                <w:lang w:eastAsia="es-ES"/>
              </w:rPr>
              <w:t>Que se ubiquen en áreas clasificadas conforme al sistema CORINE Land Cover, en las categorías 1, 2 y 3, ajustado para Colombia por el IDEAM, a una escala 1:10.000. Adicionalmente, se debe tener en cuenta lo siguiente:</w:t>
            </w:r>
          </w:p>
          <w:p w14:paraId="73C7B47D" w14:textId="77777777" w:rsidR="00370FBB" w:rsidRPr="00233CB3" w:rsidRDefault="00370FBB" w:rsidP="00370FBB">
            <w:pPr>
              <w:pStyle w:val="Prrafodelista"/>
              <w:rPr>
                <w:rFonts w:ascii="Arial Narrow" w:eastAsia="Times New Roman" w:hAnsi="Arial Narrow"/>
                <w:sz w:val="24"/>
                <w:szCs w:val="24"/>
                <w:shd w:val="clear" w:color="auto" w:fill="FFFFFF"/>
                <w:lang w:eastAsia="es-ES"/>
              </w:rPr>
            </w:pPr>
          </w:p>
          <w:p w14:paraId="4F6418CB" w14:textId="77777777" w:rsidR="00370FBB" w:rsidRPr="00233CB3" w:rsidRDefault="00370FBB" w:rsidP="00370FBB">
            <w:pPr>
              <w:pStyle w:val="Prrafodelista"/>
              <w:numPr>
                <w:ilvl w:val="0"/>
                <w:numId w:val="42"/>
              </w:numPr>
              <w:shd w:val="clear" w:color="auto" w:fill="FFFFFF" w:themeFill="background1"/>
              <w:spacing w:before="100" w:beforeAutospacing="1" w:after="100" w:afterAutospacing="1"/>
              <w:rPr>
                <w:rFonts w:ascii="Arial Narrow" w:eastAsia="Times New Roman" w:hAnsi="Arial Narrow"/>
                <w:sz w:val="24"/>
                <w:szCs w:val="24"/>
                <w:shd w:val="clear" w:color="auto" w:fill="FFFFFF"/>
                <w:lang w:eastAsia="es-ES"/>
              </w:rPr>
            </w:pPr>
            <w:r w:rsidRPr="00233CB3">
              <w:rPr>
                <w:rFonts w:ascii="Arial Narrow" w:eastAsia="Times New Roman" w:hAnsi="Arial Narrow"/>
                <w:sz w:val="24"/>
                <w:szCs w:val="24"/>
                <w:shd w:val="clear" w:color="auto" w:fill="FFFFFF"/>
                <w:lang w:eastAsia="es-ES"/>
              </w:rPr>
              <w:t xml:space="preserve">Las actividades de aprovechamiento forestal sobre áreas seminaturales serán permitidas y en coberturas boscosas se permitirá únicamente cuando: </w:t>
            </w:r>
          </w:p>
          <w:p w14:paraId="4E18077A" w14:textId="77777777" w:rsidR="00370FBB" w:rsidRPr="00233CB3" w:rsidRDefault="00370FBB" w:rsidP="00370FBB">
            <w:pPr>
              <w:pStyle w:val="Prrafodelista"/>
              <w:ind w:left="1080"/>
              <w:rPr>
                <w:rFonts w:ascii="Arial Narrow" w:eastAsia="Times New Roman" w:hAnsi="Arial Narrow"/>
                <w:sz w:val="24"/>
                <w:szCs w:val="24"/>
                <w:shd w:val="clear" w:color="auto" w:fill="FFFFFF"/>
                <w:lang w:eastAsia="es-ES"/>
              </w:rPr>
            </w:pPr>
          </w:p>
          <w:p w14:paraId="0AE3A419" w14:textId="77777777" w:rsidR="00370FBB" w:rsidRPr="00233CB3" w:rsidRDefault="00370FBB" w:rsidP="00370FBB">
            <w:pPr>
              <w:pStyle w:val="Prrafodelista"/>
              <w:numPr>
                <w:ilvl w:val="0"/>
                <w:numId w:val="40"/>
              </w:numPr>
              <w:shd w:val="clear" w:color="auto" w:fill="FFFFFF"/>
              <w:textAlignment w:val="baseline"/>
              <w:rPr>
                <w:rFonts w:ascii="Arial Narrow" w:eastAsia="Times New Roman" w:hAnsi="Arial Narrow"/>
                <w:sz w:val="24"/>
                <w:szCs w:val="24"/>
                <w:shd w:val="clear" w:color="auto" w:fill="FFFFFF"/>
                <w:lang w:eastAsia="es-ES"/>
              </w:rPr>
            </w:pPr>
            <w:r w:rsidRPr="00233CB3">
              <w:rPr>
                <w:rFonts w:ascii="Arial Narrow" w:eastAsia="Times New Roman" w:hAnsi="Arial Narrow"/>
                <w:sz w:val="24"/>
                <w:szCs w:val="24"/>
                <w:shd w:val="clear" w:color="auto" w:fill="FFFFFF"/>
                <w:lang w:eastAsia="es-ES"/>
              </w:rPr>
              <w:t>No superen el 10% del parche boscoso.</w:t>
            </w:r>
          </w:p>
          <w:p w14:paraId="5A1AFF37" w14:textId="77777777" w:rsidR="00370FBB" w:rsidRPr="00233CB3" w:rsidRDefault="00370FBB" w:rsidP="00370FBB">
            <w:pPr>
              <w:pStyle w:val="Prrafodelista"/>
              <w:numPr>
                <w:ilvl w:val="0"/>
                <w:numId w:val="40"/>
              </w:numPr>
              <w:shd w:val="clear" w:color="auto" w:fill="FFFFFF"/>
              <w:textAlignment w:val="baseline"/>
              <w:rPr>
                <w:rFonts w:ascii="Arial Narrow" w:eastAsia="Times New Roman" w:hAnsi="Arial Narrow"/>
                <w:sz w:val="24"/>
                <w:szCs w:val="24"/>
                <w:shd w:val="clear" w:color="auto" w:fill="FFFFFF"/>
                <w:lang w:eastAsia="es-ES"/>
              </w:rPr>
            </w:pPr>
            <w:r w:rsidRPr="00233CB3">
              <w:rPr>
                <w:rFonts w:ascii="Arial Narrow" w:eastAsia="Times New Roman" w:hAnsi="Arial Narrow"/>
                <w:sz w:val="24"/>
                <w:szCs w:val="24"/>
                <w:shd w:val="clear" w:color="auto" w:fill="FFFFFF"/>
                <w:lang w:eastAsia="es-ES"/>
              </w:rPr>
              <w:t>No superen 20 Hectáreas, independientemente del tamaño del parche boscoso.</w:t>
            </w:r>
          </w:p>
          <w:p w14:paraId="58BDBA4B" w14:textId="77777777" w:rsidR="00370FBB" w:rsidRPr="00233CB3" w:rsidRDefault="00370FBB" w:rsidP="00370FBB">
            <w:pPr>
              <w:pStyle w:val="Prrafodelista"/>
              <w:numPr>
                <w:ilvl w:val="0"/>
                <w:numId w:val="40"/>
              </w:numPr>
              <w:shd w:val="clear" w:color="auto" w:fill="FFFFFF" w:themeFill="background1"/>
              <w:textAlignment w:val="baseline"/>
              <w:rPr>
                <w:rFonts w:ascii="Arial Narrow" w:eastAsia="Times New Roman" w:hAnsi="Arial Narrow"/>
                <w:sz w:val="24"/>
                <w:szCs w:val="24"/>
                <w:shd w:val="clear" w:color="auto" w:fill="FFFFFF"/>
                <w:lang w:eastAsia="es-ES"/>
              </w:rPr>
            </w:pPr>
            <w:r w:rsidRPr="00233CB3">
              <w:rPr>
                <w:rFonts w:ascii="Arial Narrow" w:eastAsia="Times New Roman" w:hAnsi="Arial Narrow"/>
                <w:sz w:val="24"/>
                <w:szCs w:val="24"/>
                <w:shd w:val="clear" w:color="auto" w:fill="FFFFFF"/>
                <w:lang w:eastAsia="es-ES"/>
              </w:rPr>
              <w:t>No se realicen en el área de núcleo del parche boscosa.</w:t>
            </w:r>
          </w:p>
          <w:p w14:paraId="01A0BCDF" w14:textId="77777777" w:rsidR="00370FBB" w:rsidRPr="00233CB3" w:rsidRDefault="00370FBB" w:rsidP="00370FBB">
            <w:pPr>
              <w:pStyle w:val="Prrafodelista"/>
              <w:shd w:val="clear" w:color="auto" w:fill="FFFFFF"/>
              <w:ind w:left="1800"/>
              <w:textAlignment w:val="baseline"/>
              <w:rPr>
                <w:rFonts w:ascii="Arial Narrow" w:eastAsia="Times New Roman" w:hAnsi="Arial Narrow"/>
                <w:sz w:val="24"/>
                <w:szCs w:val="24"/>
                <w:shd w:val="clear" w:color="auto" w:fill="FFFFFF"/>
                <w:lang w:eastAsia="es-ES"/>
              </w:rPr>
            </w:pPr>
          </w:p>
          <w:p w14:paraId="0E7A6086" w14:textId="77777777" w:rsidR="00370FBB" w:rsidRPr="00233CB3" w:rsidRDefault="00370FBB" w:rsidP="00370FBB">
            <w:pPr>
              <w:pStyle w:val="Prrafodelista"/>
              <w:numPr>
                <w:ilvl w:val="0"/>
                <w:numId w:val="42"/>
              </w:numPr>
              <w:shd w:val="clear" w:color="auto" w:fill="FFFFFF"/>
              <w:spacing w:before="100" w:beforeAutospacing="1" w:after="100" w:afterAutospacing="1"/>
              <w:textAlignment w:val="baseline"/>
              <w:rPr>
                <w:rFonts w:ascii="Arial Narrow" w:eastAsia="Times New Roman" w:hAnsi="Arial Narrow"/>
                <w:sz w:val="24"/>
                <w:szCs w:val="24"/>
                <w:shd w:val="clear" w:color="auto" w:fill="FFFFFF"/>
                <w:lang w:eastAsia="es-ES"/>
              </w:rPr>
            </w:pPr>
            <w:r w:rsidRPr="00233CB3">
              <w:rPr>
                <w:rFonts w:ascii="Arial Narrow" w:eastAsia="Times New Roman" w:hAnsi="Arial Narrow"/>
                <w:sz w:val="24"/>
                <w:szCs w:val="24"/>
                <w:shd w:val="clear" w:color="auto" w:fill="FFFFFF"/>
                <w:lang w:eastAsia="es-ES"/>
              </w:rPr>
              <w:t>En la eventualidad de un aprovechamiento forestal, el interesado deberá gestionar el respectivo permiso en el marco de la solicitud de LAEolica, incorporando la información pertinente en el Estudio de Impacto Ambiental (EIA), el cual deberá contemplar e integrar las medidas de manejo y compensación requeridas para mitigar los impactos ambientales derivados de dicho aprovechamiento.</w:t>
            </w:r>
          </w:p>
          <w:p w14:paraId="07D5C04A" w14:textId="77777777" w:rsidR="00370FBB" w:rsidRPr="00233CB3" w:rsidRDefault="00370FBB" w:rsidP="00370FBB">
            <w:pPr>
              <w:pStyle w:val="Prrafodelista"/>
              <w:shd w:val="clear" w:color="auto" w:fill="FFFFFF"/>
              <w:ind w:left="1068"/>
              <w:textAlignment w:val="baseline"/>
              <w:rPr>
                <w:rFonts w:ascii="Arial Narrow" w:eastAsia="Times New Roman" w:hAnsi="Arial Narrow"/>
                <w:sz w:val="24"/>
                <w:szCs w:val="24"/>
                <w:shd w:val="clear" w:color="auto" w:fill="FFFFFF"/>
                <w:lang w:eastAsia="es-ES"/>
              </w:rPr>
            </w:pPr>
          </w:p>
          <w:p w14:paraId="2E3E7A10" w14:textId="77777777" w:rsidR="00370FBB" w:rsidRPr="00233CB3" w:rsidRDefault="00370FBB" w:rsidP="00370FBB">
            <w:pPr>
              <w:pStyle w:val="Prrafodelista"/>
              <w:numPr>
                <w:ilvl w:val="0"/>
                <w:numId w:val="41"/>
              </w:numPr>
              <w:shd w:val="clear" w:color="auto" w:fill="FFFFFF" w:themeFill="background1"/>
              <w:rPr>
                <w:rFonts w:ascii="Arial Narrow" w:eastAsia="Times New Roman" w:hAnsi="Arial Narrow"/>
                <w:sz w:val="24"/>
                <w:szCs w:val="24"/>
                <w:shd w:val="clear" w:color="auto" w:fill="FFFFFF"/>
                <w:lang w:eastAsia="es-ES"/>
              </w:rPr>
            </w:pPr>
            <w:r w:rsidRPr="00233CB3">
              <w:rPr>
                <w:rFonts w:ascii="Arial Narrow" w:eastAsia="Times New Roman" w:hAnsi="Arial Narrow"/>
                <w:sz w:val="24"/>
                <w:szCs w:val="24"/>
                <w:shd w:val="clear" w:color="auto" w:fill="FFFFFF"/>
                <w:lang w:eastAsia="es-ES"/>
              </w:rPr>
              <w:t xml:space="preserve">Que las áreas de intervención no se superpongan con rondas hídricas, salvo en los casos en los que sea necesaria la ocupación del cauce para el desarrollo de la infraestructura lineal destinada al transporte y acceso; a la transmisión o distribución de energía; así como al manejo hidráulico y drenaje del parque de generación. </w:t>
            </w:r>
          </w:p>
          <w:p w14:paraId="2DDD8939" w14:textId="77777777" w:rsidR="00370FBB" w:rsidRPr="00233CB3" w:rsidRDefault="00370FBB" w:rsidP="00370FBB">
            <w:pPr>
              <w:pStyle w:val="Prrafodelista"/>
              <w:rPr>
                <w:rFonts w:ascii="Arial Narrow" w:eastAsia="Times New Roman" w:hAnsi="Arial Narrow"/>
                <w:sz w:val="24"/>
                <w:szCs w:val="24"/>
                <w:shd w:val="clear" w:color="auto" w:fill="FFFFFF"/>
                <w:lang w:eastAsia="es-ES"/>
              </w:rPr>
            </w:pPr>
          </w:p>
          <w:p w14:paraId="26E623E4" w14:textId="77777777" w:rsidR="00370FBB" w:rsidRPr="00233CB3" w:rsidRDefault="00370FBB" w:rsidP="00370FBB">
            <w:pPr>
              <w:pStyle w:val="Prrafodelista"/>
              <w:numPr>
                <w:ilvl w:val="0"/>
                <w:numId w:val="41"/>
              </w:numPr>
              <w:shd w:val="clear" w:color="auto" w:fill="FFFFFF" w:themeFill="background1"/>
              <w:rPr>
                <w:rFonts w:ascii="Arial Narrow" w:eastAsia="Times New Roman" w:hAnsi="Arial Narrow"/>
                <w:sz w:val="24"/>
                <w:szCs w:val="24"/>
                <w:shd w:val="clear" w:color="auto" w:fill="FFFFFF"/>
                <w:lang w:eastAsia="es-ES"/>
              </w:rPr>
            </w:pPr>
            <w:r w:rsidRPr="00233CB3">
              <w:rPr>
                <w:rFonts w:ascii="Arial Narrow" w:eastAsia="Times New Roman" w:hAnsi="Arial Narrow"/>
                <w:sz w:val="24"/>
                <w:szCs w:val="24"/>
                <w:shd w:val="clear" w:color="auto" w:fill="FFFFFF"/>
                <w:lang w:eastAsia="es-ES"/>
              </w:rPr>
              <w:t xml:space="preserve">Que las áreas de intervención no se ubiquen en Áreas marino–costeras, considerando como límite mareas máximas. </w:t>
            </w:r>
          </w:p>
          <w:p w14:paraId="65FBAB4B" w14:textId="77777777" w:rsidR="00370FBB" w:rsidRPr="00233CB3" w:rsidRDefault="00370FBB" w:rsidP="00370FBB">
            <w:pPr>
              <w:pStyle w:val="Prrafodelista"/>
              <w:rPr>
                <w:rFonts w:ascii="Arial Narrow" w:eastAsia="Times New Roman" w:hAnsi="Arial Narrow"/>
                <w:sz w:val="24"/>
                <w:szCs w:val="24"/>
                <w:shd w:val="clear" w:color="auto" w:fill="FFFFFF"/>
                <w:lang w:eastAsia="es-ES"/>
              </w:rPr>
            </w:pPr>
          </w:p>
          <w:p w14:paraId="02E74D0E" w14:textId="766AA058" w:rsidR="00370FBB" w:rsidRPr="00233CB3" w:rsidRDefault="00370FBB" w:rsidP="00233CB3">
            <w:pPr>
              <w:pStyle w:val="paragraph"/>
              <w:numPr>
                <w:ilvl w:val="0"/>
                <w:numId w:val="41"/>
              </w:numPr>
              <w:jc w:val="both"/>
              <w:textAlignment w:val="baseline"/>
              <w:rPr>
                <w:rFonts w:ascii="Arial Narrow" w:hAnsi="Arial Narrow" w:cs="Arial"/>
                <w:shd w:val="clear" w:color="auto" w:fill="FFFFFF"/>
                <w:lang w:eastAsia="es-ES"/>
              </w:rPr>
            </w:pPr>
            <w:r w:rsidRPr="00233CB3">
              <w:rPr>
                <w:rFonts w:ascii="Arial Narrow" w:hAnsi="Arial Narrow" w:cs="Arial"/>
                <w:shd w:val="clear" w:color="auto" w:fill="FFFFFF"/>
                <w:lang w:eastAsia="es-ES"/>
              </w:rPr>
              <w:t>Que el proyecto se ubique a una distancia mínima de tres mil metros (3.000 metros) de la línea de costa y de áreas protegidas del SINAP que coincidan en las  zonas definidas como Áreas de importancia para la fauna voladora de especies migratorias y residentes de aves y murciélagos (dormideros, zonas de anidación, descanso, cuevas o colonias de reproducción) por el Ministerio de Ambiente y Desarrollo Sostenible, el Instituto de Investigación de Recursos Biológicos Alexander von Humboldt y la Autoridad Nacional de Licencias Ambientales, publicadas en la página web del centro de monitoreo de la ANLA. </w:t>
            </w:r>
          </w:p>
          <w:p w14:paraId="7E83C3FC" w14:textId="77777777" w:rsidR="00370FBB" w:rsidRPr="00233CB3" w:rsidRDefault="00370FBB" w:rsidP="00370FBB">
            <w:pPr>
              <w:pStyle w:val="Prrafodelista"/>
              <w:rPr>
                <w:rFonts w:ascii="Arial Narrow" w:eastAsia="Times New Roman" w:hAnsi="Arial Narrow"/>
                <w:sz w:val="24"/>
                <w:szCs w:val="24"/>
                <w:shd w:val="clear" w:color="auto" w:fill="FFFFFF"/>
                <w:lang w:eastAsia="es-ES"/>
              </w:rPr>
            </w:pPr>
          </w:p>
          <w:p w14:paraId="200299B4" w14:textId="77777777" w:rsidR="00370FBB" w:rsidRPr="00233CB3" w:rsidRDefault="00370FBB" w:rsidP="00370FBB">
            <w:pPr>
              <w:pStyle w:val="Prrafodelista"/>
              <w:numPr>
                <w:ilvl w:val="0"/>
                <w:numId w:val="41"/>
              </w:numPr>
              <w:shd w:val="clear" w:color="auto" w:fill="FFFFFF" w:themeFill="background1"/>
              <w:rPr>
                <w:rFonts w:ascii="Arial Narrow" w:eastAsia="Times New Roman" w:hAnsi="Arial Narrow"/>
                <w:sz w:val="24"/>
                <w:szCs w:val="24"/>
                <w:shd w:val="clear" w:color="auto" w:fill="FFFFFF"/>
                <w:lang w:eastAsia="es-ES"/>
              </w:rPr>
            </w:pPr>
            <w:r w:rsidRPr="00233CB3">
              <w:rPr>
                <w:rFonts w:ascii="Arial Narrow" w:eastAsia="Times New Roman" w:hAnsi="Arial Narrow"/>
                <w:sz w:val="24"/>
                <w:szCs w:val="24"/>
                <w:shd w:val="clear" w:color="auto" w:fill="FFFFFF"/>
                <w:lang w:eastAsia="es-ES"/>
              </w:rPr>
              <w:t>Que las áreas de intervención no se superpongan con las franjas de protección de nacederos y manantiales, definidas conforme a lo establecido en el artículo 149 del Decreto 2811 de 1974, en una extensión de por lo menos 100 metros a la redonda de acuerdo con el literal a) del artículo 2.2.1.1.18.2 del Decreto 1076 de 2015 o la normativa que los modifique o sustituya.</w:t>
            </w:r>
          </w:p>
          <w:p w14:paraId="1ECF623D" w14:textId="77777777" w:rsidR="00370FBB" w:rsidRPr="00233CB3" w:rsidRDefault="00370FBB" w:rsidP="00370FBB">
            <w:pPr>
              <w:pStyle w:val="Prrafodelista"/>
              <w:rPr>
                <w:rFonts w:ascii="Arial Narrow" w:eastAsia="Times New Roman" w:hAnsi="Arial Narrow"/>
                <w:sz w:val="24"/>
                <w:szCs w:val="24"/>
                <w:shd w:val="clear" w:color="auto" w:fill="FFFFFF"/>
                <w:lang w:eastAsia="es-ES"/>
              </w:rPr>
            </w:pPr>
          </w:p>
          <w:p w14:paraId="14F87B74" w14:textId="77777777" w:rsidR="00370FBB" w:rsidRPr="00233CB3" w:rsidRDefault="00370FBB" w:rsidP="00370FBB">
            <w:pPr>
              <w:pStyle w:val="paragraph"/>
              <w:numPr>
                <w:ilvl w:val="0"/>
                <w:numId w:val="41"/>
              </w:numPr>
              <w:spacing w:before="0" w:beforeAutospacing="0" w:after="0" w:afterAutospacing="0"/>
              <w:jc w:val="both"/>
              <w:textAlignment w:val="baseline"/>
              <w:rPr>
                <w:rFonts w:ascii="Arial Narrow" w:hAnsi="Arial Narrow" w:cs="Arial"/>
                <w:shd w:val="clear" w:color="auto" w:fill="FFFFFF"/>
                <w:lang w:eastAsia="es-ES"/>
              </w:rPr>
            </w:pPr>
            <w:r w:rsidRPr="00233CB3">
              <w:rPr>
                <w:rFonts w:ascii="Arial Narrow" w:hAnsi="Arial Narrow" w:cs="Arial"/>
                <w:shd w:val="clear" w:color="auto" w:fill="FFFFFF"/>
                <w:lang w:eastAsia="es-ES"/>
              </w:rPr>
              <w:t>El proyecto deberá ubicarse a una distancia mínima de 1.000 metros de los límites de las áreas protegidas que integran el Sistema Nacional de Áreas Protegidas (SINAP). </w:t>
            </w:r>
          </w:p>
          <w:p w14:paraId="1BA4DAF3" w14:textId="77777777" w:rsidR="00370FBB" w:rsidRPr="00233CB3" w:rsidRDefault="00370FBB" w:rsidP="00370FBB">
            <w:pPr>
              <w:pStyle w:val="Prrafodelista"/>
              <w:shd w:val="clear" w:color="auto" w:fill="FFFFFF" w:themeFill="background1"/>
              <w:rPr>
                <w:rFonts w:ascii="Arial Narrow" w:eastAsia="Times New Roman" w:hAnsi="Arial Narrow"/>
                <w:sz w:val="24"/>
                <w:szCs w:val="24"/>
                <w:shd w:val="clear" w:color="auto" w:fill="FFFFFF"/>
                <w:lang w:eastAsia="es-ES"/>
              </w:rPr>
            </w:pPr>
          </w:p>
          <w:p w14:paraId="1E704C89" w14:textId="77777777" w:rsidR="00370FBB" w:rsidRPr="00233CB3" w:rsidRDefault="00370FBB" w:rsidP="00370FBB">
            <w:pPr>
              <w:pStyle w:val="Prrafodelista"/>
              <w:numPr>
                <w:ilvl w:val="0"/>
                <w:numId w:val="41"/>
              </w:numPr>
              <w:rPr>
                <w:rFonts w:ascii="Arial Narrow" w:eastAsia="Times New Roman" w:hAnsi="Arial Narrow"/>
                <w:sz w:val="24"/>
                <w:szCs w:val="24"/>
                <w:shd w:val="clear" w:color="auto" w:fill="FFFFFF"/>
                <w:lang w:eastAsia="es-ES"/>
              </w:rPr>
            </w:pPr>
            <w:r w:rsidRPr="00233CB3">
              <w:rPr>
                <w:rFonts w:ascii="Arial Narrow" w:eastAsia="Times New Roman" w:hAnsi="Arial Narrow"/>
                <w:sz w:val="24"/>
                <w:szCs w:val="24"/>
                <w:shd w:val="clear" w:color="auto" w:fill="FFFFFF"/>
                <w:lang w:eastAsia="es-ES"/>
              </w:rPr>
              <w:t>El proyecto deberá ubicarse a una distancia mínima equivalente a diez veces la altura del aerogenerador —medida desde el suelo hasta la punta superior del aspa en su posición más alta— respecto a la localización de otros parques eólicos existentes, en operación, en construcción o con licencia ambiental vigente.</w:t>
            </w:r>
          </w:p>
          <w:p w14:paraId="08F31FE3" w14:textId="77777777" w:rsidR="00072956" w:rsidRPr="000B180A" w:rsidRDefault="00072956" w:rsidP="007F5995">
            <w:pPr>
              <w:rPr>
                <w:rFonts w:ascii="Arial Narrow" w:hAnsi="Arial Narrow" w:cs="Arial"/>
                <w:sz w:val="24"/>
                <w:szCs w:val="24"/>
                <w:shd w:val="clear" w:color="auto" w:fill="FFFFFF"/>
                <w:lang w:val="es-CO"/>
              </w:rPr>
            </w:pPr>
          </w:p>
          <w:p w14:paraId="721AED4D" w14:textId="77777777" w:rsidR="00072956" w:rsidRPr="00233CB3" w:rsidRDefault="00072956" w:rsidP="00233CB3">
            <w:pPr>
              <w:rPr>
                <w:rFonts w:ascii="Arial Narrow" w:hAnsi="Arial Narrow"/>
                <w:sz w:val="24"/>
                <w:szCs w:val="24"/>
                <w:shd w:val="clear" w:color="auto" w:fill="FFFFFF"/>
              </w:rPr>
            </w:pPr>
            <w:r w:rsidRPr="00233CB3">
              <w:rPr>
                <w:rFonts w:ascii="Arial Narrow" w:hAnsi="Arial Narrow"/>
                <w:sz w:val="24"/>
                <w:szCs w:val="24"/>
                <w:shd w:val="clear" w:color="auto" w:fill="FFFFFF"/>
              </w:rPr>
              <w:t>Criterios tecnológicos y de diseño</w:t>
            </w:r>
          </w:p>
          <w:p w14:paraId="0E0E98C3" w14:textId="77777777" w:rsidR="00072956" w:rsidRPr="000B180A" w:rsidRDefault="00072956" w:rsidP="007F5995">
            <w:pPr>
              <w:pStyle w:val="Prrafodelista"/>
              <w:ind w:left="1440"/>
              <w:rPr>
                <w:rFonts w:ascii="Arial Narrow" w:eastAsia="Times New Roman" w:hAnsi="Arial Narrow"/>
                <w:sz w:val="24"/>
                <w:szCs w:val="24"/>
                <w:shd w:val="clear" w:color="auto" w:fill="FFFFFF"/>
                <w:lang w:eastAsia="es-ES"/>
              </w:rPr>
            </w:pPr>
          </w:p>
          <w:p w14:paraId="610738FE"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Con el fin de asegurar que los proyectos de generación de energía eólica se desarrollen de manera ambientalmente responsable y sean compatibles con los objetivos de conservación de las áreas de reserva forestal, es necesario establecer criterios tecnológicos y de diseño que complementen las condiciones de localización. Estos criterios permiten minimizar los impactos sobre la biodiversidad, los ecosistemas y las comunidades cercanas, al tiempo que garantizan una operación eficiente y segura de la infraestructura. La incorporación de tecnologías avanzadas de monitoreo, prevención y mitigación, así como medidas de diseño orientadas a reducir efectos adversos, resulta fundamental para clasificar estas iniciativas como de bajo impacto ambiental. A continuación, se describen los principales criterios tecnológicos y de diseño que deben considerarse para la ubicación y desarrollo de este tipo de proyectos.</w:t>
            </w:r>
          </w:p>
          <w:p w14:paraId="6D226567" w14:textId="77777777" w:rsidR="00072956" w:rsidRPr="000B180A" w:rsidRDefault="00072956" w:rsidP="007F5995">
            <w:pPr>
              <w:jc w:val="both"/>
              <w:rPr>
                <w:rFonts w:ascii="Arial Narrow" w:hAnsi="Arial Narrow" w:cs="Arial"/>
                <w:sz w:val="24"/>
                <w:szCs w:val="24"/>
                <w:shd w:val="clear" w:color="auto" w:fill="FFFFFF"/>
                <w:lang w:val="es-CO"/>
              </w:rPr>
            </w:pPr>
          </w:p>
          <w:p w14:paraId="5B99074B" w14:textId="77777777" w:rsidR="00072956" w:rsidRPr="000B180A" w:rsidRDefault="00072956" w:rsidP="007F5995">
            <w:pPr>
              <w:numPr>
                <w:ilvl w:val="0"/>
                <w:numId w:val="33"/>
              </w:numPr>
              <w:jc w:val="both"/>
              <w:rPr>
                <w:rFonts w:ascii="Arial Narrow" w:hAnsi="Arial Narrow"/>
                <w:sz w:val="24"/>
                <w:szCs w:val="24"/>
              </w:rPr>
            </w:pPr>
            <w:r w:rsidRPr="000B180A">
              <w:rPr>
                <w:rFonts w:ascii="Arial Narrow" w:hAnsi="Arial Narrow"/>
                <w:sz w:val="24"/>
                <w:szCs w:val="24"/>
              </w:rPr>
              <w:t>Sistemas automatizados de detección y respuesta, como radar, visión computarizada o cámaras térmicas, integrados a mecanismos de parada inteligente de turbinas en presencia de fauna voladora.</w:t>
            </w:r>
          </w:p>
          <w:p w14:paraId="18B9B139" w14:textId="77777777" w:rsidR="00072956" w:rsidRPr="000B180A" w:rsidRDefault="00072956" w:rsidP="007F5995">
            <w:pPr>
              <w:ind w:left="720"/>
              <w:jc w:val="both"/>
              <w:rPr>
                <w:rFonts w:ascii="Arial Narrow" w:hAnsi="Arial Narrow"/>
                <w:sz w:val="24"/>
                <w:szCs w:val="24"/>
              </w:rPr>
            </w:pPr>
          </w:p>
          <w:p w14:paraId="26D09D8B" w14:textId="77777777" w:rsidR="00072956" w:rsidRPr="000B180A" w:rsidRDefault="00072956" w:rsidP="007F5995">
            <w:pPr>
              <w:numPr>
                <w:ilvl w:val="0"/>
                <w:numId w:val="33"/>
              </w:numPr>
              <w:jc w:val="both"/>
              <w:rPr>
                <w:rFonts w:ascii="Arial Narrow" w:hAnsi="Arial Narrow"/>
                <w:sz w:val="24"/>
                <w:szCs w:val="24"/>
              </w:rPr>
            </w:pPr>
            <w:r w:rsidRPr="000B180A">
              <w:rPr>
                <w:rFonts w:ascii="Arial Narrow" w:hAnsi="Arial Narrow"/>
                <w:sz w:val="24"/>
                <w:szCs w:val="24"/>
              </w:rPr>
              <w:t>Tecnologías de modulación de la velocidad de corte nocturna (cut-in speed) para prevenir el barotrauma en murciélagos, aplicables en aquellos casos en donde exista presencia registrada, evidencia técnica o estudios que indiquen actividad significativa de este tipo de fauna en el área de implementación del proyecto. Esta medida debe estar orientada a reducir la mortalidad de murciélagos durante las horas de mayor actividad (usualmente nocturnas y en condiciones de baja velocidad de viento), ajustando la operación de las turbinas para que no entren en funcionamiento bajo ciertos umbrales previamente definidos.</w:t>
            </w:r>
          </w:p>
          <w:p w14:paraId="2C389C10" w14:textId="77777777" w:rsidR="00072956" w:rsidRPr="000B180A" w:rsidRDefault="00072956" w:rsidP="007F5995">
            <w:pPr>
              <w:jc w:val="both"/>
            </w:pPr>
          </w:p>
          <w:p w14:paraId="12C7DEFE" w14:textId="77777777" w:rsidR="00072956" w:rsidRPr="000B180A" w:rsidRDefault="00072956" w:rsidP="007F5995">
            <w:pPr>
              <w:numPr>
                <w:ilvl w:val="0"/>
                <w:numId w:val="33"/>
              </w:numPr>
              <w:jc w:val="both"/>
              <w:rPr>
                <w:rFonts w:ascii="Arial Narrow" w:hAnsi="Arial Narrow"/>
                <w:sz w:val="24"/>
                <w:szCs w:val="24"/>
              </w:rPr>
            </w:pPr>
            <w:r w:rsidRPr="000B180A">
              <w:rPr>
                <w:rFonts w:ascii="Arial Narrow" w:hAnsi="Arial Narrow"/>
                <w:sz w:val="24"/>
                <w:szCs w:val="24"/>
              </w:rPr>
              <w:t>Diseño aerodinámico de aspas con elementos que reduzcan el ruido y la turbulencia, como bordes dentados o winglets demostrado efectividad técnica previamente.</w:t>
            </w:r>
          </w:p>
          <w:p w14:paraId="18C26D33" w14:textId="77777777" w:rsidR="00072956" w:rsidRPr="000B180A" w:rsidRDefault="00072956" w:rsidP="007F5995">
            <w:pPr>
              <w:jc w:val="both"/>
              <w:rPr>
                <w:rFonts w:ascii="Arial Narrow" w:hAnsi="Arial Narrow"/>
                <w:sz w:val="24"/>
                <w:szCs w:val="24"/>
              </w:rPr>
            </w:pPr>
          </w:p>
          <w:p w14:paraId="75E3F678" w14:textId="77777777" w:rsidR="00072956" w:rsidRPr="000B180A" w:rsidRDefault="00072956" w:rsidP="007F5995">
            <w:pPr>
              <w:numPr>
                <w:ilvl w:val="0"/>
                <w:numId w:val="33"/>
              </w:numPr>
              <w:jc w:val="both"/>
              <w:rPr>
                <w:rFonts w:ascii="Arial Narrow" w:hAnsi="Arial Narrow"/>
                <w:sz w:val="24"/>
                <w:szCs w:val="24"/>
              </w:rPr>
            </w:pPr>
            <w:r w:rsidRPr="000B180A">
              <w:rPr>
                <w:rFonts w:ascii="Arial Narrow" w:hAnsi="Arial Narrow"/>
                <w:sz w:val="24"/>
                <w:szCs w:val="24"/>
              </w:rPr>
              <w:t>Implementación de dispositivos disuasorios de fauna (acústicos o visuales) que hayan demostrado efectividad técnica previamente.</w:t>
            </w:r>
          </w:p>
          <w:p w14:paraId="45735B98" w14:textId="77777777" w:rsidR="00072956" w:rsidRPr="000B180A" w:rsidRDefault="00072956" w:rsidP="007F5995">
            <w:pPr>
              <w:pStyle w:val="Prrafodelista"/>
              <w:rPr>
                <w:rFonts w:ascii="Arial Narrow" w:hAnsi="Arial Narrow"/>
                <w:sz w:val="24"/>
                <w:szCs w:val="24"/>
              </w:rPr>
            </w:pPr>
          </w:p>
          <w:p w14:paraId="758DB5C0" w14:textId="77777777" w:rsidR="00072956" w:rsidRPr="000B180A" w:rsidRDefault="00072956" w:rsidP="007F5995">
            <w:pPr>
              <w:numPr>
                <w:ilvl w:val="0"/>
                <w:numId w:val="33"/>
              </w:numPr>
              <w:jc w:val="both"/>
              <w:rPr>
                <w:rFonts w:ascii="Arial Narrow" w:hAnsi="Arial Narrow"/>
                <w:sz w:val="24"/>
                <w:szCs w:val="24"/>
              </w:rPr>
            </w:pPr>
            <w:r w:rsidRPr="000B180A">
              <w:rPr>
                <w:rFonts w:ascii="Arial Narrow" w:hAnsi="Arial Narrow"/>
                <w:sz w:val="24"/>
                <w:szCs w:val="24"/>
              </w:rPr>
              <w:t>Aerogeneradores de altura mínima de cuarenta (40) metros desde el suelo hasta el borde inferior del rotor.</w:t>
            </w:r>
          </w:p>
          <w:p w14:paraId="5882774B" w14:textId="77777777" w:rsidR="00072956" w:rsidRPr="000B180A" w:rsidRDefault="00072956" w:rsidP="007F5995">
            <w:pPr>
              <w:pStyle w:val="Prrafodelista"/>
              <w:rPr>
                <w:rFonts w:ascii="Arial Narrow" w:hAnsi="Arial Narrow"/>
                <w:sz w:val="24"/>
                <w:szCs w:val="24"/>
              </w:rPr>
            </w:pPr>
          </w:p>
          <w:p w14:paraId="20274B7E" w14:textId="77777777" w:rsidR="00072956" w:rsidRPr="000B180A" w:rsidRDefault="00072956" w:rsidP="007F5995">
            <w:pPr>
              <w:pStyle w:val="Prrafodelista"/>
              <w:numPr>
                <w:ilvl w:val="0"/>
                <w:numId w:val="33"/>
              </w:numPr>
              <w:rPr>
                <w:rFonts w:ascii="Arial Narrow" w:hAnsi="Arial Narrow"/>
                <w:sz w:val="24"/>
                <w:szCs w:val="24"/>
              </w:rPr>
            </w:pPr>
            <w:r w:rsidRPr="000B180A">
              <w:rPr>
                <w:rFonts w:ascii="Arial Narrow" w:hAnsi="Arial Narrow"/>
                <w:sz w:val="24"/>
                <w:szCs w:val="24"/>
              </w:rPr>
              <w:t>Las turbinas deberán ubicarse a una distancia mínima de quinientos (500) metros respecto de viviendas, centros poblados o asentamientos humanos.</w:t>
            </w:r>
          </w:p>
          <w:p w14:paraId="1E87F30C" w14:textId="77777777" w:rsidR="00072956" w:rsidRPr="000B180A" w:rsidRDefault="00072956" w:rsidP="007F5995">
            <w:pPr>
              <w:pStyle w:val="Prrafodelista"/>
              <w:rPr>
                <w:rFonts w:ascii="Arial Narrow" w:hAnsi="Arial Narrow"/>
                <w:sz w:val="24"/>
                <w:szCs w:val="24"/>
              </w:rPr>
            </w:pPr>
          </w:p>
          <w:p w14:paraId="6083D7C4" w14:textId="77777777" w:rsidR="00072956" w:rsidRPr="000B180A" w:rsidRDefault="00072956" w:rsidP="007F5995">
            <w:pPr>
              <w:spacing w:before="100" w:beforeAutospacing="1" w:after="100" w:afterAutospacing="1"/>
              <w:ind w:left="720"/>
              <w:rPr>
                <w:rFonts w:ascii="Arial Narrow" w:hAnsi="Arial Narrow" w:cs="Arial"/>
                <w:sz w:val="24"/>
                <w:szCs w:val="24"/>
                <w:shd w:val="clear" w:color="auto" w:fill="FFFFFF"/>
                <w:lang w:val="es-CO"/>
              </w:rPr>
            </w:pPr>
            <w:r w:rsidRPr="000B180A">
              <w:rPr>
                <w:rFonts w:ascii="Arial Narrow" w:hAnsi="Arial Narrow"/>
                <w:sz w:val="24"/>
                <w:szCs w:val="24"/>
              </w:rPr>
              <w:t>El área total de ocupación directa del proyecto no deberá superar un tamaño equivalente a una (1) hectárea por aerogenerador que se instale, incluyendo dentro de esta área las plataformas, vías de acceso, subestaciones y zonas de maniobra, así como cualquier infraestructura análoga a estas</w:t>
            </w:r>
          </w:p>
          <w:p w14:paraId="3CF97430"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concordancia, el proyecto de decreto, en su artículo 2.2.2.11.12., establece que los proyectos de generación de energía eólica con capacidad instalada entre 10 y 100 megavatios (MW) podrán, sin necesidad de adelantar el trámite de sustracción de ley segunda de 1959, siempre que el solicitante cumpla con los requisitos previstos en el artículo 2.2.2.11.2. del decreto y se implementen las medidas de manejo definidas en el instrumento LAEólica. Esta medida representa una decisión técnicamente fundamentada, jurídicamente viable y ambientalmente responsable, que armoniza los objetivos de conservación con la transición energética y el desarrollo sostenible del país.</w:t>
            </w:r>
          </w:p>
          <w:p w14:paraId="48EB2430" w14:textId="77777777" w:rsidR="00072956" w:rsidRPr="000B180A" w:rsidRDefault="00072956" w:rsidP="007F5995">
            <w:pPr>
              <w:jc w:val="both"/>
              <w:rPr>
                <w:rFonts w:ascii="Arial Narrow" w:hAnsi="Arial Narrow" w:cs="Arial"/>
                <w:sz w:val="24"/>
                <w:szCs w:val="24"/>
                <w:shd w:val="clear" w:color="auto" w:fill="FFFFFF"/>
                <w:lang w:val="es-CO"/>
              </w:rPr>
            </w:pPr>
          </w:p>
          <w:p w14:paraId="7FD81B9A" w14:textId="77777777" w:rsidR="00072956" w:rsidRPr="000B180A" w:rsidRDefault="00072956" w:rsidP="007F5995">
            <w:pPr>
              <w:numPr>
                <w:ilvl w:val="0"/>
                <w:numId w:val="9"/>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Resumen y justificación de los cambios normativos propuestos</w:t>
            </w:r>
          </w:p>
          <w:p w14:paraId="20A7DECE" w14:textId="77777777" w:rsidR="00072956" w:rsidRPr="000B180A" w:rsidRDefault="00072956" w:rsidP="007F5995">
            <w:pPr>
              <w:jc w:val="both"/>
              <w:rPr>
                <w:rFonts w:ascii="Arial Narrow" w:hAnsi="Arial Narrow" w:cs="Arial"/>
                <w:sz w:val="24"/>
                <w:szCs w:val="24"/>
                <w:shd w:val="clear" w:color="auto" w:fill="FFFFFF"/>
                <w:lang w:val="es-CO"/>
              </w:rPr>
            </w:pPr>
          </w:p>
          <w:p w14:paraId="631B420D"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Artículo 1. Objeto: Adiciona un nuevo capítulo (Cap. 11) al Decreto 1076 de 2015, creando un procedimiento especial de Licencia Ambiental para proyectos de generación de energía eólica (LAEólica) para impulsar la Transición Energética Justa.</w:t>
            </w:r>
          </w:p>
          <w:p w14:paraId="27C1D5EC" w14:textId="77777777" w:rsidR="00072956" w:rsidRPr="000B180A" w:rsidRDefault="00072956" w:rsidP="007F5995">
            <w:pPr>
              <w:jc w:val="both"/>
              <w:rPr>
                <w:rFonts w:ascii="Arial Narrow" w:hAnsi="Arial Narrow" w:cs="Arial"/>
                <w:sz w:val="24"/>
                <w:szCs w:val="24"/>
                <w:shd w:val="clear" w:color="auto" w:fill="FFFFFF"/>
                <w:lang w:val="es-CO"/>
              </w:rPr>
            </w:pPr>
          </w:p>
          <w:p w14:paraId="52389979"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Artículo 2.2.2.11.1: Proyectos que aplican: Define que proyectos eólicos entre 10 MW y 100 MW que cumplan con ciertos criterios de inclusión podrán acceder a un trámite racionalizado ante ANLA para su licencia ambiental, incluyendo los activos de conexión al Sistema Interconectado Nacional o Zonas No Interconectadas.</w:t>
            </w:r>
          </w:p>
          <w:p w14:paraId="60648F85" w14:textId="77777777" w:rsidR="00072956" w:rsidRPr="000B180A" w:rsidRDefault="00072956" w:rsidP="007F5995">
            <w:pPr>
              <w:jc w:val="both"/>
              <w:rPr>
                <w:rFonts w:ascii="Arial Narrow" w:hAnsi="Arial Narrow" w:cs="Arial"/>
                <w:sz w:val="24"/>
                <w:szCs w:val="24"/>
                <w:shd w:val="clear" w:color="auto" w:fill="FFFFFF"/>
                <w:lang w:val="es-CO"/>
              </w:rPr>
            </w:pPr>
          </w:p>
          <w:p w14:paraId="0CE2D5FC"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Artículo 2.2.2.11.2. Criterios de inclusión de localización ambiental y diseño. </w:t>
            </w:r>
          </w:p>
          <w:p w14:paraId="7537D0E7" w14:textId="77777777" w:rsidR="00072956" w:rsidRPr="000B180A" w:rsidRDefault="00072956" w:rsidP="007F5995">
            <w:pPr>
              <w:jc w:val="both"/>
              <w:rPr>
                <w:rFonts w:ascii="Arial Narrow" w:hAnsi="Arial Narrow" w:cs="Arial"/>
                <w:sz w:val="24"/>
                <w:szCs w:val="24"/>
                <w:shd w:val="clear" w:color="auto" w:fill="FFFFFF"/>
                <w:lang w:val="es-CO"/>
              </w:rPr>
            </w:pPr>
          </w:p>
          <w:p w14:paraId="79561C22"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Justificación:  El establecimiento de criterios claros de inclusión para los proyectos de energía eólica resulta fundamental para garantizar su compatibilidad con los objetivos de conservación y ordenamiento ambiental del territorio. En este sentido, el numeral (i) </w:t>
            </w:r>
            <w:r w:rsidRPr="000B180A">
              <w:rPr>
                <w:rFonts w:ascii="Arial Narrow" w:hAnsi="Arial Narrow" w:cs="Arial"/>
                <w:b/>
                <w:bCs/>
                <w:sz w:val="24"/>
                <w:szCs w:val="24"/>
                <w:shd w:val="clear" w:color="auto" w:fill="FFFFFF"/>
                <w:lang w:val="es-CO"/>
              </w:rPr>
              <w:t>sobre localización ambiental</w:t>
            </w:r>
            <w:r w:rsidRPr="000B180A">
              <w:rPr>
                <w:rFonts w:ascii="Arial Narrow" w:hAnsi="Arial Narrow" w:cs="Arial"/>
                <w:sz w:val="24"/>
                <w:szCs w:val="24"/>
                <w:shd w:val="clear" w:color="auto" w:fill="FFFFFF"/>
                <w:lang w:val="es-CO"/>
              </w:rPr>
              <w:t xml:space="preserve"> establece restricciones orientadas a evitar afectaciones significativas sobre ecosistemas estratégicos y hábitats sensibles. Nacederos, rondas hídricas y zonas marino-costeras reduce el riesgo de interferencia directa con rutas de migración, sitios de reproducción y zonas de alta biodiversidad. Adicionalmente, limitar el aprovechamiento forestal a menos de 20 hectáreas y menos del 10% del parche boscoso —evitando las áreas nucleares— contribuye a conservar la integridad estructural de los ecosistemas, su conectividad y funcionalidad ecológica, especialmente en contextos de fragmentación del paisaje.</w:t>
            </w:r>
          </w:p>
          <w:p w14:paraId="77824C0B" w14:textId="77777777" w:rsidR="00072956" w:rsidRPr="000B180A" w:rsidRDefault="00072956" w:rsidP="007F5995">
            <w:pPr>
              <w:jc w:val="both"/>
              <w:rPr>
                <w:rFonts w:ascii="Arial Narrow" w:hAnsi="Arial Narrow" w:cs="Arial"/>
                <w:sz w:val="24"/>
                <w:szCs w:val="24"/>
                <w:shd w:val="clear" w:color="auto" w:fill="FFFFFF"/>
                <w:lang w:val="es-CO"/>
              </w:rPr>
            </w:pPr>
          </w:p>
          <w:p w14:paraId="5CAC406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Por su parte, el numeral (</w:t>
            </w:r>
            <w:r w:rsidRPr="000B180A">
              <w:rPr>
                <w:rFonts w:ascii="Arial Narrow" w:hAnsi="Arial Narrow" w:cs="Arial"/>
                <w:b/>
                <w:bCs/>
                <w:sz w:val="24"/>
                <w:szCs w:val="24"/>
                <w:shd w:val="clear" w:color="auto" w:fill="FFFFFF"/>
                <w:lang w:val="es-CO"/>
              </w:rPr>
              <w:t>ii) sobre criterios tecnológicos</w:t>
            </w:r>
            <w:r w:rsidRPr="000B180A">
              <w:rPr>
                <w:rFonts w:ascii="Arial Narrow" w:hAnsi="Arial Narrow" w:cs="Arial"/>
                <w:sz w:val="24"/>
                <w:szCs w:val="24"/>
                <w:shd w:val="clear" w:color="auto" w:fill="FFFFFF"/>
                <w:lang w:val="es-CO"/>
              </w:rPr>
              <w:t xml:space="preserve"> y de diseño responde a la necesidad de minimizar los impactos operacionales sobre la fauna, la salud humana y el uso del suelo. La exigencia de sistemas automatizados de detección y parada inteligente ante presencia de fauna, tecnologías para reducir el barotrauma en murciélagos, y diseños aerodinámicos que disminuyen ruido y turbulencia, permiten reducir significativamente los impactos negativos directos e indirectos sobre especies sensibles, muchas de ellas amenazadas o migratorias. Así mismo, la altura mínima de aerogeneradores y la distancia mínima respecto a viviendas o centros poblados permiten mitigar los riesgos relacionados con ruido, sombra parpadeante y percepción paisajística, favoreciendo la aceptación social del proyecto. Finalmente, la limitación del área máxima ocupada hectárea —incluyendo plataformas, subestaciones y vías de acceso— contribuye a reducir la huella física del proyecto, favoreciendo la conservación del uso principal del suelo y la condición de reserva forestal.</w:t>
            </w:r>
          </w:p>
          <w:p w14:paraId="572F7360" w14:textId="77777777" w:rsidR="00072956" w:rsidRPr="000B180A" w:rsidRDefault="00072956" w:rsidP="007F5995">
            <w:pPr>
              <w:jc w:val="both"/>
              <w:rPr>
                <w:rFonts w:ascii="Arial Narrow" w:hAnsi="Arial Narrow" w:cs="Arial"/>
                <w:sz w:val="24"/>
                <w:szCs w:val="24"/>
                <w:shd w:val="clear" w:color="auto" w:fill="FFFFFF"/>
                <w:lang w:val="es-CO"/>
              </w:rPr>
            </w:pPr>
          </w:p>
          <w:p w14:paraId="526A2069"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conjunto, estos criterios permiten viabilizar proyectos de energía eólica de bajo impacto ambiental que, además de contribuir a la transición energética y la mitigación del cambio climático, se desarrollen de forma armónica con los objetivos de protección ambiental y desarrollo sostenible del país.</w:t>
            </w:r>
          </w:p>
          <w:p w14:paraId="4C6A439F" w14:textId="77777777" w:rsidR="00072956" w:rsidRPr="000B180A" w:rsidRDefault="00072956" w:rsidP="007F5995">
            <w:pPr>
              <w:jc w:val="both"/>
              <w:rPr>
                <w:rFonts w:ascii="Arial Narrow" w:hAnsi="Arial Narrow" w:cs="Arial"/>
                <w:sz w:val="24"/>
                <w:szCs w:val="24"/>
                <w:shd w:val="clear" w:color="auto" w:fill="FFFFFF"/>
                <w:lang w:val="es-CO"/>
              </w:rPr>
            </w:pPr>
          </w:p>
          <w:p w14:paraId="582743D5" w14:textId="6ED2447E" w:rsidR="00072956" w:rsidRDefault="009D1E0D" w:rsidP="007F5995">
            <w:pPr>
              <w:jc w:val="both"/>
              <w:rPr>
                <w:rFonts w:ascii="Arial Narrow" w:hAnsi="Arial Narrow" w:cs="Arial"/>
                <w:sz w:val="24"/>
                <w:szCs w:val="24"/>
                <w:shd w:val="clear" w:color="auto" w:fill="FFFFFF"/>
                <w:lang w:val="es-CO"/>
              </w:rPr>
            </w:pPr>
            <w:r w:rsidRPr="009D1E0D">
              <w:rPr>
                <w:rFonts w:ascii="Arial Narrow" w:hAnsi="Arial Narrow" w:cs="Arial"/>
                <w:sz w:val="24"/>
                <w:szCs w:val="24"/>
                <w:shd w:val="clear" w:color="auto" w:fill="FFFFFF"/>
                <w:lang w:val="es-CO"/>
              </w:rPr>
              <w:t>ARTÍCULO 2.2.2.11.3. Información Requerida para la Solicitud de Términos de Referencia Específicos. El interesado en obtener LAEolica deberá solicitar Términos de Referencia Específicos para la Elaboración del Estudio de Impacto Ambiental del proyecto, mediante una comunicación dirigida a la Autoridad Nacional de Licencias Ambientales que contenga la siguiente información</w:t>
            </w:r>
            <w:r w:rsidR="002047CB">
              <w:rPr>
                <w:rFonts w:ascii="Arial Narrow" w:hAnsi="Arial Narrow" w:cs="Arial"/>
                <w:sz w:val="24"/>
                <w:szCs w:val="24"/>
                <w:shd w:val="clear" w:color="auto" w:fill="FFFFFF"/>
                <w:lang w:val="es-CO"/>
              </w:rPr>
              <w:t>.</w:t>
            </w:r>
          </w:p>
          <w:p w14:paraId="65C49EEA" w14:textId="77777777" w:rsidR="009D1E0D" w:rsidRPr="000B180A" w:rsidRDefault="009D1E0D" w:rsidP="007F5995">
            <w:pPr>
              <w:jc w:val="both"/>
              <w:rPr>
                <w:rFonts w:ascii="Arial Narrow" w:hAnsi="Arial Narrow" w:cs="Arial"/>
                <w:sz w:val="24"/>
                <w:szCs w:val="24"/>
                <w:shd w:val="clear" w:color="auto" w:fill="FFFFFF"/>
                <w:lang w:val="es-CO"/>
              </w:rPr>
            </w:pPr>
          </w:p>
          <w:p w14:paraId="75622E6C"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Justificación: </w:t>
            </w:r>
          </w:p>
          <w:p w14:paraId="529BE297" w14:textId="77777777" w:rsidR="00072956" w:rsidRPr="000B180A" w:rsidRDefault="00072956" w:rsidP="007F5995">
            <w:pPr>
              <w:rPr>
                <w:rFonts w:ascii="Arial Narrow" w:hAnsi="Arial Narrow" w:cs="Arial"/>
                <w:sz w:val="24"/>
                <w:szCs w:val="24"/>
                <w:shd w:val="clear" w:color="auto" w:fill="FFFFFF"/>
                <w:lang w:val="es-CO"/>
              </w:rPr>
            </w:pPr>
          </w:p>
          <w:p w14:paraId="41509059" w14:textId="77777777" w:rsidR="00072956" w:rsidRPr="000B180A" w:rsidRDefault="00072956" w:rsidP="007F5995">
            <w:pPr>
              <w:pStyle w:val="Prrafodelista"/>
              <w:numPr>
                <w:ilvl w:val="0"/>
                <w:numId w:val="19"/>
              </w:numPr>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Precisión espacial del proyecto: La exigencia de coordenadas planas en el sistema de referencia oficial (origen único nacional), junto con una salida gráfica, permite identificar con exactitud la ubicación del área de intervención propuesta. Esto es indispensable para evaluar si el proyecto se encuentra en zonas con algún criterio normativo, tales como ecosistemas estratégicos, áreas protegidas o territorios de comunidades étnicas.</w:t>
            </w:r>
          </w:p>
          <w:p w14:paraId="4ABE89D6" w14:textId="77777777" w:rsidR="00072956" w:rsidRPr="000B180A" w:rsidRDefault="00072956" w:rsidP="007F5995">
            <w:pPr>
              <w:numPr>
                <w:ilvl w:val="0"/>
                <w:numId w:val="19"/>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Distribución preliminar de la infraestructura: La presentación de una distribución inicial de obras y actividades dentro del área potencialmente intervenida permite anticipar la escala y localización de los impactos, lo cual es clave para evaluar la necesidad o no de aplicar el régimen general de licenciamiento ambiental o el régimen que se adopta mediante el presente decreto para proyectos de generación de energía eólica que cumplan con los criterios propuestos. </w:t>
            </w:r>
          </w:p>
          <w:p w14:paraId="0ABAB8FA" w14:textId="77777777" w:rsidR="00072956" w:rsidRPr="000B180A" w:rsidRDefault="00072956" w:rsidP="007F5995">
            <w:pPr>
              <w:numPr>
                <w:ilvl w:val="0"/>
                <w:numId w:val="19"/>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Descripción integral del proyecto: Incluir una descripción de todas las fases del proyecto (preconstrucción, construcción, operación, desmantelamiento y abandono) permite a la ANLA contar con una visión completa del ciclo de vida del proyecto, facilitando el análisis de sus posibles afectaciones y la pertinencia del trámite diferenciado.</w:t>
            </w:r>
          </w:p>
          <w:p w14:paraId="38570751" w14:textId="77777777" w:rsidR="00072956" w:rsidRPr="000B180A" w:rsidRDefault="00072956" w:rsidP="007F5995">
            <w:pPr>
              <w:numPr>
                <w:ilvl w:val="0"/>
                <w:numId w:val="19"/>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Justificación técnica y análisis del uso del suelo: este requerimiento busca que el solicitante evidencie de forma técnica y razonada que el proyecto no vulnera determinantes ambientales o usos del suelo incompatibles. Esta información permite realizar un análisis riguroso del cumplimiento de los criterios del artículo 2.2.2.11.2., considerando instrumentos de ordenamiento territorial y determinantes ambientales emitidas por las autoridades competentes.</w:t>
            </w:r>
          </w:p>
          <w:p w14:paraId="7DC0869D" w14:textId="77777777" w:rsidR="00072956" w:rsidRPr="000B180A" w:rsidRDefault="00072956" w:rsidP="007F5995">
            <w:pPr>
              <w:numPr>
                <w:ilvl w:val="0"/>
                <w:numId w:val="19"/>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Modelo de almacenamiento geográfico: La exigencia de que toda la información esté soportada conforme al modelo de almacenamiento geográfico vigente garantiza la interoperabilidad, trazabilidad y eficiencia del análisis técnico que debe realizar la autoridad ambiental.</w:t>
            </w:r>
          </w:p>
          <w:p w14:paraId="5DF92D38" w14:textId="77777777" w:rsidR="00072956" w:rsidRPr="000B180A" w:rsidRDefault="00072956" w:rsidP="007F5995">
            <w:pPr>
              <w:rPr>
                <w:rFonts w:ascii="Arial Narrow" w:hAnsi="Arial Narrow" w:cs="Arial"/>
                <w:sz w:val="24"/>
                <w:szCs w:val="24"/>
                <w:shd w:val="clear" w:color="auto" w:fill="FFFFFF"/>
                <w:lang w:val="es-CO"/>
              </w:rPr>
            </w:pPr>
          </w:p>
          <w:p w14:paraId="3B48A4AC"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Artículo 2.2.2.11.4. Términos de Referencia (TdR) específicos: Se pueden solicitar si cumple los criterios de inclusión, ANLA verifica en 5 días y expide los TdR en 15 días hábiles, si no cumple requisitos, el trámite se entenderá desistido</w:t>
            </w:r>
          </w:p>
          <w:p w14:paraId="6CE22077" w14:textId="77777777" w:rsidR="00072956" w:rsidRPr="000B180A" w:rsidRDefault="00072956" w:rsidP="007F5995">
            <w:pPr>
              <w:jc w:val="both"/>
              <w:rPr>
                <w:rFonts w:ascii="Arial Narrow" w:hAnsi="Arial Narrow" w:cs="Arial"/>
                <w:sz w:val="24"/>
                <w:szCs w:val="24"/>
                <w:shd w:val="clear" w:color="auto" w:fill="FFFFFF"/>
                <w:lang w:val="es-CO"/>
              </w:rPr>
            </w:pPr>
          </w:p>
          <w:p w14:paraId="3A046819"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Justificación: este artículo comparte la justificación del artículo 2.2.2.11.8.</w:t>
            </w:r>
          </w:p>
          <w:p w14:paraId="561A4C17" w14:textId="77777777" w:rsidR="00072956" w:rsidRPr="000B180A" w:rsidRDefault="00072956" w:rsidP="007F5995">
            <w:pPr>
              <w:jc w:val="both"/>
              <w:rPr>
                <w:rFonts w:ascii="Arial Narrow" w:hAnsi="Arial Narrow" w:cs="Arial"/>
                <w:sz w:val="24"/>
                <w:szCs w:val="24"/>
                <w:shd w:val="clear" w:color="auto" w:fill="FFFFFF"/>
                <w:lang w:val="es-CO"/>
              </w:rPr>
            </w:pPr>
          </w:p>
          <w:p w14:paraId="5D9B67BE" w14:textId="77777777" w:rsidR="00D56D07" w:rsidRPr="00D56D07" w:rsidRDefault="00072956" w:rsidP="00D56D07">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Artículo 2.2.2.11.5 </w:t>
            </w:r>
            <w:r w:rsidR="00D56D07" w:rsidRPr="00D56D07">
              <w:rPr>
                <w:rFonts w:ascii="Arial Narrow" w:hAnsi="Arial Narrow" w:cs="Arial"/>
                <w:sz w:val="24"/>
                <w:szCs w:val="24"/>
                <w:shd w:val="clear" w:color="auto" w:fill="FFFFFF"/>
                <w:lang w:val="es-CO"/>
              </w:rPr>
              <w:t xml:space="preserve">Parámetros Generales de los Términos De Referencia Específicos.  Los Términos de Referencia Específicos para la Elaboración del Estudio de Impacto Ambiental del proyecto LAEolica contendrán disposiciones relacionadas con: </w:t>
            </w:r>
          </w:p>
          <w:p w14:paraId="2DE7D8FD" w14:textId="77777777" w:rsidR="00D56D07" w:rsidRPr="00D56D07" w:rsidRDefault="00D56D07" w:rsidP="00D56D07">
            <w:pPr>
              <w:jc w:val="both"/>
              <w:rPr>
                <w:rFonts w:ascii="Arial Narrow" w:hAnsi="Arial Narrow" w:cs="Arial"/>
                <w:sz w:val="24"/>
                <w:szCs w:val="24"/>
                <w:shd w:val="clear" w:color="auto" w:fill="FFFFFF"/>
                <w:lang w:val="es-CO"/>
              </w:rPr>
            </w:pPr>
          </w:p>
          <w:p w14:paraId="327C2A24"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1.</w:t>
            </w:r>
            <w:r w:rsidRPr="00D56D07">
              <w:rPr>
                <w:rFonts w:ascii="Arial Narrow" w:hAnsi="Arial Narrow" w:cs="Arial"/>
                <w:sz w:val="24"/>
                <w:szCs w:val="24"/>
                <w:shd w:val="clear" w:color="auto" w:fill="FFFFFF"/>
                <w:lang w:val="es-CO"/>
              </w:rPr>
              <w:tab/>
              <w:t>Objetivos.</w:t>
            </w:r>
          </w:p>
          <w:p w14:paraId="606984D0"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2.</w:t>
            </w:r>
            <w:r w:rsidRPr="00D56D07">
              <w:rPr>
                <w:rFonts w:ascii="Arial Narrow" w:hAnsi="Arial Narrow" w:cs="Arial"/>
                <w:sz w:val="24"/>
                <w:szCs w:val="24"/>
                <w:shd w:val="clear" w:color="auto" w:fill="FFFFFF"/>
                <w:lang w:val="es-CO"/>
              </w:rPr>
              <w:tab/>
              <w:t>Generalidades.</w:t>
            </w:r>
          </w:p>
          <w:p w14:paraId="4B190251"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3.</w:t>
            </w:r>
            <w:r w:rsidRPr="00D56D07">
              <w:rPr>
                <w:rFonts w:ascii="Arial Narrow" w:hAnsi="Arial Narrow" w:cs="Arial"/>
                <w:sz w:val="24"/>
                <w:szCs w:val="24"/>
                <w:shd w:val="clear" w:color="auto" w:fill="FFFFFF"/>
                <w:lang w:val="es-CO"/>
              </w:rPr>
              <w:tab/>
              <w:t>Descripción del proyecto.</w:t>
            </w:r>
          </w:p>
          <w:p w14:paraId="197AC6B4"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4.</w:t>
            </w:r>
            <w:r w:rsidRPr="00D56D07">
              <w:rPr>
                <w:rFonts w:ascii="Arial Narrow" w:hAnsi="Arial Narrow" w:cs="Arial"/>
                <w:sz w:val="24"/>
                <w:szCs w:val="24"/>
                <w:shd w:val="clear" w:color="auto" w:fill="FFFFFF"/>
                <w:lang w:val="es-CO"/>
              </w:rPr>
              <w:tab/>
              <w:t>Área de Influencia.</w:t>
            </w:r>
          </w:p>
          <w:p w14:paraId="1625A2BD"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5.</w:t>
            </w:r>
            <w:r w:rsidRPr="00D56D07">
              <w:rPr>
                <w:rFonts w:ascii="Arial Narrow" w:hAnsi="Arial Narrow" w:cs="Arial"/>
                <w:sz w:val="24"/>
                <w:szCs w:val="24"/>
                <w:shd w:val="clear" w:color="auto" w:fill="FFFFFF"/>
                <w:lang w:val="es-CO"/>
              </w:rPr>
              <w:tab/>
              <w:t xml:space="preserve">Línea Base Ambiental (Caracterización del Área de Influencia Abiótica, Biótica y Socioeconómica, incluyendo de manera transversal la caracterización de paisaje en cada uno de estos componentes). </w:t>
            </w:r>
          </w:p>
          <w:p w14:paraId="3CE0DABE"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6.</w:t>
            </w:r>
            <w:r w:rsidRPr="00D56D07">
              <w:rPr>
                <w:rFonts w:ascii="Arial Narrow" w:hAnsi="Arial Narrow" w:cs="Arial"/>
                <w:sz w:val="24"/>
                <w:szCs w:val="24"/>
                <w:shd w:val="clear" w:color="auto" w:fill="FFFFFF"/>
                <w:lang w:val="es-CO"/>
              </w:rPr>
              <w:tab/>
              <w:t>Zonificación Ambiental.</w:t>
            </w:r>
          </w:p>
          <w:p w14:paraId="193479B3"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7.</w:t>
            </w:r>
            <w:r w:rsidRPr="00D56D07">
              <w:rPr>
                <w:rFonts w:ascii="Arial Narrow" w:hAnsi="Arial Narrow" w:cs="Arial"/>
                <w:sz w:val="24"/>
                <w:szCs w:val="24"/>
                <w:shd w:val="clear" w:color="auto" w:fill="FFFFFF"/>
                <w:lang w:val="es-CO"/>
              </w:rPr>
              <w:tab/>
              <w:t xml:space="preserve">Demanda, Uso y Aprovechamiento De Recursos Naturales Renovables y Del Medio Ambiente. </w:t>
            </w:r>
          </w:p>
          <w:p w14:paraId="0D2D973B"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8.</w:t>
            </w:r>
            <w:r w:rsidRPr="00D56D07">
              <w:rPr>
                <w:rFonts w:ascii="Arial Narrow" w:hAnsi="Arial Narrow" w:cs="Arial"/>
                <w:sz w:val="24"/>
                <w:szCs w:val="24"/>
                <w:shd w:val="clear" w:color="auto" w:fill="FFFFFF"/>
                <w:lang w:val="es-CO"/>
              </w:rPr>
              <w:tab/>
              <w:t>Identificación y Evaluación de los Impactos Ambientales.</w:t>
            </w:r>
          </w:p>
          <w:p w14:paraId="290F65B0"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9.</w:t>
            </w:r>
            <w:r w:rsidRPr="00D56D07">
              <w:rPr>
                <w:rFonts w:ascii="Arial Narrow" w:hAnsi="Arial Narrow" w:cs="Arial"/>
                <w:sz w:val="24"/>
                <w:szCs w:val="24"/>
                <w:shd w:val="clear" w:color="auto" w:fill="FFFFFF"/>
                <w:lang w:val="es-CO"/>
              </w:rPr>
              <w:tab/>
              <w:t xml:space="preserve">Plan de Manejo Ambiental.  </w:t>
            </w:r>
          </w:p>
          <w:p w14:paraId="4EBCCDB4"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10.</w:t>
            </w:r>
            <w:r w:rsidRPr="00D56D07">
              <w:rPr>
                <w:rFonts w:ascii="Arial Narrow" w:hAnsi="Arial Narrow" w:cs="Arial"/>
                <w:sz w:val="24"/>
                <w:szCs w:val="24"/>
                <w:shd w:val="clear" w:color="auto" w:fill="FFFFFF"/>
                <w:lang w:val="es-CO"/>
              </w:rPr>
              <w:tab/>
              <w:t xml:space="preserve">Plan De Gestión Del Riesgo. </w:t>
            </w:r>
          </w:p>
          <w:p w14:paraId="3C2C5825"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11.</w:t>
            </w:r>
            <w:r w:rsidRPr="00D56D07">
              <w:rPr>
                <w:rFonts w:ascii="Arial Narrow" w:hAnsi="Arial Narrow" w:cs="Arial"/>
                <w:sz w:val="24"/>
                <w:szCs w:val="24"/>
                <w:shd w:val="clear" w:color="auto" w:fill="FFFFFF"/>
                <w:lang w:val="es-CO"/>
              </w:rPr>
              <w:tab/>
              <w:t xml:space="preserve">Plan De Gestión Del Cambio Climático. </w:t>
            </w:r>
          </w:p>
          <w:p w14:paraId="0C3E508C"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12.</w:t>
            </w:r>
            <w:r w:rsidRPr="00D56D07">
              <w:rPr>
                <w:rFonts w:ascii="Arial Narrow" w:hAnsi="Arial Narrow" w:cs="Arial"/>
                <w:sz w:val="24"/>
                <w:szCs w:val="24"/>
                <w:shd w:val="clear" w:color="auto" w:fill="FFFFFF"/>
                <w:lang w:val="es-CO"/>
              </w:rPr>
              <w:tab/>
              <w:t>Plan de Cierre, Desmantelamiento y Abandono.</w:t>
            </w:r>
          </w:p>
          <w:p w14:paraId="4DA4BAD0"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13.</w:t>
            </w:r>
            <w:r w:rsidRPr="00D56D07">
              <w:rPr>
                <w:rFonts w:ascii="Arial Narrow" w:hAnsi="Arial Narrow" w:cs="Arial"/>
                <w:sz w:val="24"/>
                <w:szCs w:val="24"/>
                <w:shd w:val="clear" w:color="auto" w:fill="FFFFFF"/>
                <w:lang w:val="es-CO"/>
              </w:rPr>
              <w:tab/>
              <w:t>Plan De Inversión Forzosa De No Menos Del 1%, cuando resulte aplicable conforme a la norma vigente</w:t>
            </w:r>
          </w:p>
          <w:p w14:paraId="439FA0FE" w14:textId="77777777" w:rsidR="00D56D07" w:rsidRPr="00D56D07"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14.</w:t>
            </w:r>
            <w:r w:rsidRPr="00D56D07">
              <w:rPr>
                <w:rFonts w:ascii="Arial Narrow" w:hAnsi="Arial Narrow" w:cs="Arial"/>
                <w:sz w:val="24"/>
                <w:szCs w:val="24"/>
                <w:shd w:val="clear" w:color="auto" w:fill="FFFFFF"/>
                <w:lang w:val="es-CO"/>
              </w:rPr>
              <w:tab/>
              <w:t>Plan De Compensaciones Del Medio Biótico.</w:t>
            </w:r>
          </w:p>
          <w:p w14:paraId="49E5F35C" w14:textId="5DF00B89" w:rsidR="00072956" w:rsidRPr="000B180A" w:rsidRDefault="00D56D07" w:rsidP="00D56D07">
            <w:pPr>
              <w:jc w:val="both"/>
              <w:rPr>
                <w:rFonts w:ascii="Arial Narrow" w:hAnsi="Arial Narrow" w:cs="Arial"/>
                <w:sz w:val="24"/>
                <w:szCs w:val="24"/>
                <w:shd w:val="clear" w:color="auto" w:fill="FFFFFF"/>
                <w:lang w:val="es-CO"/>
              </w:rPr>
            </w:pPr>
            <w:r w:rsidRPr="00D56D07">
              <w:rPr>
                <w:rFonts w:ascii="Arial Narrow" w:hAnsi="Arial Narrow" w:cs="Arial"/>
                <w:sz w:val="24"/>
                <w:szCs w:val="24"/>
                <w:shd w:val="clear" w:color="auto" w:fill="FFFFFF"/>
                <w:lang w:val="es-CO"/>
              </w:rPr>
              <w:t>15.</w:t>
            </w:r>
            <w:r w:rsidRPr="00D56D07">
              <w:rPr>
                <w:rFonts w:ascii="Arial Narrow" w:hAnsi="Arial Narrow" w:cs="Arial"/>
                <w:sz w:val="24"/>
                <w:szCs w:val="24"/>
                <w:shd w:val="clear" w:color="auto" w:fill="FFFFFF"/>
                <w:lang w:val="es-CO"/>
              </w:rPr>
              <w:tab/>
              <w:t>Cartografía.</w:t>
            </w:r>
          </w:p>
          <w:p w14:paraId="15B5E492" w14:textId="77777777" w:rsidR="00072956" w:rsidRPr="000B180A" w:rsidRDefault="00072956" w:rsidP="007F5995">
            <w:pPr>
              <w:jc w:val="both"/>
              <w:rPr>
                <w:rFonts w:ascii="Arial Narrow" w:hAnsi="Arial Narrow" w:cs="Arial"/>
                <w:sz w:val="24"/>
                <w:szCs w:val="24"/>
                <w:shd w:val="clear" w:color="auto" w:fill="FFFFFF"/>
                <w:lang w:val="es-CO"/>
              </w:rPr>
            </w:pPr>
          </w:p>
          <w:p w14:paraId="7E0E67D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Justificación: este artículo comparte la justificación del artículo 2.2.2.11.8.</w:t>
            </w:r>
          </w:p>
          <w:p w14:paraId="09B282CB" w14:textId="77777777" w:rsidR="00072956" w:rsidRPr="000B180A" w:rsidRDefault="00072956" w:rsidP="007F5995">
            <w:pPr>
              <w:jc w:val="both"/>
              <w:rPr>
                <w:rFonts w:ascii="Arial Narrow" w:hAnsi="Arial Narrow" w:cs="Arial"/>
                <w:sz w:val="24"/>
                <w:szCs w:val="24"/>
                <w:shd w:val="clear" w:color="auto" w:fill="FFFFFF"/>
                <w:lang w:val="es-CO"/>
              </w:rPr>
            </w:pPr>
          </w:p>
          <w:p w14:paraId="4FF72166"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 xml:space="preserve">ARTÍCULO 2.2.2.11.6. Estrategia de Gestión Social. En el marco de la LAEolica, los proyectos incorporarán una Estrategia de Gestión social orientada a promover el desarrollo económico, social y ambiental de las regiones en las que se implementen, basada en el diálogo temprano, continuo y transparente con las comunidades ubicadas en el área de influencia del proyecto.   </w:t>
            </w:r>
          </w:p>
          <w:p w14:paraId="56C91FBE"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 xml:space="preserve">Para tal efecto, antes del inicio de la etapa de construcción del proyecto deberán desarrollar dos (2) espacios de diálogo con las comunidades locales ubicadas en el área de influencia del proyecto. </w:t>
            </w:r>
          </w:p>
          <w:p w14:paraId="7CD3A61E"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 xml:space="preserve">En particular, la Estrategia de Gestión Social tendrá por objeto: </w:t>
            </w:r>
          </w:p>
          <w:p w14:paraId="5E98D4E4" w14:textId="77777777" w:rsidR="009602F4" w:rsidRPr="009602F4" w:rsidRDefault="009602F4" w:rsidP="009602F4">
            <w:pPr>
              <w:jc w:val="both"/>
              <w:rPr>
                <w:rFonts w:ascii="Arial Narrow" w:hAnsi="Arial Narrow" w:cs="Arial"/>
                <w:sz w:val="24"/>
                <w:szCs w:val="24"/>
                <w:shd w:val="clear" w:color="auto" w:fill="FFFFFF"/>
                <w:lang w:val="es-CO"/>
              </w:rPr>
            </w:pPr>
          </w:p>
          <w:p w14:paraId="282C22BE"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w:t>
            </w:r>
            <w:r w:rsidRPr="009602F4">
              <w:rPr>
                <w:rFonts w:ascii="Arial Narrow" w:hAnsi="Arial Narrow" w:cs="Arial"/>
                <w:sz w:val="24"/>
                <w:szCs w:val="24"/>
                <w:shd w:val="clear" w:color="auto" w:fill="FFFFFF"/>
                <w:lang w:val="es-CO"/>
              </w:rPr>
              <w:tab/>
              <w:t xml:space="preserve">Fomentar la confianza entre las comunidades y el desarrollador del proyecto. </w:t>
            </w:r>
          </w:p>
          <w:p w14:paraId="403DACCA"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w:t>
            </w:r>
            <w:r w:rsidRPr="009602F4">
              <w:rPr>
                <w:rFonts w:ascii="Arial Narrow" w:hAnsi="Arial Narrow" w:cs="Arial"/>
                <w:sz w:val="24"/>
                <w:szCs w:val="24"/>
                <w:shd w:val="clear" w:color="auto" w:fill="FFFFFF"/>
                <w:lang w:val="es-CO"/>
              </w:rPr>
              <w:tab/>
              <w:t>Favorecer el respeto por el territorio, la cultura, el ambiente y los derechos humanos.</w:t>
            </w:r>
          </w:p>
          <w:p w14:paraId="191A8C17"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w:t>
            </w:r>
            <w:r w:rsidRPr="009602F4">
              <w:rPr>
                <w:rFonts w:ascii="Arial Narrow" w:hAnsi="Arial Narrow" w:cs="Arial"/>
                <w:sz w:val="24"/>
                <w:szCs w:val="24"/>
                <w:shd w:val="clear" w:color="auto" w:fill="FFFFFF"/>
                <w:lang w:val="es-CO"/>
              </w:rPr>
              <w:tab/>
              <w:t>Fortalecer la participación.</w:t>
            </w:r>
          </w:p>
          <w:p w14:paraId="2A7D0581"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w:t>
            </w:r>
            <w:r w:rsidRPr="009602F4">
              <w:rPr>
                <w:rFonts w:ascii="Arial Narrow" w:hAnsi="Arial Narrow" w:cs="Arial"/>
                <w:sz w:val="24"/>
                <w:szCs w:val="24"/>
                <w:shd w:val="clear" w:color="auto" w:fill="FFFFFF"/>
                <w:lang w:val="es-CO"/>
              </w:rPr>
              <w:tab/>
              <w:t xml:space="preserve">Propender por el desarrollo social y económico de la comunidad. </w:t>
            </w:r>
          </w:p>
          <w:p w14:paraId="1948F3B7" w14:textId="77777777" w:rsidR="009602F4" w:rsidRPr="009602F4" w:rsidRDefault="009602F4" w:rsidP="009602F4">
            <w:pPr>
              <w:jc w:val="both"/>
              <w:rPr>
                <w:rFonts w:ascii="Arial Narrow" w:hAnsi="Arial Narrow" w:cs="Arial"/>
                <w:sz w:val="24"/>
                <w:szCs w:val="24"/>
                <w:shd w:val="clear" w:color="auto" w:fill="FFFFFF"/>
                <w:lang w:val="es-CO"/>
              </w:rPr>
            </w:pPr>
          </w:p>
          <w:p w14:paraId="1EBA82C2"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La Estrategia de Gestión Social deberá contener como mínimo:</w:t>
            </w:r>
          </w:p>
          <w:p w14:paraId="743706B1" w14:textId="77777777" w:rsidR="009602F4" w:rsidRPr="009602F4" w:rsidRDefault="009602F4" w:rsidP="009602F4">
            <w:pPr>
              <w:jc w:val="both"/>
              <w:rPr>
                <w:rFonts w:ascii="Arial Narrow" w:hAnsi="Arial Narrow" w:cs="Arial"/>
                <w:sz w:val="24"/>
                <w:szCs w:val="24"/>
                <w:shd w:val="clear" w:color="auto" w:fill="FFFFFF"/>
                <w:lang w:val="es-CO"/>
              </w:rPr>
            </w:pPr>
          </w:p>
          <w:p w14:paraId="7E08B9AB"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w:t>
            </w:r>
            <w:r w:rsidRPr="009602F4">
              <w:rPr>
                <w:rFonts w:ascii="Arial Narrow" w:hAnsi="Arial Narrow" w:cs="Arial"/>
                <w:sz w:val="24"/>
                <w:szCs w:val="24"/>
                <w:shd w:val="clear" w:color="auto" w:fill="FFFFFF"/>
                <w:lang w:val="es-CO"/>
              </w:rPr>
              <w:tab/>
              <w:t>Identificación de las comunidades o actores involucrados dentro del área de influencia del proyecto.</w:t>
            </w:r>
          </w:p>
          <w:p w14:paraId="2FC7E19D"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w:t>
            </w:r>
            <w:r w:rsidRPr="009602F4">
              <w:rPr>
                <w:rFonts w:ascii="Arial Narrow" w:hAnsi="Arial Narrow" w:cs="Arial"/>
                <w:sz w:val="24"/>
                <w:szCs w:val="24"/>
                <w:shd w:val="clear" w:color="auto" w:fill="FFFFFF"/>
                <w:lang w:val="es-CO"/>
              </w:rPr>
              <w:tab/>
              <w:t xml:space="preserve">La metodología de construcción participativa a través del diálogo temprano, continuo y transparente con las comunidades ubicadas en el área de influencia del proyecto.  </w:t>
            </w:r>
          </w:p>
          <w:p w14:paraId="22270DB1"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w:t>
            </w:r>
            <w:r w:rsidRPr="009602F4">
              <w:rPr>
                <w:rFonts w:ascii="Arial Narrow" w:hAnsi="Arial Narrow" w:cs="Arial"/>
                <w:sz w:val="24"/>
                <w:szCs w:val="24"/>
                <w:shd w:val="clear" w:color="auto" w:fill="FFFFFF"/>
                <w:lang w:val="es-CO"/>
              </w:rPr>
              <w:tab/>
              <w:t>Una lista de alternativas de potenciales propuestas a las comunidades para el desarrollo de Comunidades Energéticas u otros proyectos productivos, de forma articulada con el plan de compensaciones del medio biótico del artículo 2.2.2.1.11.11., así como con las políticas de responsabilidad social del solicitante.</w:t>
            </w:r>
          </w:p>
          <w:p w14:paraId="4F4507FB"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w:t>
            </w:r>
            <w:r w:rsidRPr="009602F4">
              <w:rPr>
                <w:rFonts w:ascii="Arial Narrow" w:hAnsi="Arial Narrow" w:cs="Arial"/>
                <w:sz w:val="24"/>
                <w:szCs w:val="24"/>
                <w:shd w:val="clear" w:color="auto" w:fill="FFFFFF"/>
                <w:lang w:val="es-CO"/>
              </w:rPr>
              <w:tab/>
              <w:t xml:space="preserve">Un proyecto de cronograma de ejecución de la Estrategia. </w:t>
            </w:r>
          </w:p>
          <w:p w14:paraId="2650095E" w14:textId="77777777" w:rsidR="009602F4" w:rsidRPr="009602F4" w:rsidRDefault="009602F4" w:rsidP="009602F4">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w:t>
            </w:r>
            <w:r w:rsidRPr="009602F4">
              <w:rPr>
                <w:rFonts w:ascii="Arial Narrow" w:hAnsi="Arial Narrow" w:cs="Arial"/>
                <w:sz w:val="24"/>
                <w:szCs w:val="24"/>
                <w:shd w:val="clear" w:color="auto" w:fill="FFFFFF"/>
                <w:lang w:val="es-CO"/>
              </w:rPr>
              <w:tab/>
              <w:t xml:space="preserve">Programa de seguimiento a la estrategia. </w:t>
            </w:r>
          </w:p>
          <w:p w14:paraId="6784252D" w14:textId="77777777" w:rsidR="009602F4" w:rsidRPr="009602F4" w:rsidRDefault="009602F4" w:rsidP="009602F4">
            <w:pPr>
              <w:jc w:val="both"/>
              <w:rPr>
                <w:rFonts w:ascii="Arial Narrow" w:hAnsi="Arial Narrow" w:cs="Arial"/>
                <w:sz w:val="24"/>
                <w:szCs w:val="24"/>
                <w:shd w:val="clear" w:color="auto" w:fill="FFFFFF"/>
                <w:lang w:val="es-CO"/>
              </w:rPr>
            </w:pPr>
          </w:p>
          <w:p w14:paraId="3B439609" w14:textId="381AC64E" w:rsidR="00072956" w:rsidRPr="000B180A" w:rsidRDefault="009602F4" w:rsidP="007F5995">
            <w:pPr>
              <w:jc w:val="both"/>
              <w:rPr>
                <w:rFonts w:ascii="Arial Narrow" w:hAnsi="Arial Narrow" w:cs="Arial"/>
                <w:sz w:val="24"/>
                <w:szCs w:val="24"/>
                <w:shd w:val="clear" w:color="auto" w:fill="FFFFFF"/>
                <w:lang w:val="es-CO"/>
              </w:rPr>
            </w:pPr>
            <w:r w:rsidRPr="009602F4">
              <w:rPr>
                <w:rFonts w:ascii="Arial Narrow" w:hAnsi="Arial Narrow" w:cs="Arial"/>
                <w:sz w:val="24"/>
                <w:szCs w:val="24"/>
                <w:shd w:val="clear" w:color="auto" w:fill="FFFFFF"/>
                <w:lang w:val="es-CO"/>
              </w:rPr>
              <w:t xml:space="preserve">La Estrategia de Gestión Social deberá ser adoptada por el titular del proyecto antes del inicio de construcción y será exigible por parte de la ANLA en la etapa de Seguimiento a la Licencia Ambiental, sin que ello implique su incorporación en el Plan de Manejo Ambiental. En el evento en que la Estrategia de Gestión Social no pueda ejecutarse por fuerza mayor, caso fortuito o hecho de terceros, el titular del proyecto deberá notificarlo a la ANLA, para que esta lo tome en consideración en el proceso de seguimiento a la Licencia ambiental. En todo caso, el titular del proyecto deberá realizar los esfuerzos razonables y demostrar diligencia en la ejecución de la estrategia.  </w:t>
            </w:r>
            <w:r w:rsidR="00072956" w:rsidRPr="000B180A">
              <w:rPr>
                <w:rFonts w:ascii="Arial Narrow" w:hAnsi="Arial Narrow" w:cs="Arial"/>
                <w:sz w:val="24"/>
                <w:szCs w:val="24"/>
                <w:shd w:val="clear" w:color="auto" w:fill="FFFFFF"/>
                <w:lang w:val="es-CO"/>
              </w:rPr>
              <w:t>La inclusión de este artículo en el decreto obedece a la necesidad de asegurar que los proyectos de generación de energía mediante Fuentes No Convencionales de Energía Renovable (FNCER), como los proyectos eólicos, no solo se desarrollen bajo criterios técnicos y ambientales, sino también desde un enfoque integral de justicia social, participación ciudadana y gobernanza territorial.</w:t>
            </w:r>
          </w:p>
          <w:p w14:paraId="2ADF9D41" w14:textId="77777777" w:rsidR="00072956" w:rsidRPr="000B180A" w:rsidRDefault="00072956" w:rsidP="007F5995">
            <w:pPr>
              <w:jc w:val="both"/>
              <w:rPr>
                <w:rFonts w:ascii="Arial Narrow" w:hAnsi="Arial Narrow" w:cs="Arial"/>
                <w:sz w:val="24"/>
                <w:szCs w:val="24"/>
                <w:shd w:val="clear" w:color="auto" w:fill="FFFFFF"/>
                <w:lang w:val="es-CO"/>
              </w:rPr>
            </w:pPr>
          </w:p>
          <w:p w14:paraId="5FA0931D" w14:textId="77777777" w:rsidR="00072956" w:rsidRPr="000B180A" w:rsidRDefault="00072956" w:rsidP="007F5995">
            <w:pPr>
              <w:pStyle w:val="Prrafodelista"/>
              <w:numPr>
                <w:ilvl w:val="1"/>
                <w:numId w:val="15"/>
              </w:numPr>
              <w:ind w:left="543"/>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Enfoque de derechos y justicia ambiental</w:t>
            </w:r>
          </w:p>
          <w:p w14:paraId="2E38AAD5" w14:textId="77777777" w:rsidR="00072956" w:rsidRPr="000B180A" w:rsidRDefault="00072956" w:rsidP="007F5995">
            <w:pPr>
              <w:pStyle w:val="Prrafodelista"/>
              <w:ind w:left="1440"/>
              <w:rPr>
                <w:rFonts w:ascii="Arial Narrow" w:eastAsia="Times New Roman" w:hAnsi="Arial Narrow"/>
                <w:sz w:val="24"/>
                <w:szCs w:val="24"/>
                <w:shd w:val="clear" w:color="auto" w:fill="FFFFFF"/>
                <w:lang w:eastAsia="es-ES"/>
              </w:rPr>
            </w:pPr>
          </w:p>
          <w:p w14:paraId="4EFE8B6A"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Este artículo se sustenta en el reconocimiento de que el acceso a la energía limpia no puede desvincularse de los derechos territoriales, sociales y culturales de las comunidades que habitan los lugares donde se desarrollan los proyectos. Se parte del principio constitucional de primacía del interés general, pero también de los principios de participación, equidad y solidaridad (artículos 1, 2, 79 y 330 de la Constitución), así como del respeto a los derechos fundamentales de las comunidades étnicas y campesinas a la consulta, la autodeterminación y la preservación de sus medios de vida.</w:t>
            </w:r>
          </w:p>
          <w:p w14:paraId="163739C7" w14:textId="77777777" w:rsidR="00072956" w:rsidRPr="000B180A" w:rsidRDefault="00072956" w:rsidP="007F5995">
            <w:pPr>
              <w:jc w:val="both"/>
              <w:rPr>
                <w:rFonts w:ascii="Arial Narrow" w:hAnsi="Arial Narrow" w:cs="Arial"/>
                <w:sz w:val="24"/>
                <w:szCs w:val="24"/>
                <w:shd w:val="clear" w:color="auto" w:fill="FFFFFF"/>
                <w:lang w:val="es-CO"/>
              </w:rPr>
            </w:pPr>
          </w:p>
          <w:p w14:paraId="5FB039B8"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2. Cumplimiento del Acuerdo de Escazú La Ley 2273 de 2022, mediante la cual se incorporó el Acuerdo de Escazú al ordenamiento jurídico colombiano, refuerza el deber del Estado de garantizar:</w:t>
            </w:r>
          </w:p>
          <w:p w14:paraId="06A32B0D" w14:textId="77777777" w:rsidR="00072956" w:rsidRPr="000B180A" w:rsidRDefault="00072956" w:rsidP="007F5995">
            <w:pPr>
              <w:rPr>
                <w:rFonts w:ascii="Arial Narrow" w:hAnsi="Arial Narrow" w:cs="Arial"/>
                <w:sz w:val="24"/>
                <w:szCs w:val="24"/>
                <w:shd w:val="clear" w:color="auto" w:fill="FFFFFF"/>
                <w:lang w:val="es-CO"/>
              </w:rPr>
            </w:pPr>
          </w:p>
          <w:p w14:paraId="3CB75815" w14:textId="77777777" w:rsidR="00072956" w:rsidRPr="000B180A" w:rsidRDefault="00072956" w:rsidP="007F5995">
            <w:pPr>
              <w:numPr>
                <w:ilvl w:val="0"/>
                <w:numId w:val="16"/>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derecho de acceso a la información ambiental.</w:t>
            </w:r>
          </w:p>
          <w:p w14:paraId="60BAE69B" w14:textId="77777777" w:rsidR="00072956" w:rsidRPr="000B180A" w:rsidRDefault="00072956" w:rsidP="007F5995">
            <w:pPr>
              <w:numPr>
                <w:ilvl w:val="0"/>
                <w:numId w:val="16"/>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participación pública oportuna, significativa e informada en procesos de toma de decisiones que puedan afectar el ambiente o el territorio.</w:t>
            </w:r>
          </w:p>
          <w:p w14:paraId="7D2DC55C" w14:textId="77777777" w:rsidR="00072956" w:rsidRPr="000B180A" w:rsidRDefault="00072956" w:rsidP="007F5995">
            <w:pPr>
              <w:numPr>
                <w:ilvl w:val="0"/>
                <w:numId w:val="16"/>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acceso a la justicia ambiental, así como la protección de defensores de derechos humanos en asuntos ambientales.</w:t>
            </w:r>
          </w:p>
          <w:p w14:paraId="5FF960B1"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7CFF5351"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Este artículo contribuye directamente a la implementación de estos compromisos internacionales, al establecer mecanismos formales de inclusión social en los Estudios de Impacto Ambiental (EIA), y al facultar a la autoridad ambiental para fomentar la participación ciudadana en el seguimiento de los proyectos.</w:t>
            </w:r>
          </w:p>
          <w:p w14:paraId="6A2C55A4" w14:textId="77777777" w:rsidR="00072956" w:rsidRPr="000B180A" w:rsidRDefault="00072956" w:rsidP="007F5995">
            <w:pPr>
              <w:jc w:val="both"/>
              <w:rPr>
                <w:rFonts w:ascii="Arial Narrow" w:hAnsi="Arial Narrow" w:cs="Arial"/>
                <w:sz w:val="24"/>
                <w:szCs w:val="24"/>
                <w:shd w:val="clear" w:color="auto" w:fill="FFFFFF"/>
                <w:lang w:val="es-CO"/>
              </w:rPr>
            </w:pPr>
          </w:p>
          <w:p w14:paraId="41DE614D"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3. Desarrollo local con enfoque territorial y diferencial</w:t>
            </w:r>
          </w:p>
          <w:p w14:paraId="0B478FF5" w14:textId="77777777" w:rsidR="00072956" w:rsidRPr="000B180A" w:rsidRDefault="00072956" w:rsidP="007F5995">
            <w:pPr>
              <w:rPr>
                <w:rFonts w:ascii="Arial Narrow" w:hAnsi="Arial Narrow" w:cs="Arial"/>
                <w:sz w:val="24"/>
                <w:szCs w:val="24"/>
                <w:shd w:val="clear" w:color="auto" w:fill="FFFFFF"/>
                <w:lang w:val="es-CO"/>
              </w:rPr>
            </w:pPr>
          </w:p>
          <w:p w14:paraId="536A5A55" w14:textId="5AE9A5CA"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El enfoque de </w:t>
            </w:r>
            <w:r w:rsidR="00A778E2">
              <w:rPr>
                <w:rFonts w:ascii="Arial Narrow" w:hAnsi="Arial Narrow" w:cs="Arial"/>
                <w:sz w:val="24"/>
                <w:szCs w:val="24"/>
                <w:shd w:val="clear" w:color="auto" w:fill="FFFFFF"/>
                <w:lang w:val="es-CO"/>
              </w:rPr>
              <w:t xml:space="preserve">estrategia de gestión social </w:t>
            </w:r>
            <w:r w:rsidRPr="000B180A">
              <w:rPr>
                <w:rFonts w:ascii="Arial Narrow" w:hAnsi="Arial Narrow" w:cs="Arial"/>
                <w:sz w:val="24"/>
                <w:szCs w:val="24"/>
                <w:shd w:val="clear" w:color="auto" w:fill="FFFFFF"/>
                <w:lang w:val="es-CO"/>
              </w:rPr>
              <w:t>busca garantizar que el despliegue de infraestructura energética se traduzca en beneficios tangibles para las comunidades locales, en forma de:</w:t>
            </w:r>
          </w:p>
          <w:p w14:paraId="32184ECA" w14:textId="77777777" w:rsidR="00072956" w:rsidRPr="000B180A" w:rsidRDefault="00072956" w:rsidP="007F5995">
            <w:pPr>
              <w:jc w:val="both"/>
              <w:rPr>
                <w:rFonts w:ascii="Arial Narrow" w:hAnsi="Arial Narrow" w:cs="Arial"/>
                <w:sz w:val="24"/>
                <w:szCs w:val="24"/>
                <w:shd w:val="clear" w:color="auto" w:fill="FFFFFF"/>
                <w:lang w:val="es-CO"/>
              </w:rPr>
            </w:pPr>
          </w:p>
          <w:p w14:paraId="6993620A" w14:textId="77777777" w:rsidR="00072956" w:rsidRPr="000B180A" w:rsidRDefault="00072956" w:rsidP="007F5995">
            <w:pPr>
              <w:numPr>
                <w:ilvl w:val="0"/>
                <w:numId w:val="17"/>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Apoyo a proyectos productivos locales, iniciativas de comunidades energéticas o reconversiones económicas adaptadas al territorio.</w:t>
            </w:r>
          </w:p>
          <w:p w14:paraId="5624FE7C" w14:textId="77777777" w:rsidR="00072956" w:rsidRPr="000B180A" w:rsidRDefault="00072956" w:rsidP="007F5995">
            <w:pPr>
              <w:numPr>
                <w:ilvl w:val="0"/>
                <w:numId w:val="17"/>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Mecanismos de concertación que valoren la vocación productiva del suelo y el uso ancestral del territorio.</w:t>
            </w:r>
          </w:p>
          <w:p w14:paraId="6443C79E" w14:textId="77777777" w:rsidR="00072956" w:rsidRPr="000B180A" w:rsidRDefault="00072956" w:rsidP="007F5995">
            <w:pPr>
              <w:numPr>
                <w:ilvl w:val="0"/>
                <w:numId w:val="17"/>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Aportes concretos al desarrollo económico, social y ambiental desde una perspectiva situada, es decir, que reconozca las particularidades del contexto local y sus actores.</w:t>
            </w:r>
          </w:p>
          <w:p w14:paraId="174DD9CF"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20A992C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De esta manera, se avanza hacia un modelo de transición energética justa, tal como lo ha venido promoviendo Ministerio de Ambiente, el Minenergía y los lineamientos del CONPES 4075 de 2022 (Transición Energética Justa).</w:t>
            </w:r>
          </w:p>
          <w:p w14:paraId="24706EBA" w14:textId="77777777" w:rsidR="00072956" w:rsidRPr="000B180A" w:rsidRDefault="00072956" w:rsidP="007F5995">
            <w:pPr>
              <w:jc w:val="both"/>
              <w:rPr>
                <w:rFonts w:ascii="Arial Narrow" w:hAnsi="Arial Narrow" w:cs="Arial"/>
                <w:sz w:val="24"/>
                <w:szCs w:val="24"/>
                <w:shd w:val="clear" w:color="auto" w:fill="FFFFFF"/>
                <w:lang w:val="es-CO"/>
              </w:rPr>
            </w:pPr>
          </w:p>
          <w:p w14:paraId="0854A346"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 Exigibilidad y seguimiento como garantías de cumplimiento</w:t>
            </w:r>
          </w:p>
          <w:p w14:paraId="320875C5" w14:textId="77777777" w:rsidR="00072956" w:rsidRPr="000B180A" w:rsidRDefault="00072956" w:rsidP="007F5995">
            <w:pPr>
              <w:rPr>
                <w:rFonts w:ascii="Arial Narrow" w:hAnsi="Arial Narrow" w:cs="Arial"/>
                <w:sz w:val="24"/>
                <w:szCs w:val="24"/>
                <w:shd w:val="clear" w:color="auto" w:fill="FFFFFF"/>
                <w:lang w:val="es-CO"/>
              </w:rPr>
            </w:pPr>
          </w:p>
          <w:p w14:paraId="099AC908"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exigibilidad del Plan de Compensación, Acuerdos Sociales y Gobernanza por parte de la ANLA durante la etapa de seguimiento permite que estos compromisos no sean meramente enunciativos, sino que se constituyan en instrumentos vinculantes y evaluables, cuya implementación debe ser verificada en campo. Esto responde al principio de eficacia ambiental y de responsabilidad compartida entre promotores, Estado y ciudadanía.</w:t>
            </w:r>
          </w:p>
          <w:p w14:paraId="121EEFCE" w14:textId="77777777" w:rsidR="00072956" w:rsidRPr="000B180A" w:rsidRDefault="00072956" w:rsidP="007F5995">
            <w:pPr>
              <w:jc w:val="both"/>
              <w:rPr>
                <w:rFonts w:ascii="Arial Narrow" w:hAnsi="Arial Narrow" w:cs="Arial"/>
                <w:sz w:val="24"/>
                <w:szCs w:val="24"/>
                <w:shd w:val="clear" w:color="auto" w:fill="FFFFFF"/>
                <w:lang w:val="es-CO"/>
              </w:rPr>
            </w:pPr>
          </w:p>
          <w:p w14:paraId="47E278A5"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5. Reconocimiento y fortalecimiento de autoridades étnicas y comunitarias</w:t>
            </w:r>
          </w:p>
          <w:p w14:paraId="563B1E5E" w14:textId="77777777" w:rsidR="00072956" w:rsidRPr="000B180A" w:rsidRDefault="00072956" w:rsidP="007F5995">
            <w:pPr>
              <w:rPr>
                <w:rFonts w:ascii="Arial Narrow" w:hAnsi="Arial Narrow" w:cs="Arial"/>
                <w:sz w:val="24"/>
                <w:szCs w:val="24"/>
                <w:shd w:val="clear" w:color="auto" w:fill="FFFFFF"/>
                <w:lang w:val="es-CO"/>
              </w:rPr>
            </w:pPr>
          </w:p>
          <w:p w14:paraId="3508E07A"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Los parágrafos 2 y 3 refuerzan el papel de las comunidades étnicas y sus autoridades ambientales propias como actores con competencias reconocidas para la gestión ambiental de sus territorios, en concordancia con:</w:t>
            </w:r>
          </w:p>
          <w:p w14:paraId="30988A7A" w14:textId="77777777" w:rsidR="00072956" w:rsidRPr="000B180A" w:rsidRDefault="00072956" w:rsidP="007F5995">
            <w:pPr>
              <w:jc w:val="both"/>
              <w:rPr>
                <w:rFonts w:ascii="Arial Narrow" w:hAnsi="Arial Narrow" w:cs="Arial"/>
                <w:sz w:val="24"/>
                <w:szCs w:val="24"/>
                <w:shd w:val="clear" w:color="auto" w:fill="FFFFFF"/>
                <w:lang w:val="es-CO"/>
              </w:rPr>
            </w:pPr>
          </w:p>
          <w:p w14:paraId="67054236" w14:textId="77777777" w:rsidR="00072956" w:rsidRPr="000B180A" w:rsidRDefault="00072956" w:rsidP="007F5995">
            <w:pPr>
              <w:numPr>
                <w:ilvl w:val="0"/>
                <w:numId w:val="18"/>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Convenio 169 de la OIT, la Constitución Política (arts. 330 y 7), la Ley 21 de 1991, y el Decreto 632 de 2023 sobre consulta previa.</w:t>
            </w:r>
          </w:p>
          <w:p w14:paraId="4FC9EDEE" w14:textId="77777777" w:rsidR="00072956" w:rsidRPr="000B180A" w:rsidRDefault="00072956" w:rsidP="007F5995">
            <w:pPr>
              <w:numPr>
                <w:ilvl w:val="0"/>
                <w:numId w:val="18"/>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Decreto Ley 1094 de 2024 y el Decreto 1275 de 2024, que reconocen competencias ambientales propias de pueblos indígenas y afrodescendientes.</w:t>
            </w:r>
          </w:p>
          <w:p w14:paraId="10B994E9" w14:textId="77777777" w:rsidR="00072956" w:rsidRPr="000B180A" w:rsidRDefault="00072956" w:rsidP="007F5995">
            <w:pPr>
              <w:numPr>
                <w:ilvl w:val="0"/>
                <w:numId w:val="18"/>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necesidad de que las comunidades étnicas participen de forma activa y coordinada en la construcción, ejecución y seguimiento de los proyectos que afectan sus territorios.</w:t>
            </w:r>
          </w:p>
          <w:p w14:paraId="3A927321"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1F579394"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Además, la posibilidad de establecer alianzas interinstitucionales entre la ANLA y autoridades étnicas con competencias ambientales materializa los principios de coordinación y concurrencia (Ley 99 de 1993, Decreto 1076 de 2015), y fortalece la gobernanza territorial intercultural.</w:t>
            </w:r>
          </w:p>
          <w:p w14:paraId="7DC55F64" w14:textId="77777777" w:rsidR="00072956" w:rsidRPr="000B180A" w:rsidRDefault="00072956" w:rsidP="007F5995">
            <w:pPr>
              <w:jc w:val="both"/>
              <w:rPr>
                <w:rFonts w:ascii="Arial Narrow" w:hAnsi="Arial Narrow" w:cs="Arial"/>
                <w:sz w:val="24"/>
                <w:szCs w:val="24"/>
                <w:shd w:val="clear" w:color="auto" w:fill="FFFFFF"/>
                <w:lang w:val="es-CO"/>
              </w:rPr>
            </w:pPr>
          </w:p>
          <w:p w14:paraId="17E97C3D"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Este artículo contribuye a equilibrar los objetivos de sostenibilidad energética con los principios de equidad social, territorial y ambiental. Garantiza que la transición energética se base en el diálogo, la corresponsabilidad y la inclusión activa de las comunidades, integrando la planificación ambiental y el desarrollo económico con una visión de justicia y paz territorial.</w:t>
            </w:r>
          </w:p>
          <w:p w14:paraId="734FDBD7" w14:textId="77777777" w:rsidR="00072956" w:rsidRPr="000B180A" w:rsidRDefault="00072956" w:rsidP="007F5995">
            <w:pPr>
              <w:jc w:val="both"/>
              <w:rPr>
                <w:rFonts w:ascii="Arial Narrow" w:hAnsi="Arial Narrow" w:cs="Arial"/>
                <w:sz w:val="24"/>
                <w:szCs w:val="24"/>
                <w:shd w:val="clear" w:color="auto" w:fill="FFFFFF"/>
                <w:lang w:val="es-CO"/>
              </w:rPr>
            </w:pPr>
          </w:p>
          <w:p w14:paraId="352EE99C" w14:textId="77777777" w:rsidR="0029406D" w:rsidRPr="0029406D" w:rsidRDefault="00072956" w:rsidP="0029406D">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Artículo 2.2.2.11.7 </w:t>
            </w:r>
            <w:r w:rsidR="0029406D" w:rsidRPr="0029406D">
              <w:rPr>
                <w:rFonts w:ascii="Arial Narrow" w:hAnsi="Arial Narrow" w:cs="Arial"/>
                <w:sz w:val="24"/>
                <w:szCs w:val="24"/>
                <w:shd w:val="clear" w:color="auto" w:fill="FFFFFF"/>
                <w:lang w:val="es-CO"/>
              </w:rPr>
              <w:t>Criterios de evaluación LAEólica. La ANLA evaluará el Estudio de Impacto Ambiental presentado, de acuerdo con lo siguiente:</w:t>
            </w:r>
          </w:p>
          <w:p w14:paraId="63C4DE03" w14:textId="77777777" w:rsidR="0029406D" w:rsidRPr="0029406D" w:rsidRDefault="0029406D" w:rsidP="0029406D">
            <w:pPr>
              <w:jc w:val="both"/>
              <w:rPr>
                <w:rFonts w:ascii="Arial Narrow" w:hAnsi="Arial Narrow" w:cs="Arial"/>
                <w:sz w:val="24"/>
                <w:szCs w:val="24"/>
                <w:shd w:val="clear" w:color="auto" w:fill="FFFFFF"/>
                <w:lang w:val="es-CO"/>
              </w:rPr>
            </w:pPr>
          </w:p>
          <w:p w14:paraId="1285F8DA" w14:textId="77777777" w:rsidR="0029406D" w:rsidRPr="0029406D" w:rsidRDefault="0029406D" w:rsidP="00ED016A">
            <w:pPr>
              <w:jc w:val="both"/>
              <w:rPr>
                <w:rFonts w:ascii="Arial Narrow" w:hAnsi="Arial Narrow" w:cs="Arial"/>
                <w:sz w:val="24"/>
                <w:szCs w:val="24"/>
                <w:shd w:val="clear" w:color="auto" w:fill="FFFFFF"/>
                <w:lang w:val="es-CO"/>
              </w:rPr>
            </w:pPr>
            <w:r w:rsidRPr="0029406D">
              <w:rPr>
                <w:rFonts w:ascii="Arial Narrow" w:hAnsi="Arial Narrow" w:cs="Arial"/>
                <w:sz w:val="24"/>
                <w:szCs w:val="24"/>
                <w:shd w:val="clear" w:color="auto" w:fill="FFFFFF"/>
                <w:lang w:val="es-CO"/>
              </w:rPr>
              <w:t>a)</w:t>
            </w:r>
            <w:r w:rsidRPr="0029406D">
              <w:rPr>
                <w:rFonts w:ascii="Arial Narrow" w:hAnsi="Arial Narrow" w:cs="Arial"/>
                <w:sz w:val="24"/>
                <w:szCs w:val="24"/>
                <w:shd w:val="clear" w:color="auto" w:fill="FFFFFF"/>
                <w:lang w:val="es-CO"/>
              </w:rPr>
              <w:tab/>
              <w:t>El Plan de Seguimiento y Monitoreo (PSM) y sus complementos serán definidos por la ANLA en el proceso de evaluación ambiental y podrán ser modificados durante el proceso de seguimiento ambiental.</w:t>
            </w:r>
          </w:p>
          <w:p w14:paraId="38A87BEB" w14:textId="77777777" w:rsidR="0029406D" w:rsidRPr="0029406D" w:rsidRDefault="0029406D" w:rsidP="00ED016A">
            <w:pPr>
              <w:jc w:val="both"/>
              <w:rPr>
                <w:rFonts w:ascii="Arial Narrow" w:hAnsi="Arial Narrow" w:cs="Arial"/>
                <w:sz w:val="24"/>
                <w:szCs w:val="24"/>
                <w:shd w:val="clear" w:color="auto" w:fill="FFFFFF"/>
                <w:lang w:val="es-CO"/>
              </w:rPr>
            </w:pPr>
            <w:r w:rsidRPr="0029406D">
              <w:rPr>
                <w:rFonts w:ascii="Arial Narrow" w:hAnsi="Arial Narrow" w:cs="Arial"/>
                <w:sz w:val="24"/>
                <w:szCs w:val="24"/>
                <w:shd w:val="clear" w:color="auto" w:fill="FFFFFF"/>
                <w:lang w:val="es-CO"/>
              </w:rPr>
              <w:t>b)</w:t>
            </w:r>
            <w:r w:rsidRPr="0029406D">
              <w:rPr>
                <w:rFonts w:ascii="Arial Narrow" w:hAnsi="Arial Narrow" w:cs="Arial"/>
                <w:sz w:val="24"/>
                <w:szCs w:val="24"/>
                <w:shd w:val="clear" w:color="auto" w:fill="FFFFFF"/>
                <w:lang w:val="es-CO"/>
              </w:rPr>
              <w:tab/>
              <w:t>En principio, no se requerirá la realización de monitoreos en dos temporadas climáticas. Excepcionalmente, de considerarse necesario por parte de la ANLA, un monitoreo deberá ejecutarse con anterioridad a la solicitud de Evaluación Estudio de Impacto Ambiental del proyecto, en la temporada climática en que se encuentre; y complementarse con el segundo monitoreo durante la etapa de preconstrucción, en el marco del proceso de seguimiento ambiental.</w:t>
            </w:r>
          </w:p>
          <w:p w14:paraId="32A6AD1B" w14:textId="77777777" w:rsidR="0029406D" w:rsidRPr="0029406D" w:rsidRDefault="0029406D" w:rsidP="00ED016A">
            <w:pPr>
              <w:jc w:val="both"/>
              <w:rPr>
                <w:rFonts w:ascii="Arial Narrow" w:hAnsi="Arial Narrow" w:cs="Arial"/>
                <w:sz w:val="24"/>
                <w:szCs w:val="24"/>
                <w:shd w:val="clear" w:color="auto" w:fill="FFFFFF"/>
                <w:lang w:val="es-CO"/>
              </w:rPr>
            </w:pPr>
            <w:r w:rsidRPr="0029406D">
              <w:rPr>
                <w:rFonts w:ascii="Arial Narrow" w:hAnsi="Arial Narrow" w:cs="Arial"/>
                <w:sz w:val="24"/>
                <w:szCs w:val="24"/>
                <w:shd w:val="clear" w:color="auto" w:fill="FFFFFF"/>
                <w:lang w:val="es-CO"/>
              </w:rPr>
              <w:t>c)</w:t>
            </w:r>
            <w:r w:rsidRPr="0029406D">
              <w:rPr>
                <w:rFonts w:ascii="Arial Narrow" w:hAnsi="Arial Narrow" w:cs="Arial"/>
                <w:sz w:val="24"/>
                <w:szCs w:val="24"/>
                <w:shd w:val="clear" w:color="auto" w:fill="FFFFFF"/>
                <w:lang w:val="es-CO"/>
              </w:rPr>
              <w:tab/>
              <w:t>Se deberá realizar un inventario de la avifauna y la quiropterofauna (murciélagos) presente en el área de influencia del proyecto. Esto incluye la presencia, densidad, patrones de distribución y comportamiento de las especies registradas. En el caso de las aves, se deberá contemplar tanto especies residentes como especies migratorias, considerando su estacionalidad, uso del hábitat y rutas de vuelo. Para los murciélagos, se deberá incluir información sobre hábitos de alimentación, refugio, desplazamiento y uso del espacio aéreo, con especial atención a especies en riesgo o de interés ecológico. La caracterización deberá basarse en metodologías reconocidas de muestreo como técnicas acústicas, redes de niebla y observación directa, que garanticen la representatividad y confiabilidad de los datos recolectados.</w:t>
            </w:r>
          </w:p>
          <w:p w14:paraId="3F4BAA44" w14:textId="77777777" w:rsidR="0029406D" w:rsidRPr="0029406D" w:rsidRDefault="0029406D" w:rsidP="00ED016A">
            <w:pPr>
              <w:jc w:val="both"/>
              <w:rPr>
                <w:rFonts w:ascii="Arial Narrow" w:hAnsi="Arial Narrow" w:cs="Arial"/>
                <w:sz w:val="24"/>
                <w:szCs w:val="24"/>
                <w:shd w:val="clear" w:color="auto" w:fill="FFFFFF"/>
                <w:lang w:val="es-CO"/>
              </w:rPr>
            </w:pPr>
            <w:r w:rsidRPr="0029406D">
              <w:rPr>
                <w:rFonts w:ascii="Arial Narrow" w:hAnsi="Arial Narrow" w:cs="Arial"/>
                <w:sz w:val="24"/>
                <w:szCs w:val="24"/>
                <w:shd w:val="clear" w:color="auto" w:fill="FFFFFF"/>
                <w:lang w:val="es-CO"/>
              </w:rPr>
              <w:t>d)</w:t>
            </w:r>
            <w:r w:rsidRPr="0029406D">
              <w:rPr>
                <w:rFonts w:ascii="Arial Narrow" w:hAnsi="Arial Narrow" w:cs="Arial"/>
                <w:sz w:val="24"/>
                <w:szCs w:val="24"/>
                <w:shd w:val="clear" w:color="auto" w:fill="FFFFFF"/>
                <w:lang w:val="es-CO"/>
              </w:rPr>
              <w:tab/>
              <w:t>El mejoramiento tecnológico del proyecto no constituirá cambio menor ni modificación de la LAEolica, siendo suficiente su notificación a la ANLA como requisito para la validez de su implementación.</w:t>
            </w:r>
          </w:p>
          <w:p w14:paraId="54CFDB27" w14:textId="77777777" w:rsidR="0029406D" w:rsidRPr="0029406D" w:rsidRDefault="0029406D" w:rsidP="00ED016A">
            <w:pPr>
              <w:jc w:val="both"/>
              <w:rPr>
                <w:rFonts w:ascii="Arial Narrow" w:hAnsi="Arial Narrow" w:cs="Arial"/>
                <w:sz w:val="24"/>
                <w:szCs w:val="24"/>
                <w:shd w:val="clear" w:color="auto" w:fill="FFFFFF"/>
                <w:lang w:val="es-CO"/>
              </w:rPr>
            </w:pPr>
            <w:r w:rsidRPr="0029406D">
              <w:rPr>
                <w:rFonts w:ascii="Arial Narrow" w:hAnsi="Arial Narrow" w:cs="Arial"/>
                <w:sz w:val="24"/>
                <w:szCs w:val="24"/>
                <w:shd w:val="clear" w:color="auto" w:fill="FFFFFF"/>
                <w:lang w:val="es-CO"/>
              </w:rPr>
              <w:t>e)</w:t>
            </w:r>
            <w:r w:rsidRPr="0029406D">
              <w:rPr>
                <w:rFonts w:ascii="Arial Narrow" w:hAnsi="Arial Narrow" w:cs="Arial"/>
                <w:sz w:val="24"/>
                <w:szCs w:val="24"/>
                <w:shd w:val="clear" w:color="auto" w:fill="FFFFFF"/>
                <w:lang w:val="es-CO"/>
              </w:rPr>
              <w:tab/>
              <w:t>La ANLA determinará la necesidad de realizar visita previa para el otorgamiento de LAEolica.</w:t>
            </w:r>
          </w:p>
          <w:p w14:paraId="451748F3" w14:textId="77777777" w:rsidR="0029406D" w:rsidRPr="0029406D" w:rsidRDefault="0029406D" w:rsidP="00ED016A">
            <w:pPr>
              <w:jc w:val="both"/>
              <w:rPr>
                <w:rFonts w:ascii="Arial Narrow" w:hAnsi="Arial Narrow" w:cs="Arial"/>
                <w:sz w:val="24"/>
                <w:szCs w:val="24"/>
                <w:shd w:val="clear" w:color="auto" w:fill="FFFFFF"/>
                <w:lang w:val="es-CO"/>
              </w:rPr>
            </w:pPr>
            <w:r w:rsidRPr="0029406D">
              <w:rPr>
                <w:rFonts w:ascii="Arial Narrow" w:hAnsi="Arial Narrow" w:cs="Arial"/>
                <w:sz w:val="24"/>
                <w:szCs w:val="24"/>
                <w:shd w:val="clear" w:color="auto" w:fill="FFFFFF"/>
                <w:lang w:val="es-CO"/>
              </w:rPr>
              <w:t>f)</w:t>
            </w:r>
            <w:r w:rsidRPr="0029406D">
              <w:rPr>
                <w:rFonts w:ascii="Arial Narrow" w:hAnsi="Arial Narrow" w:cs="Arial"/>
                <w:sz w:val="24"/>
                <w:szCs w:val="24"/>
                <w:shd w:val="clear" w:color="auto" w:fill="FFFFFF"/>
                <w:lang w:val="es-CO"/>
              </w:rPr>
              <w:tab/>
              <w:t>Teniendo en cuenta los criterios de inclusión del artículo 2.2.2.11.2. del presente Decreto, no se exigirán caracterizaciones ni actividades relacionadas con la calidad del agua superficial o subterránea, educación y cultura, salud pública, radiación solar y servicios ecosistémicos.</w:t>
            </w:r>
          </w:p>
          <w:p w14:paraId="139F9A61" w14:textId="29566DB1" w:rsidR="00072956" w:rsidRDefault="0029406D" w:rsidP="00ED016A">
            <w:pPr>
              <w:jc w:val="both"/>
              <w:rPr>
                <w:rFonts w:ascii="Arial Narrow" w:hAnsi="Arial Narrow" w:cs="Arial"/>
                <w:sz w:val="24"/>
                <w:szCs w:val="24"/>
                <w:shd w:val="clear" w:color="auto" w:fill="FFFFFF"/>
                <w:lang w:val="es-CO"/>
              </w:rPr>
            </w:pPr>
            <w:r w:rsidRPr="0029406D">
              <w:rPr>
                <w:rFonts w:ascii="Arial Narrow" w:hAnsi="Arial Narrow" w:cs="Arial"/>
                <w:sz w:val="24"/>
                <w:szCs w:val="24"/>
                <w:shd w:val="clear" w:color="auto" w:fill="FFFFFF"/>
                <w:lang w:val="es-CO"/>
              </w:rPr>
              <w:t>g)</w:t>
            </w:r>
            <w:r w:rsidRPr="0029406D">
              <w:rPr>
                <w:rFonts w:ascii="Arial Narrow" w:hAnsi="Arial Narrow" w:cs="Arial"/>
                <w:sz w:val="24"/>
                <w:szCs w:val="24"/>
                <w:shd w:val="clear" w:color="auto" w:fill="FFFFFF"/>
                <w:lang w:val="es-CO"/>
              </w:rPr>
              <w:tab/>
              <w:t>Se deberá realizar la evaluación de impactos ambientales comparando los escenarios “con proyecto” y “sin proyecto”. Esta evaluación deberá identificar, caracterizar y valorar los impactos ambientales significativos asociados a cada uno de los factores ambientales, considerando los atributos de magnitud, extensión, duración, reversibilidad y tipo de impacto.</w:t>
            </w:r>
          </w:p>
          <w:p w14:paraId="4E91F0B3" w14:textId="77777777" w:rsidR="00ED016A" w:rsidRDefault="00ED016A" w:rsidP="00ED016A">
            <w:pPr>
              <w:jc w:val="both"/>
              <w:rPr>
                <w:rFonts w:ascii="Arial Narrow" w:hAnsi="Arial Narrow" w:cs="Arial"/>
                <w:sz w:val="24"/>
                <w:szCs w:val="24"/>
                <w:shd w:val="clear" w:color="auto" w:fill="FFFFFF"/>
                <w:lang w:val="es-CO"/>
              </w:rPr>
            </w:pPr>
          </w:p>
          <w:p w14:paraId="6839DC74" w14:textId="77777777" w:rsidR="002A1B78" w:rsidRPr="002A1B78" w:rsidRDefault="00ED016A" w:rsidP="002A1B78">
            <w:pPr>
              <w:jc w:val="both"/>
              <w:rPr>
                <w:rFonts w:ascii="Arial Narrow" w:hAnsi="Arial Narrow" w:cs="Arial"/>
                <w:sz w:val="24"/>
                <w:szCs w:val="24"/>
                <w:shd w:val="clear" w:color="auto" w:fill="FFFFFF"/>
                <w:lang w:val="es-CO"/>
              </w:rPr>
            </w:pPr>
            <w:r>
              <w:rPr>
                <w:rFonts w:ascii="Arial Narrow" w:hAnsi="Arial Narrow" w:cs="Arial"/>
                <w:sz w:val="24"/>
                <w:szCs w:val="24"/>
                <w:shd w:val="clear" w:color="auto" w:fill="FFFFFF"/>
                <w:lang w:val="es-CO"/>
              </w:rPr>
              <w:t xml:space="preserve">Justificación: </w:t>
            </w:r>
            <w:r w:rsidR="002A1B78" w:rsidRPr="002A1B78">
              <w:rPr>
                <w:rFonts w:ascii="Arial Narrow" w:hAnsi="Arial Narrow" w:cs="Arial"/>
                <w:sz w:val="24"/>
                <w:szCs w:val="24"/>
                <w:shd w:val="clear" w:color="auto" w:fill="FFFFFF"/>
                <w:lang w:val="es-CO"/>
              </w:rPr>
              <w:t>El artículo establece lineamientos claros y específicos para la evaluación ambiental de proyectos eólicos, garantizando que el proceso de licenciamiento responda tanto a las particularidades de esta fuente renovable como a la necesidad de mantener un control ambiental efectivo.</w:t>
            </w:r>
          </w:p>
          <w:p w14:paraId="0ECB4488" w14:textId="77777777" w:rsidR="002A1B78" w:rsidRPr="002A1B78" w:rsidRDefault="002A1B78" w:rsidP="002A1B78">
            <w:pPr>
              <w:jc w:val="both"/>
              <w:rPr>
                <w:rFonts w:ascii="Arial Narrow" w:hAnsi="Arial Narrow" w:cs="Arial"/>
                <w:sz w:val="24"/>
                <w:szCs w:val="24"/>
                <w:shd w:val="clear" w:color="auto" w:fill="FFFFFF"/>
                <w:lang w:val="es-CO"/>
              </w:rPr>
            </w:pPr>
          </w:p>
          <w:p w14:paraId="2710C896" w14:textId="77777777" w:rsidR="002A1B78" w:rsidRPr="00F823F6" w:rsidRDefault="002A1B78" w:rsidP="002A1B78">
            <w:pPr>
              <w:jc w:val="both"/>
              <w:rPr>
                <w:rFonts w:ascii="Arial Narrow" w:hAnsi="Arial Narrow" w:cs="Arial"/>
                <w:b/>
                <w:bCs/>
                <w:sz w:val="24"/>
                <w:szCs w:val="24"/>
                <w:shd w:val="clear" w:color="auto" w:fill="FFFFFF"/>
                <w:lang w:val="es-CO"/>
              </w:rPr>
            </w:pPr>
            <w:r w:rsidRPr="00F823F6">
              <w:rPr>
                <w:rFonts w:ascii="Arial Narrow" w:hAnsi="Arial Narrow" w:cs="Arial"/>
                <w:b/>
                <w:bCs/>
                <w:sz w:val="24"/>
                <w:szCs w:val="24"/>
                <w:shd w:val="clear" w:color="auto" w:fill="FFFFFF"/>
                <w:lang w:val="es-CO"/>
              </w:rPr>
              <w:t>Flexibilidad y rigor en el seguimiento (literales a, b, e).</w:t>
            </w:r>
          </w:p>
          <w:p w14:paraId="49EBD84A" w14:textId="77777777" w:rsidR="002A1B78" w:rsidRPr="002A1B78" w:rsidRDefault="002A1B78" w:rsidP="002A1B78">
            <w:pPr>
              <w:jc w:val="both"/>
              <w:rPr>
                <w:rFonts w:ascii="Arial Narrow" w:hAnsi="Arial Narrow" w:cs="Arial"/>
                <w:sz w:val="24"/>
                <w:szCs w:val="24"/>
                <w:shd w:val="clear" w:color="auto" w:fill="FFFFFF"/>
                <w:lang w:val="es-CO"/>
              </w:rPr>
            </w:pPr>
          </w:p>
          <w:p w14:paraId="77D578C1" w14:textId="77777777" w:rsidR="002A1B78" w:rsidRPr="002A1B78" w:rsidRDefault="002A1B78" w:rsidP="002A1B78">
            <w:pPr>
              <w:jc w:val="both"/>
              <w:rPr>
                <w:rFonts w:ascii="Arial Narrow" w:hAnsi="Arial Narrow" w:cs="Arial"/>
                <w:sz w:val="24"/>
                <w:szCs w:val="24"/>
                <w:shd w:val="clear" w:color="auto" w:fill="FFFFFF"/>
                <w:lang w:val="es-CO"/>
              </w:rPr>
            </w:pPr>
            <w:r w:rsidRPr="002A1B78">
              <w:rPr>
                <w:rFonts w:ascii="Arial Narrow" w:hAnsi="Arial Narrow" w:cs="Arial"/>
                <w:sz w:val="24"/>
                <w:szCs w:val="24"/>
                <w:shd w:val="clear" w:color="auto" w:fill="FFFFFF"/>
                <w:lang w:val="es-CO"/>
              </w:rPr>
              <w:t>La facultad de la ANLA para definir y ajustar el Plan de Seguimiento y Monitoreo asegura que el control ambiental no sea estático, sino adaptativo a la evolución del proyecto y a la información que se obtenga en el tiempo.</w:t>
            </w:r>
          </w:p>
          <w:p w14:paraId="53867734" w14:textId="77777777" w:rsidR="002A1B78" w:rsidRPr="002A1B78" w:rsidRDefault="002A1B78" w:rsidP="002A1B78">
            <w:pPr>
              <w:jc w:val="both"/>
              <w:rPr>
                <w:rFonts w:ascii="Arial Narrow" w:hAnsi="Arial Narrow" w:cs="Arial"/>
                <w:sz w:val="24"/>
                <w:szCs w:val="24"/>
                <w:shd w:val="clear" w:color="auto" w:fill="FFFFFF"/>
                <w:lang w:val="es-CO"/>
              </w:rPr>
            </w:pPr>
          </w:p>
          <w:p w14:paraId="6897DFBA" w14:textId="77777777" w:rsidR="002A1B78" w:rsidRPr="002A1B78" w:rsidRDefault="002A1B78" w:rsidP="002A1B78">
            <w:pPr>
              <w:jc w:val="both"/>
              <w:rPr>
                <w:rFonts w:ascii="Arial Narrow" w:hAnsi="Arial Narrow" w:cs="Arial"/>
                <w:sz w:val="24"/>
                <w:szCs w:val="24"/>
                <w:shd w:val="clear" w:color="auto" w:fill="FFFFFF"/>
                <w:lang w:val="es-CO"/>
              </w:rPr>
            </w:pPr>
            <w:r w:rsidRPr="002A1B78">
              <w:rPr>
                <w:rFonts w:ascii="Arial Narrow" w:hAnsi="Arial Narrow" w:cs="Arial"/>
                <w:sz w:val="24"/>
                <w:szCs w:val="24"/>
                <w:shd w:val="clear" w:color="auto" w:fill="FFFFFF"/>
                <w:lang w:val="es-CO"/>
              </w:rPr>
              <w:t>La flexibilización en la exigencia de monitoreos en dos temporadas climáticas reduce cargas innecesarias cuando la información disponible ya es suficiente, pero mantiene la posibilidad de exigirlo cuando los riesgos lo justifiquen.</w:t>
            </w:r>
          </w:p>
          <w:p w14:paraId="256EDA9B" w14:textId="77777777" w:rsidR="002A1B78" w:rsidRPr="002A1B78" w:rsidRDefault="002A1B78" w:rsidP="002A1B78">
            <w:pPr>
              <w:jc w:val="both"/>
              <w:rPr>
                <w:rFonts w:ascii="Arial Narrow" w:hAnsi="Arial Narrow" w:cs="Arial"/>
                <w:sz w:val="24"/>
                <w:szCs w:val="24"/>
                <w:shd w:val="clear" w:color="auto" w:fill="FFFFFF"/>
                <w:lang w:val="es-CO"/>
              </w:rPr>
            </w:pPr>
          </w:p>
          <w:p w14:paraId="28C545B3" w14:textId="77777777" w:rsidR="002A1B78" w:rsidRDefault="002A1B78" w:rsidP="002A1B78">
            <w:pPr>
              <w:jc w:val="both"/>
              <w:rPr>
                <w:rFonts w:ascii="Arial Narrow" w:hAnsi="Arial Narrow" w:cs="Arial"/>
                <w:sz w:val="24"/>
                <w:szCs w:val="24"/>
                <w:shd w:val="clear" w:color="auto" w:fill="FFFFFF"/>
                <w:lang w:val="es-CO"/>
              </w:rPr>
            </w:pPr>
            <w:r w:rsidRPr="002A1B78">
              <w:rPr>
                <w:rFonts w:ascii="Arial Narrow" w:hAnsi="Arial Narrow" w:cs="Arial"/>
                <w:sz w:val="24"/>
                <w:szCs w:val="24"/>
                <w:shd w:val="clear" w:color="auto" w:fill="FFFFFF"/>
                <w:lang w:val="es-CO"/>
              </w:rPr>
              <w:t>La visita previa como herramienta de validación técnica permite a la autoridad ajustar los requerimientos a la realidad territorial del proyecto.</w:t>
            </w:r>
          </w:p>
          <w:p w14:paraId="76758ED4" w14:textId="77777777" w:rsidR="00741B4C" w:rsidRDefault="00741B4C" w:rsidP="002A1B78">
            <w:pPr>
              <w:jc w:val="both"/>
              <w:rPr>
                <w:rFonts w:ascii="Arial Narrow" w:hAnsi="Arial Narrow" w:cs="Arial"/>
                <w:sz w:val="24"/>
                <w:szCs w:val="24"/>
                <w:shd w:val="clear" w:color="auto" w:fill="FFFFFF"/>
                <w:lang w:val="es-CO"/>
              </w:rPr>
            </w:pPr>
          </w:p>
          <w:p w14:paraId="4BC5BC1D" w14:textId="2A400C36" w:rsidR="00741B4C" w:rsidRDefault="00741B4C" w:rsidP="002A1B78">
            <w:pPr>
              <w:jc w:val="both"/>
              <w:rPr>
                <w:rFonts w:eastAsia="Arial" w:cs="Arial"/>
                <w:lang w:eastAsia="ja-JP"/>
              </w:rPr>
            </w:pPr>
            <w:r>
              <w:rPr>
                <w:rFonts w:ascii="Arial Narrow" w:hAnsi="Arial Narrow" w:cs="Arial"/>
                <w:sz w:val="24"/>
                <w:szCs w:val="24"/>
                <w:shd w:val="clear" w:color="auto" w:fill="FFFFFF"/>
                <w:lang w:val="es-CO"/>
              </w:rPr>
              <w:t>En este sentido, se prevé que, e</w:t>
            </w:r>
            <w:r w:rsidRPr="00875314">
              <w:rPr>
                <w:rFonts w:eastAsia="Arial" w:cs="Arial"/>
                <w:lang w:eastAsia="ja-JP"/>
              </w:rPr>
              <w:t xml:space="preserve">n principio, no se requerirá la realización de monitoreos en dos temporadas climáticas. Excepcionalmente, de considerarse </w:t>
            </w:r>
            <w:r>
              <w:rPr>
                <w:rFonts w:eastAsia="Arial" w:cs="Arial"/>
                <w:lang w:eastAsia="ja-JP"/>
              </w:rPr>
              <w:t xml:space="preserve">necesario por parte de la ANLA, un monitoreo deberá ejecutarse con anterioridad a la solicitud de Evaluación </w:t>
            </w:r>
            <w:r w:rsidRPr="004719F7">
              <w:rPr>
                <w:rFonts w:cs="Arial"/>
              </w:rPr>
              <w:t xml:space="preserve">Estudio de Impacto Ambiental </w:t>
            </w:r>
            <w:r>
              <w:rPr>
                <w:rFonts w:cs="Arial"/>
              </w:rPr>
              <w:t xml:space="preserve">del proyecto, en la temporada climática en que se encuentre; el segundo monitoreo podrá </w:t>
            </w:r>
            <w:r w:rsidRPr="00875314">
              <w:rPr>
                <w:rFonts w:eastAsia="Arial" w:cs="Arial"/>
                <w:lang w:eastAsia="ja-JP"/>
              </w:rPr>
              <w:t>complementarse durante la etapa de preconstrucción</w:t>
            </w:r>
            <w:r>
              <w:rPr>
                <w:rFonts w:eastAsia="Arial" w:cs="Arial"/>
                <w:lang w:eastAsia="ja-JP"/>
              </w:rPr>
              <w:t xml:space="preserve">, </w:t>
            </w:r>
            <w:r w:rsidRPr="00875314">
              <w:rPr>
                <w:rFonts w:eastAsia="Arial" w:cs="Arial"/>
                <w:lang w:eastAsia="ja-JP"/>
              </w:rPr>
              <w:t>en el marco del proceso de seguimiento ambiental.</w:t>
            </w:r>
          </w:p>
          <w:p w14:paraId="78FC7355" w14:textId="77777777" w:rsidR="00741B4C" w:rsidRDefault="00741B4C" w:rsidP="002A1B78">
            <w:pPr>
              <w:jc w:val="both"/>
              <w:rPr>
                <w:rFonts w:eastAsia="Arial" w:cs="Arial"/>
                <w:lang w:eastAsia="ja-JP"/>
              </w:rPr>
            </w:pPr>
          </w:p>
          <w:p w14:paraId="58C45411" w14:textId="76246481" w:rsidR="00741B4C" w:rsidRPr="002A1B78" w:rsidRDefault="00741B4C" w:rsidP="002A1B78">
            <w:pPr>
              <w:jc w:val="both"/>
              <w:rPr>
                <w:rFonts w:ascii="Arial Narrow" w:hAnsi="Arial Narrow" w:cs="Arial"/>
                <w:sz w:val="24"/>
                <w:szCs w:val="24"/>
                <w:shd w:val="clear" w:color="auto" w:fill="FFFFFF"/>
                <w:lang w:val="es-CO"/>
              </w:rPr>
            </w:pPr>
            <w:r>
              <w:rPr>
                <w:rFonts w:eastAsia="Arial" w:cs="Arial"/>
                <w:lang w:eastAsia="ja-JP"/>
              </w:rPr>
              <w:t xml:space="preserve">De tal forma se garantiza que la ANLA tenga la posibilidad de determinar cuando se requieran más de un monitoreo, y por otra parte, que no </w:t>
            </w:r>
            <w:r w:rsidR="00167009">
              <w:rPr>
                <w:rFonts w:eastAsia="Arial" w:cs="Arial"/>
                <w:lang w:eastAsia="ja-JP"/>
              </w:rPr>
              <w:t xml:space="preserve">imponerle cargas adicionales al titular del proyecto que desaceleren el desarrollo del mismo. </w:t>
            </w:r>
          </w:p>
          <w:p w14:paraId="330FB241" w14:textId="77777777" w:rsidR="002A1B78" w:rsidRPr="002A1B78" w:rsidRDefault="002A1B78" w:rsidP="002A1B78">
            <w:pPr>
              <w:jc w:val="both"/>
              <w:rPr>
                <w:rFonts w:ascii="Arial Narrow" w:hAnsi="Arial Narrow" w:cs="Arial"/>
                <w:sz w:val="24"/>
                <w:szCs w:val="24"/>
                <w:shd w:val="clear" w:color="auto" w:fill="FFFFFF"/>
                <w:lang w:val="es-CO"/>
              </w:rPr>
            </w:pPr>
          </w:p>
          <w:p w14:paraId="7C36335D" w14:textId="77777777" w:rsidR="002A1B78" w:rsidRPr="00F823F6" w:rsidRDefault="002A1B78" w:rsidP="002A1B78">
            <w:pPr>
              <w:jc w:val="both"/>
              <w:rPr>
                <w:rFonts w:ascii="Arial Narrow" w:hAnsi="Arial Narrow" w:cs="Arial"/>
                <w:b/>
                <w:bCs/>
                <w:sz w:val="24"/>
                <w:szCs w:val="24"/>
                <w:shd w:val="clear" w:color="auto" w:fill="FFFFFF"/>
                <w:lang w:val="es-CO"/>
              </w:rPr>
            </w:pPr>
            <w:r w:rsidRPr="00F823F6">
              <w:rPr>
                <w:rFonts w:ascii="Arial Narrow" w:hAnsi="Arial Narrow" w:cs="Arial"/>
                <w:b/>
                <w:bCs/>
                <w:sz w:val="24"/>
                <w:szCs w:val="24"/>
                <w:shd w:val="clear" w:color="auto" w:fill="FFFFFF"/>
                <w:lang w:val="es-CO"/>
              </w:rPr>
              <w:t>Protección de la biodiversidad prioritaria (literal c).</w:t>
            </w:r>
          </w:p>
          <w:p w14:paraId="465D6920" w14:textId="77777777" w:rsidR="002A1B78" w:rsidRPr="002A1B78" w:rsidRDefault="002A1B78" w:rsidP="002A1B78">
            <w:pPr>
              <w:jc w:val="both"/>
              <w:rPr>
                <w:rFonts w:ascii="Arial Narrow" w:hAnsi="Arial Narrow" w:cs="Arial"/>
                <w:sz w:val="24"/>
                <w:szCs w:val="24"/>
                <w:shd w:val="clear" w:color="auto" w:fill="FFFFFF"/>
                <w:lang w:val="es-CO"/>
              </w:rPr>
            </w:pPr>
          </w:p>
          <w:p w14:paraId="0896D1A9" w14:textId="77777777" w:rsidR="002A1B78" w:rsidRPr="002A1B78" w:rsidRDefault="002A1B78" w:rsidP="002A1B78">
            <w:pPr>
              <w:jc w:val="both"/>
              <w:rPr>
                <w:rFonts w:ascii="Arial Narrow" w:hAnsi="Arial Narrow" w:cs="Arial"/>
                <w:sz w:val="24"/>
                <w:szCs w:val="24"/>
                <w:shd w:val="clear" w:color="auto" w:fill="FFFFFF"/>
                <w:lang w:val="es-CO"/>
              </w:rPr>
            </w:pPr>
            <w:r w:rsidRPr="002A1B78">
              <w:rPr>
                <w:rFonts w:ascii="Arial Narrow" w:hAnsi="Arial Narrow" w:cs="Arial"/>
                <w:sz w:val="24"/>
                <w:szCs w:val="24"/>
                <w:shd w:val="clear" w:color="auto" w:fill="FFFFFF"/>
                <w:lang w:val="es-CO"/>
              </w:rPr>
              <w:t>La obligatoriedad de inventariar avifauna y quiropterofauna reconoce que estos grupos son los más sensibles a la instalación de parques eólicos, debido a riesgos de colisión y alteración de sus patrones de movimiento.</w:t>
            </w:r>
          </w:p>
          <w:p w14:paraId="1CF5FC7D" w14:textId="77777777" w:rsidR="002A1B78" w:rsidRPr="002A1B78" w:rsidRDefault="002A1B78" w:rsidP="002A1B78">
            <w:pPr>
              <w:jc w:val="both"/>
              <w:rPr>
                <w:rFonts w:ascii="Arial Narrow" w:hAnsi="Arial Narrow" w:cs="Arial"/>
                <w:sz w:val="24"/>
                <w:szCs w:val="24"/>
                <w:shd w:val="clear" w:color="auto" w:fill="FFFFFF"/>
                <w:lang w:val="es-CO"/>
              </w:rPr>
            </w:pPr>
          </w:p>
          <w:p w14:paraId="23E414D0" w14:textId="77777777" w:rsidR="002A1B78" w:rsidRPr="002A1B78" w:rsidRDefault="002A1B78" w:rsidP="002A1B78">
            <w:pPr>
              <w:jc w:val="both"/>
              <w:rPr>
                <w:rFonts w:ascii="Arial Narrow" w:hAnsi="Arial Narrow" w:cs="Arial"/>
                <w:sz w:val="24"/>
                <w:szCs w:val="24"/>
                <w:shd w:val="clear" w:color="auto" w:fill="FFFFFF"/>
                <w:lang w:val="es-CO"/>
              </w:rPr>
            </w:pPr>
            <w:r w:rsidRPr="002A1B78">
              <w:rPr>
                <w:rFonts w:ascii="Arial Narrow" w:hAnsi="Arial Narrow" w:cs="Arial"/>
                <w:sz w:val="24"/>
                <w:szCs w:val="24"/>
                <w:shd w:val="clear" w:color="auto" w:fill="FFFFFF"/>
                <w:lang w:val="es-CO"/>
              </w:rPr>
              <w:t>El enfoque en especies residentes y migratorias, así como en aquellas de interés ecológico o en riesgo, garantiza que la evaluación incorpore los factores críticos para la conservación de la biodiversidad.</w:t>
            </w:r>
          </w:p>
          <w:p w14:paraId="7FFF3B63" w14:textId="77777777" w:rsidR="002A1B78" w:rsidRPr="002A1B78" w:rsidRDefault="002A1B78" w:rsidP="002A1B78">
            <w:pPr>
              <w:jc w:val="both"/>
              <w:rPr>
                <w:rFonts w:ascii="Arial Narrow" w:hAnsi="Arial Narrow" w:cs="Arial"/>
                <w:sz w:val="24"/>
                <w:szCs w:val="24"/>
                <w:shd w:val="clear" w:color="auto" w:fill="FFFFFF"/>
                <w:lang w:val="es-CO"/>
              </w:rPr>
            </w:pPr>
          </w:p>
          <w:p w14:paraId="7D963E45" w14:textId="77777777" w:rsidR="002A1B78" w:rsidRPr="002A1B78" w:rsidRDefault="002A1B78" w:rsidP="002A1B78">
            <w:pPr>
              <w:jc w:val="both"/>
              <w:rPr>
                <w:rFonts w:ascii="Arial Narrow" w:hAnsi="Arial Narrow" w:cs="Arial"/>
                <w:sz w:val="24"/>
                <w:szCs w:val="24"/>
                <w:shd w:val="clear" w:color="auto" w:fill="FFFFFF"/>
                <w:lang w:val="es-CO"/>
              </w:rPr>
            </w:pPr>
            <w:r w:rsidRPr="002A1B78">
              <w:rPr>
                <w:rFonts w:ascii="Arial Narrow" w:hAnsi="Arial Narrow" w:cs="Arial"/>
                <w:sz w:val="24"/>
                <w:szCs w:val="24"/>
                <w:shd w:val="clear" w:color="auto" w:fill="FFFFFF"/>
                <w:lang w:val="es-CO"/>
              </w:rPr>
              <w:t>El uso de metodologías de muestreo estandarizadas asegura confiabilidad, comparabilidad y calidad en la información base para la toma de decisiones.</w:t>
            </w:r>
          </w:p>
          <w:p w14:paraId="07DFE045" w14:textId="77777777" w:rsidR="002A1B78" w:rsidRPr="002A1B78" w:rsidRDefault="002A1B78" w:rsidP="002A1B78">
            <w:pPr>
              <w:jc w:val="both"/>
              <w:rPr>
                <w:rFonts w:ascii="Arial Narrow" w:hAnsi="Arial Narrow" w:cs="Arial"/>
                <w:sz w:val="24"/>
                <w:szCs w:val="24"/>
                <w:shd w:val="clear" w:color="auto" w:fill="FFFFFF"/>
                <w:lang w:val="es-CO"/>
              </w:rPr>
            </w:pPr>
          </w:p>
          <w:p w14:paraId="32AB6CA4" w14:textId="77777777" w:rsidR="002A1B78" w:rsidRPr="00F823F6" w:rsidRDefault="002A1B78" w:rsidP="002A1B78">
            <w:pPr>
              <w:jc w:val="both"/>
              <w:rPr>
                <w:rFonts w:ascii="Arial Narrow" w:hAnsi="Arial Narrow" w:cs="Arial"/>
                <w:b/>
                <w:bCs/>
                <w:sz w:val="24"/>
                <w:szCs w:val="24"/>
                <w:shd w:val="clear" w:color="auto" w:fill="FFFFFF"/>
                <w:lang w:val="es-CO"/>
              </w:rPr>
            </w:pPr>
            <w:r w:rsidRPr="00F823F6">
              <w:rPr>
                <w:rFonts w:ascii="Arial Narrow" w:hAnsi="Arial Narrow" w:cs="Arial"/>
                <w:b/>
                <w:bCs/>
                <w:sz w:val="24"/>
                <w:szCs w:val="24"/>
                <w:shd w:val="clear" w:color="auto" w:fill="FFFFFF"/>
                <w:lang w:val="es-CO"/>
              </w:rPr>
              <w:t>Reconocimiento de las particularidades tecnológicas del sector (literal d).</w:t>
            </w:r>
          </w:p>
          <w:p w14:paraId="7573A48B" w14:textId="77777777" w:rsidR="002A1B78" w:rsidRPr="002A1B78" w:rsidRDefault="002A1B78" w:rsidP="002A1B78">
            <w:pPr>
              <w:jc w:val="both"/>
              <w:rPr>
                <w:rFonts w:ascii="Arial Narrow" w:hAnsi="Arial Narrow" w:cs="Arial"/>
                <w:sz w:val="24"/>
                <w:szCs w:val="24"/>
                <w:shd w:val="clear" w:color="auto" w:fill="FFFFFF"/>
                <w:lang w:val="es-CO"/>
              </w:rPr>
            </w:pPr>
          </w:p>
          <w:p w14:paraId="707C67F2" w14:textId="77777777" w:rsidR="002A1B78" w:rsidRPr="002A1B78" w:rsidRDefault="002A1B78" w:rsidP="002A1B78">
            <w:pPr>
              <w:jc w:val="both"/>
              <w:rPr>
                <w:rFonts w:ascii="Arial Narrow" w:hAnsi="Arial Narrow" w:cs="Arial"/>
                <w:sz w:val="24"/>
                <w:szCs w:val="24"/>
                <w:shd w:val="clear" w:color="auto" w:fill="FFFFFF"/>
                <w:lang w:val="es-CO"/>
              </w:rPr>
            </w:pPr>
            <w:r w:rsidRPr="002A1B78">
              <w:rPr>
                <w:rFonts w:ascii="Arial Narrow" w:hAnsi="Arial Narrow" w:cs="Arial"/>
                <w:sz w:val="24"/>
                <w:szCs w:val="24"/>
                <w:shd w:val="clear" w:color="auto" w:fill="FFFFFF"/>
                <w:lang w:val="es-CO"/>
              </w:rPr>
              <w:t>El hecho de que el mejoramiento tecnológico no implique una modificación de la licencia reduce trámites innecesarios y promueve la innovación en el sector, siempre y cuando la autoridad sea informada. Esto fomenta el uso de tecnologías más eficientes y menos impactantes, sin sacrificar la trazabilidad regulatoria.</w:t>
            </w:r>
          </w:p>
          <w:p w14:paraId="6FACAE11" w14:textId="77777777" w:rsidR="002A1B78" w:rsidRPr="002A1B78" w:rsidRDefault="002A1B78" w:rsidP="002A1B78">
            <w:pPr>
              <w:jc w:val="both"/>
              <w:rPr>
                <w:rFonts w:ascii="Arial Narrow" w:hAnsi="Arial Narrow" w:cs="Arial"/>
                <w:sz w:val="24"/>
                <w:szCs w:val="24"/>
                <w:shd w:val="clear" w:color="auto" w:fill="FFFFFF"/>
                <w:lang w:val="es-CO"/>
              </w:rPr>
            </w:pPr>
          </w:p>
          <w:p w14:paraId="4E9EA575" w14:textId="77777777" w:rsidR="002A1B78" w:rsidRPr="00F823F6" w:rsidRDefault="002A1B78" w:rsidP="002A1B78">
            <w:pPr>
              <w:jc w:val="both"/>
              <w:rPr>
                <w:rFonts w:ascii="Arial Narrow" w:hAnsi="Arial Narrow" w:cs="Arial"/>
                <w:b/>
                <w:bCs/>
                <w:sz w:val="24"/>
                <w:szCs w:val="24"/>
                <w:shd w:val="clear" w:color="auto" w:fill="FFFFFF"/>
                <w:lang w:val="es-CO"/>
              </w:rPr>
            </w:pPr>
            <w:r w:rsidRPr="00F823F6">
              <w:rPr>
                <w:rFonts w:ascii="Arial Narrow" w:hAnsi="Arial Narrow" w:cs="Arial"/>
                <w:b/>
                <w:bCs/>
                <w:sz w:val="24"/>
                <w:szCs w:val="24"/>
                <w:shd w:val="clear" w:color="auto" w:fill="FFFFFF"/>
                <w:lang w:val="es-CO"/>
              </w:rPr>
              <w:t>Racionalización del licenciamiento (literal f).</w:t>
            </w:r>
          </w:p>
          <w:p w14:paraId="373E46E8" w14:textId="77777777" w:rsidR="002A1B78" w:rsidRPr="002A1B78" w:rsidRDefault="002A1B78" w:rsidP="002A1B78">
            <w:pPr>
              <w:jc w:val="both"/>
              <w:rPr>
                <w:rFonts w:ascii="Arial Narrow" w:hAnsi="Arial Narrow" w:cs="Arial"/>
                <w:sz w:val="24"/>
                <w:szCs w:val="24"/>
                <w:shd w:val="clear" w:color="auto" w:fill="FFFFFF"/>
                <w:lang w:val="es-CO"/>
              </w:rPr>
            </w:pPr>
          </w:p>
          <w:p w14:paraId="6B32FE1B" w14:textId="77777777" w:rsidR="002A1B78" w:rsidRPr="002A1B78" w:rsidRDefault="002A1B78" w:rsidP="002A1B78">
            <w:pPr>
              <w:jc w:val="both"/>
              <w:rPr>
                <w:rFonts w:ascii="Arial Narrow" w:hAnsi="Arial Narrow" w:cs="Arial"/>
                <w:sz w:val="24"/>
                <w:szCs w:val="24"/>
                <w:shd w:val="clear" w:color="auto" w:fill="FFFFFF"/>
                <w:lang w:val="es-CO"/>
              </w:rPr>
            </w:pPr>
            <w:r w:rsidRPr="002A1B78">
              <w:rPr>
                <w:rFonts w:ascii="Arial Narrow" w:hAnsi="Arial Narrow" w:cs="Arial"/>
                <w:sz w:val="24"/>
                <w:szCs w:val="24"/>
                <w:shd w:val="clear" w:color="auto" w:fill="FFFFFF"/>
                <w:lang w:val="es-CO"/>
              </w:rPr>
              <w:t>La exclusión de requerimientos no directamente relacionados con los impactos relevantes de proyectos eólicos (como calidad del agua, salud pública o radiación solar) evita duplicidades e investigaciones que no aportan valor ambiental significativo, lo cual agiliza y focaliza el proceso de evaluación.</w:t>
            </w:r>
          </w:p>
          <w:p w14:paraId="1E4B4B1F" w14:textId="77777777" w:rsidR="002A1B78" w:rsidRPr="002A1B78" w:rsidRDefault="002A1B78" w:rsidP="002A1B78">
            <w:pPr>
              <w:jc w:val="both"/>
              <w:rPr>
                <w:rFonts w:ascii="Arial Narrow" w:hAnsi="Arial Narrow" w:cs="Arial"/>
                <w:sz w:val="24"/>
                <w:szCs w:val="24"/>
                <w:shd w:val="clear" w:color="auto" w:fill="FFFFFF"/>
                <w:lang w:val="es-CO"/>
              </w:rPr>
            </w:pPr>
          </w:p>
          <w:p w14:paraId="498D9ABC" w14:textId="77777777" w:rsidR="002A1B78" w:rsidRPr="007554B4" w:rsidRDefault="002A1B78" w:rsidP="002A1B78">
            <w:pPr>
              <w:jc w:val="both"/>
              <w:rPr>
                <w:rFonts w:ascii="Arial Narrow" w:hAnsi="Arial Narrow" w:cs="Arial"/>
                <w:b/>
                <w:bCs/>
                <w:sz w:val="24"/>
                <w:szCs w:val="24"/>
                <w:shd w:val="clear" w:color="auto" w:fill="FFFFFF"/>
                <w:lang w:val="es-CO"/>
              </w:rPr>
            </w:pPr>
            <w:r w:rsidRPr="007554B4">
              <w:rPr>
                <w:rFonts w:ascii="Arial Narrow" w:hAnsi="Arial Narrow" w:cs="Arial"/>
                <w:b/>
                <w:bCs/>
                <w:sz w:val="24"/>
                <w:szCs w:val="24"/>
                <w:shd w:val="clear" w:color="auto" w:fill="FFFFFF"/>
                <w:lang w:val="es-CO"/>
              </w:rPr>
              <w:t>Comparación transparente de escenarios (literal g).</w:t>
            </w:r>
          </w:p>
          <w:p w14:paraId="5875FA28" w14:textId="77777777" w:rsidR="002A1B78" w:rsidRPr="002A1B78" w:rsidRDefault="002A1B78" w:rsidP="002A1B78">
            <w:pPr>
              <w:jc w:val="both"/>
              <w:rPr>
                <w:rFonts w:ascii="Arial Narrow" w:hAnsi="Arial Narrow" w:cs="Arial"/>
                <w:sz w:val="24"/>
                <w:szCs w:val="24"/>
                <w:shd w:val="clear" w:color="auto" w:fill="FFFFFF"/>
                <w:lang w:val="es-CO"/>
              </w:rPr>
            </w:pPr>
          </w:p>
          <w:p w14:paraId="5907D7CA" w14:textId="410AC4E5" w:rsidR="00ED016A" w:rsidRDefault="002A1B78" w:rsidP="002A1B78">
            <w:pPr>
              <w:jc w:val="both"/>
              <w:rPr>
                <w:rFonts w:ascii="Arial Narrow" w:hAnsi="Arial Narrow" w:cs="Arial"/>
                <w:sz w:val="24"/>
                <w:szCs w:val="24"/>
                <w:shd w:val="clear" w:color="auto" w:fill="FFFFFF"/>
                <w:lang w:val="es-CO"/>
              </w:rPr>
            </w:pPr>
            <w:r w:rsidRPr="002A1B78">
              <w:rPr>
                <w:rFonts w:ascii="Arial Narrow" w:hAnsi="Arial Narrow" w:cs="Arial"/>
                <w:sz w:val="24"/>
                <w:szCs w:val="24"/>
                <w:shd w:val="clear" w:color="auto" w:fill="FFFFFF"/>
                <w:lang w:val="es-CO"/>
              </w:rPr>
              <w:t>La exigencia de comparar escenarios “con proyecto” y “sin proyecto” permite evaluar de manera objetiva la conveniencia ambiental del proyecto, garantizando que se identifiquen los impactos significativos y se valoren en función de atributos como magnitud, extensión, duración, reversibilidad y tipo. Esto fortalece la calidad de la toma de decisiones.</w:t>
            </w:r>
          </w:p>
          <w:p w14:paraId="17190590" w14:textId="77777777" w:rsidR="00ED016A" w:rsidRPr="000B180A" w:rsidRDefault="00ED016A" w:rsidP="00ED016A">
            <w:pPr>
              <w:jc w:val="both"/>
              <w:rPr>
                <w:rFonts w:ascii="Arial Narrow" w:hAnsi="Arial Narrow" w:cs="Arial"/>
                <w:sz w:val="24"/>
                <w:szCs w:val="24"/>
                <w:shd w:val="clear" w:color="auto" w:fill="FFFFFF"/>
                <w:lang w:val="es-CO"/>
              </w:rPr>
            </w:pPr>
          </w:p>
          <w:p w14:paraId="6CF2306F" w14:textId="35CF3E54"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Artículo 2.2.2.11.1.8. Provisión de información por ANLA: </w:t>
            </w:r>
            <w:r w:rsidR="0030182F" w:rsidRPr="0030182F">
              <w:rPr>
                <w:rFonts w:ascii="Arial Narrow" w:hAnsi="Arial Narrow" w:cs="Arial"/>
                <w:sz w:val="24"/>
                <w:szCs w:val="24"/>
                <w:shd w:val="clear" w:color="auto" w:fill="FFFFFF"/>
                <w:lang w:val="es-CO"/>
              </w:rPr>
              <w:t>Junto con la expedición de los Términos de Referencia Específicos para la Elaboración del Estudio de Impacto Ambiental de LAEolica, y a partir de la información que reposa y esté disponible en el Centro de Monitoreo de la ANLA, la entidad entregará al solicitante un diagnóstico con información que podrá servir de base y referencia para la elaboración del Estudio de Impacto Ambiental del proyecto.</w:t>
            </w:r>
          </w:p>
          <w:p w14:paraId="2239112E" w14:textId="77777777" w:rsidR="00072956" w:rsidRPr="000B180A" w:rsidRDefault="00072956" w:rsidP="007F5995">
            <w:pPr>
              <w:jc w:val="both"/>
              <w:rPr>
                <w:rFonts w:ascii="Arial Narrow" w:hAnsi="Arial Narrow" w:cs="Arial"/>
                <w:sz w:val="24"/>
                <w:szCs w:val="24"/>
                <w:shd w:val="clear" w:color="auto" w:fill="FFFFFF"/>
                <w:lang w:val="es-CO"/>
              </w:rPr>
            </w:pPr>
          </w:p>
          <w:p w14:paraId="0254D91F"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Justificación: provisión de Información por parte de la ANLA este artículo establece la obligación de la Autoridad Nacional de Licencias Ambientales (ANLA) de entregar al solicitante un conjunto de insumos técnicos previos para la elaboración del Estudio de Impacto Ambiental (EIA) en el marco del licenciamiento ambiental racionalizado para proyectos de generación de energía eólica. Esta entrega deberá realizarse conjuntamente con los Términos de Referencia Específicos y estará basada en la información existente y disponible en el Centro de Monitoreo de la ANLA.</w:t>
            </w:r>
          </w:p>
          <w:p w14:paraId="0C1A31B6" w14:textId="77777777" w:rsidR="00072956" w:rsidRPr="000B180A" w:rsidRDefault="00072956" w:rsidP="007F5995">
            <w:pPr>
              <w:jc w:val="both"/>
              <w:rPr>
                <w:rFonts w:ascii="Arial Narrow" w:hAnsi="Arial Narrow" w:cs="Arial"/>
                <w:sz w:val="24"/>
                <w:szCs w:val="24"/>
                <w:shd w:val="clear" w:color="auto" w:fill="FFFFFF"/>
                <w:lang w:val="es-CO"/>
              </w:rPr>
            </w:pPr>
          </w:p>
          <w:p w14:paraId="63F1D67A" w14:textId="77777777" w:rsidR="00072956" w:rsidRPr="000B180A" w:rsidRDefault="00072956" w:rsidP="007F5995">
            <w:pPr>
              <w:pStyle w:val="Prrafodelista"/>
              <w:numPr>
                <w:ilvl w:val="0"/>
                <w:numId w:val="28"/>
              </w:numPr>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Reducción de asimetrías de información entre Estado y promotores</w:t>
            </w:r>
          </w:p>
          <w:p w14:paraId="4FBE0277" w14:textId="77777777" w:rsidR="00072956" w:rsidRPr="000B180A" w:rsidRDefault="00072956" w:rsidP="007F5995">
            <w:pPr>
              <w:pStyle w:val="Prrafodelista"/>
              <w:rPr>
                <w:rFonts w:ascii="Arial Narrow" w:eastAsia="Times New Roman" w:hAnsi="Arial Narrow"/>
                <w:sz w:val="24"/>
                <w:szCs w:val="24"/>
                <w:shd w:val="clear" w:color="auto" w:fill="FFFFFF"/>
                <w:lang w:eastAsia="es-ES"/>
              </w:rPr>
            </w:pPr>
          </w:p>
          <w:p w14:paraId="47717F53"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Uno de los principales obstáculos en el licenciamiento ambiental ha sido la asimetría en el acceso y uso de información técnica, lo que genera retrasos, reprocesos, estudios desalineados con las expectativas regulatorias y, en muchos casos, decisiones poco fundamentadas. Este artículo busca cerrar esa brecha desde el inicio, dotando al solicitante de un diagnóstico de condiciones socioambientales oficial y estandarizado sobre aspectos clave del territorio con el fin de:</w:t>
            </w:r>
          </w:p>
          <w:p w14:paraId="682E62CD" w14:textId="77777777" w:rsidR="00072956" w:rsidRPr="000B180A" w:rsidRDefault="00072956" w:rsidP="007F5995">
            <w:pPr>
              <w:jc w:val="both"/>
              <w:rPr>
                <w:rFonts w:ascii="Arial Narrow" w:hAnsi="Arial Narrow" w:cs="Arial"/>
                <w:sz w:val="24"/>
                <w:szCs w:val="24"/>
                <w:shd w:val="clear" w:color="auto" w:fill="FFFFFF"/>
                <w:lang w:val="es-CO"/>
              </w:rPr>
            </w:pPr>
          </w:p>
          <w:p w14:paraId="56912F88" w14:textId="77777777" w:rsidR="00072956" w:rsidRPr="000B180A" w:rsidRDefault="00072956" w:rsidP="007F5995">
            <w:pPr>
              <w:numPr>
                <w:ilvl w:val="0"/>
                <w:numId w:val="23"/>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Facilitar la formulación del EIA con base en líneas base reconocidas por la autoridad.</w:t>
            </w:r>
          </w:p>
          <w:p w14:paraId="1AD9652D" w14:textId="77777777" w:rsidR="00072956" w:rsidRPr="000B180A" w:rsidRDefault="00072956" w:rsidP="007F5995">
            <w:pPr>
              <w:numPr>
                <w:ilvl w:val="0"/>
                <w:numId w:val="23"/>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Garantizar una mejor alineación entre el estudio y los criterios de evaluación.</w:t>
            </w:r>
          </w:p>
          <w:p w14:paraId="210B30FD" w14:textId="77777777" w:rsidR="00072956" w:rsidRPr="000B180A" w:rsidRDefault="00072956" w:rsidP="007F5995">
            <w:pPr>
              <w:numPr>
                <w:ilvl w:val="0"/>
                <w:numId w:val="23"/>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Evitar inconsistencias metodológicas o diferencias interpretativas sobre el contexto territorial.</w:t>
            </w:r>
          </w:p>
          <w:p w14:paraId="456311E2"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2. Uso estratégico del Centro de Monitoreo como plataforma de inteligencia ambiental</w:t>
            </w:r>
          </w:p>
          <w:p w14:paraId="04B1D8E2" w14:textId="77777777" w:rsidR="00072956" w:rsidRPr="000B180A" w:rsidRDefault="00072956" w:rsidP="007F5995">
            <w:pPr>
              <w:jc w:val="both"/>
              <w:rPr>
                <w:rFonts w:ascii="Arial Narrow" w:hAnsi="Arial Narrow" w:cs="Arial"/>
                <w:sz w:val="24"/>
                <w:szCs w:val="24"/>
                <w:shd w:val="clear" w:color="auto" w:fill="FFFFFF"/>
                <w:lang w:val="es-CO"/>
              </w:rPr>
            </w:pPr>
          </w:p>
          <w:p w14:paraId="35D9F80C"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Centro de Monitoreo de la ANLA ha consolidado un acervo importante de datos georreferenciados, series históricas, productos cartográficos e interpretaciones técnicas generadas a partir del seguimiento de cientos de proyectos evaluados y monitoreados. Este Centro cuenta con capacidades que permiten:</w:t>
            </w:r>
          </w:p>
          <w:p w14:paraId="060DA2B4" w14:textId="77777777" w:rsidR="00072956" w:rsidRPr="000B180A" w:rsidRDefault="00072956" w:rsidP="007F5995">
            <w:pPr>
              <w:jc w:val="both"/>
              <w:rPr>
                <w:rFonts w:ascii="Arial Narrow" w:hAnsi="Arial Narrow" w:cs="Arial"/>
                <w:sz w:val="24"/>
                <w:szCs w:val="24"/>
                <w:shd w:val="clear" w:color="auto" w:fill="FFFFFF"/>
                <w:lang w:val="es-CO"/>
              </w:rPr>
            </w:pPr>
          </w:p>
          <w:p w14:paraId="54278BA9" w14:textId="77777777" w:rsidR="00072956" w:rsidRPr="000B180A" w:rsidRDefault="00072956" w:rsidP="007F5995">
            <w:pPr>
              <w:numPr>
                <w:ilvl w:val="0"/>
                <w:numId w:val="24"/>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Analizar la geología y geomorfología regional y local mediante cartografía oficial, imágenes satelitales y modelos digitales del terreno.</w:t>
            </w:r>
          </w:p>
          <w:p w14:paraId="0C25BC0C" w14:textId="77777777" w:rsidR="00072956" w:rsidRPr="000B180A" w:rsidRDefault="00072956" w:rsidP="007F5995">
            <w:pPr>
              <w:numPr>
                <w:ilvl w:val="0"/>
                <w:numId w:val="24"/>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Acceder a información climática y meteorológica consolidada, como precipitaciones, temperatura, vientos o extremos climáticos.</w:t>
            </w:r>
          </w:p>
          <w:p w14:paraId="1EABD02F" w14:textId="77777777" w:rsidR="00072956" w:rsidRPr="000B180A" w:rsidRDefault="00072956" w:rsidP="007F5995">
            <w:pPr>
              <w:numPr>
                <w:ilvl w:val="0"/>
                <w:numId w:val="24"/>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Consultar y procesar información sobre usos del suelo, coberturas y conflictos de uso mediante sistemas interoperables con IGAC, IDEAM, SGC, SINA, entre otros.</w:t>
            </w:r>
          </w:p>
          <w:p w14:paraId="405E5AEA"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Poner esta información al servicio de los solicitantes, en formato interoperable y validado por la autoridad, agiliza el proceso de formulación del EIA y mejora la calidad técnica de los estudios, al basarse en insumos oficiales y uniformes.</w:t>
            </w:r>
          </w:p>
          <w:p w14:paraId="7ED2938D" w14:textId="77777777" w:rsidR="00072956" w:rsidRPr="000B180A" w:rsidRDefault="00072956" w:rsidP="007F5995">
            <w:pPr>
              <w:jc w:val="both"/>
              <w:rPr>
                <w:rFonts w:ascii="Arial Narrow" w:hAnsi="Arial Narrow" w:cs="Arial"/>
                <w:sz w:val="24"/>
                <w:szCs w:val="24"/>
                <w:shd w:val="clear" w:color="auto" w:fill="FFFFFF"/>
                <w:lang w:val="es-CO"/>
              </w:rPr>
            </w:pPr>
          </w:p>
          <w:p w14:paraId="6F73928A"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3. Alineación con el principio de eficiencia y la política de racionalización del licenciamiento</w:t>
            </w:r>
          </w:p>
          <w:p w14:paraId="3FC99DF6" w14:textId="77777777" w:rsidR="00072956" w:rsidRPr="000B180A" w:rsidRDefault="00072956" w:rsidP="007F5995">
            <w:pPr>
              <w:rPr>
                <w:rFonts w:ascii="Arial Narrow" w:hAnsi="Arial Narrow" w:cs="Arial"/>
                <w:sz w:val="24"/>
                <w:szCs w:val="24"/>
                <w:shd w:val="clear" w:color="auto" w:fill="FFFFFF"/>
                <w:lang w:val="es-CO"/>
              </w:rPr>
            </w:pPr>
          </w:p>
          <w:p w14:paraId="34BDBA83"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artículo se ajusta al principio constitucional y legal de eficiencia administrativa (art. 209 CP, Ley 1437 de 2011), así como a las directrices de mejora regulatoria y racionalización de trámites establecidas en el CONPES 4090 de 2022. Al entregar información base, la ANLA:</w:t>
            </w:r>
          </w:p>
          <w:p w14:paraId="6DA90CC1" w14:textId="77777777" w:rsidR="00072956" w:rsidRPr="000B180A" w:rsidRDefault="00072956" w:rsidP="007F5995">
            <w:pPr>
              <w:jc w:val="both"/>
              <w:rPr>
                <w:rFonts w:ascii="Arial Narrow" w:hAnsi="Arial Narrow" w:cs="Arial"/>
                <w:sz w:val="24"/>
                <w:szCs w:val="24"/>
                <w:shd w:val="clear" w:color="auto" w:fill="FFFFFF"/>
                <w:lang w:val="es-CO"/>
              </w:rPr>
            </w:pPr>
          </w:p>
          <w:p w14:paraId="095B27CD" w14:textId="77777777" w:rsidR="00072956" w:rsidRPr="000B180A" w:rsidRDefault="00072956" w:rsidP="007F5995">
            <w:pPr>
              <w:numPr>
                <w:ilvl w:val="0"/>
                <w:numId w:val="25"/>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Reduce tiempos y costos de levantamiento de información por parte del solicitante.</w:t>
            </w:r>
          </w:p>
          <w:p w14:paraId="0912954E" w14:textId="77777777" w:rsidR="00072956" w:rsidRPr="000B180A" w:rsidRDefault="00072956" w:rsidP="007F5995">
            <w:pPr>
              <w:numPr>
                <w:ilvl w:val="0"/>
                <w:numId w:val="25"/>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Evita la repetición de actividades ya desarrolladas o disponibles en fuentes públicas.</w:t>
            </w:r>
          </w:p>
          <w:p w14:paraId="28F67CCC" w14:textId="77777777" w:rsidR="00072956" w:rsidRPr="000B180A" w:rsidRDefault="00072956" w:rsidP="007F5995">
            <w:pPr>
              <w:numPr>
                <w:ilvl w:val="0"/>
                <w:numId w:val="25"/>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Establece un marco de trabajo común que favorece la transparencia y la trazabilidad.</w:t>
            </w:r>
          </w:p>
          <w:p w14:paraId="131E5F13"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Esto también responde al principio de co-responsabilidad institucional: el Estado no solo exige información, sino que contribuye activamente a su provisión y validación, especialmente en proyectos de bajo impacto relativo, como lo son los proyectos eólicos racionalizados.</w:t>
            </w:r>
          </w:p>
          <w:p w14:paraId="0F3221E4" w14:textId="77777777" w:rsidR="00072956" w:rsidRPr="000B180A" w:rsidRDefault="00072956" w:rsidP="007F5995">
            <w:pPr>
              <w:jc w:val="both"/>
              <w:rPr>
                <w:rFonts w:ascii="Arial Narrow" w:hAnsi="Arial Narrow" w:cs="Arial"/>
                <w:sz w:val="24"/>
                <w:szCs w:val="24"/>
                <w:shd w:val="clear" w:color="auto" w:fill="FFFFFF"/>
                <w:lang w:val="es-CO"/>
              </w:rPr>
            </w:pPr>
          </w:p>
          <w:p w14:paraId="114ACDF8"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 Fortalecimiento de la calidad técnica y la toma de decisiones basada en evidencia</w:t>
            </w:r>
          </w:p>
          <w:p w14:paraId="7DCC6806" w14:textId="77777777" w:rsidR="00072956" w:rsidRPr="000B180A" w:rsidRDefault="00072956" w:rsidP="007F5995">
            <w:pPr>
              <w:jc w:val="both"/>
              <w:rPr>
                <w:rFonts w:ascii="Arial Narrow" w:hAnsi="Arial Narrow" w:cs="Arial"/>
                <w:sz w:val="24"/>
                <w:szCs w:val="24"/>
                <w:shd w:val="clear" w:color="auto" w:fill="FFFFFF"/>
                <w:lang w:val="es-CO"/>
              </w:rPr>
            </w:pPr>
          </w:p>
          <w:p w14:paraId="25BFB294"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Con esta medida, se asegura que los EIA presentados se construyan desde una base técnica homogénea y verificable, lo que contribuye a:</w:t>
            </w:r>
          </w:p>
          <w:p w14:paraId="4632B01B" w14:textId="77777777" w:rsidR="00072956" w:rsidRPr="000B180A" w:rsidRDefault="00072956" w:rsidP="007F5995">
            <w:pPr>
              <w:jc w:val="both"/>
              <w:rPr>
                <w:rFonts w:ascii="Arial Narrow" w:hAnsi="Arial Narrow" w:cs="Arial"/>
                <w:sz w:val="24"/>
                <w:szCs w:val="24"/>
                <w:shd w:val="clear" w:color="auto" w:fill="FFFFFF"/>
                <w:lang w:val="es-CO"/>
              </w:rPr>
            </w:pPr>
          </w:p>
          <w:p w14:paraId="219ADB92" w14:textId="77777777" w:rsidR="00072956" w:rsidRPr="000B180A" w:rsidRDefault="00072956" w:rsidP="007F5995">
            <w:pPr>
              <w:numPr>
                <w:ilvl w:val="0"/>
                <w:numId w:val="26"/>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Facilitar la revisión por parte de la ANLA, al basarse en criterios e insumos que ya conoce.</w:t>
            </w:r>
          </w:p>
          <w:p w14:paraId="4CE628C2" w14:textId="77777777" w:rsidR="00072956" w:rsidRPr="000B180A" w:rsidRDefault="00072956" w:rsidP="007F5995">
            <w:pPr>
              <w:numPr>
                <w:ilvl w:val="0"/>
                <w:numId w:val="26"/>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Aumentar la trazabilidad de las decisiones.</w:t>
            </w:r>
          </w:p>
          <w:p w14:paraId="34B68793" w14:textId="77777777" w:rsidR="00072956" w:rsidRPr="000B180A" w:rsidRDefault="00072956" w:rsidP="007F5995">
            <w:pPr>
              <w:numPr>
                <w:ilvl w:val="0"/>
                <w:numId w:val="26"/>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Mejorar la calidad del seguimiento, al establecer una línea base común desde el inicio.</w:t>
            </w:r>
          </w:p>
          <w:p w14:paraId="597BD7DC"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5. Cumplimiento del Acuerdo de Escazú y promoción del acceso equitativo a la información ambiental</w:t>
            </w:r>
          </w:p>
          <w:p w14:paraId="7F14FB5E" w14:textId="77777777" w:rsidR="00072956" w:rsidRPr="000B180A" w:rsidRDefault="00072956" w:rsidP="007F5995">
            <w:pPr>
              <w:jc w:val="both"/>
              <w:rPr>
                <w:rFonts w:ascii="Arial Narrow" w:hAnsi="Arial Narrow" w:cs="Arial"/>
                <w:sz w:val="24"/>
                <w:szCs w:val="24"/>
                <w:shd w:val="clear" w:color="auto" w:fill="FFFFFF"/>
                <w:lang w:val="es-CO"/>
              </w:rPr>
            </w:pPr>
          </w:p>
          <w:p w14:paraId="62FC4D4B"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artículo se alinea con los compromisos adquiridos por Colombia en el marco del Acuerdo de Escazú (Ley 2273 de 2022), particularmente en lo relacionado con:</w:t>
            </w:r>
          </w:p>
          <w:p w14:paraId="042E11BD" w14:textId="77777777" w:rsidR="00072956" w:rsidRPr="000B180A" w:rsidRDefault="00072956" w:rsidP="007F5995">
            <w:pPr>
              <w:jc w:val="both"/>
              <w:rPr>
                <w:rFonts w:ascii="Arial Narrow" w:hAnsi="Arial Narrow" w:cs="Arial"/>
                <w:sz w:val="24"/>
                <w:szCs w:val="24"/>
                <w:shd w:val="clear" w:color="auto" w:fill="FFFFFF"/>
                <w:lang w:val="es-CO"/>
              </w:rPr>
            </w:pPr>
          </w:p>
          <w:p w14:paraId="766B2AD1" w14:textId="77777777" w:rsidR="00072956" w:rsidRPr="000B180A" w:rsidRDefault="00072956" w:rsidP="007F5995">
            <w:pPr>
              <w:numPr>
                <w:ilvl w:val="0"/>
                <w:numId w:val="27"/>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generación activa de información por parte del Estado.</w:t>
            </w:r>
          </w:p>
          <w:p w14:paraId="085685BF" w14:textId="77777777" w:rsidR="00072956" w:rsidRPr="000B180A" w:rsidRDefault="00072956" w:rsidP="007F5995">
            <w:pPr>
              <w:numPr>
                <w:ilvl w:val="0"/>
                <w:numId w:val="27"/>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entrega de información ambiental oportuna, accesible y útil para los interesados en procesos de toma de decisiones ambientales.</w:t>
            </w:r>
          </w:p>
          <w:p w14:paraId="7A55A090"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promoción de condiciones de equidad informativa entre promotores, comunidades y autoridades</w:t>
            </w:r>
          </w:p>
          <w:p w14:paraId="41FDACA6" w14:textId="77777777" w:rsidR="00072956" w:rsidRPr="000B180A" w:rsidRDefault="00072956" w:rsidP="007F5995">
            <w:pPr>
              <w:jc w:val="both"/>
              <w:rPr>
                <w:rFonts w:ascii="Arial Narrow" w:hAnsi="Arial Narrow" w:cs="Arial"/>
                <w:sz w:val="24"/>
                <w:szCs w:val="24"/>
                <w:shd w:val="clear" w:color="auto" w:fill="FFFFFF"/>
                <w:lang w:val="es-CO"/>
              </w:rPr>
            </w:pPr>
          </w:p>
          <w:p w14:paraId="3FADC823" w14:textId="22A00522" w:rsidR="00B0107A" w:rsidRPr="00B0107A" w:rsidRDefault="00072956" w:rsidP="00B0107A">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Artículo 2.2.2.11.9 </w:t>
            </w:r>
            <w:r w:rsidR="00B0107A" w:rsidRPr="00B0107A">
              <w:rPr>
                <w:rFonts w:ascii="Arial Narrow" w:hAnsi="Arial Narrow" w:cs="Arial"/>
                <w:sz w:val="24"/>
                <w:szCs w:val="24"/>
                <w:shd w:val="clear" w:color="auto" w:fill="FFFFFF"/>
                <w:lang w:val="es-CO"/>
              </w:rPr>
              <w:t xml:space="preserve">Racionalización de términos para el otorgamiento de LAEolica. Sin perjuicio de lo establecido en el Titulo VIII de la Ley 99 de 1993 y de conformidad con el numeral 6 del artículo 6, numeral </w:t>
            </w:r>
            <w:r w:rsidR="00EF7931">
              <w:rPr>
                <w:rFonts w:ascii="Arial Narrow" w:hAnsi="Arial Narrow" w:cs="Arial"/>
                <w:sz w:val="24"/>
                <w:szCs w:val="24"/>
                <w:shd w:val="clear" w:color="auto" w:fill="FFFFFF"/>
                <w:lang w:val="es-CO"/>
              </w:rPr>
              <w:t>4</w:t>
            </w:r>
            <w:r w:rsidR="00B0107A" w:rsidRPr="00B0107A">
              <w:rPr>
                <w:rFonts w:ascii="Arial Narrow" w:hAnsi="Arial Narrow" w:cs="Arial"/>
                <w:sz w:val="24"/>
                <w:szCs w:val="24"/>
                <w:shd w:val="clear" w:color="auto" w:fill="FFFFFF"/>
                <w:lang w:val="es-CO"/>
              </w:rPr>
              <w:t xml:space="preserve"> del artículo </w:t>
            </w:r>
            <w:r w:rsidR="00EF7931">
              <w:rPr>
                <w:rFonts w:ascii="Arial Narrow" w:hAnsi="Arial Narrow" w:cs="Arial"/>
                <w:sz w:val="24"/>
                <w:szCs w:val="24"/>
                <w:shd w:val="clear" w:color="auto" w:fill="FFFFFF"/>
                <w:lang w:val="es-CO"/>
              </w:rPr>
              <w:t>20</w:t>
            </w:r>
            <w:r w:rsidR="00B0107A" w:rsidRPr="00B0107A">
              <w:rPr>
                <w:rFonts w:ascii="Arial Narrow" w:hAnsi="Arial Narrow" w:cs="Arial"/>
                <w:sz w:val="24"/>
                <w:szCs w:val="24"/>
                <w:shd w:val="clear" w:color="auto" w:fill="FFFFFF"/>
                <w:lang w:val="es-CO"/>
              </w:rPr>
              <w:t>, y el artículo 43 de la Ley 1715 de 2014, para LAEolica se racionalizarán los términos de la siguiente manera:</w:t>
            </w:r>
          </w:p>
          <w:p w14:paraId="08E3B0D3" w14:textId="77777777" w:rsidR="00B0107A" w:rsidRPr="00B0107A" w:rsidRDefault="00B0107A" w:rsidP="00B0107A">
            <w:pPr>
              <w:jc w:val="both"/>
              <w:rPr>
                <w:rFonts w:ascii="Arial Narrow" w:hAnsi="Arial Narrow" w:cs="Arial"/>
                <w:sz w:val="24"/>
                <w:szCs w:val="24"/>
                <w:shd w:val="clear" w:color="auto" w:fill="FFFFFF"/>
                <w:lang w:val="es-CO"/>
              </w:rPr>
            </w:pPr>
          </w:p>
          <w:p w14:paraId="2203346B" w14:textId="77777777" w:rsidR="00B0107A" w:rsidRPr="00B0107A" w:rsidRDefault="00B0107A" w:rsidP="00B0107A">
            <w:pPr>
              <w:jc w:val="both"/>
              <w:rPr>
                <w:rFonts w:ascii="Arial Narrow" w:hAnsi="Arial Narrow" w:cs="Arial"/>
                <w:sz w:val="24"/>
                <w:szCs w:val="24"/>
                <w:shd w:val="clear" w:color="auto" w:fill="FFFFFF"/>
                <w:lang w:val="es-CO"/>
              </w:rPr>
            </w:pPr>
            <w:r w:rsidRPr="00B0107A">
              <w:rPr>
                <w:rFonts w:ascii="Arial Narrow" w:hAnsi="Arial Narrow" w:cs="Arial"/>
                <w:sz w:val="24"/>
                <w:szCs w:val="24"/>
                <w:shd w:val="clear" w:color="auto" w:fill="FFFFFF"/>
                <w:lang w:val="es-CO"/>
              </w:rPr>
              <w:t>Una vez radicada la solicitud por parte del interesado ante la ANLA, esta autoridad dispondrá de un plazo máximo de cinco (5) días contados a partir del día hábil siguiente a la radicación de la solicitud de evaluación del estudio de impacto ambiental, para realizar la verificación preliminar de los documentos (VPD) requeridos para la evaluación de LAEolica. Si la documentación allegada cumple con los requisitos establecidos, dentro del mismo término expedirá el auto de inicio de trámite.</w:t>
            </w:r>
          </w:p>
          <w:p w14:paraId="6FFEB553" w14:textId="77777777" w:rsidR="00B0107A" w:rsidRPr="00B0107A" w:rsidRDefault="00B0107A" w:rsidP="00B0107A">
            <w:pPr>
              <w:jc w:val="both"/>
              <w:rPr>
                <w:rFonts w:ascii="Arial Narrow" w:hAnsi="Arial Narrow" w:cs="Arial"/>
                <w:sz w:val="24"/>
                <w:szCs w:val="24"/>
                <w:shd w:val="clear" w:color="auto" w:fill="FFFFFF"/>
                <w:lang w:val="es-CO"/>
              </w:rPr>
            </w:pPr>
          </w:p>
          <w:p w14:paraId="197F23CC" w14:textId="77777777" w:rsidR="00B0107A" w:rsidRPr="00B0107A" w:rsidRDefault="00B0107A" w:rsidP="00B0107A">
            <w:pPr>
              <w:jc w:val="both"/>
              <w:rPr>
                <w:rFonts w:ascii="Arial Narrow" w:hAnsi="Arial Narrow" w:cs="Arial"/>
                <w:sz w:val="24"/>
                <w:szCs w:val="24"/>
                <w:shd w:val="clear" w:color="auto" w:fill="FFFFFF"/>
                <w:lang w:val="es-CO"/>
              </w:rPr>
            </w:pPr>
            <w:r w:rsidRPr="00B0107A">
              <w:rPr>
                <w:rFonts w:ascii="Arial Narrow" w:hAnsi="Arial Narrow" w:cs="Arial"/>
                <w:sz w:val="24"/>
                <w:szCs w:val="24"/>
                <w:shd w:val="clear" w:color="auto" w:fill="FFFFFF"/>
                <w:lang w:val="es-CO"/>
              </w:rPr>
              <w:t xml:space="preserve">Si la documentación allegada cumple con los requisitos establecidos, la ANLA contará con un plazo de diez (10) días, contados a partir del día siguiente a la expedición del auto de inicio, para verificar la información proporcionada y, de ser necesario, requerir información adicional. </w:t>
            </w:r>
          </w:p>
          <w:p w14:paraId="3D8CF94A" w14:textId="77777777" w:rsidR="00B0107A" w:rsidRPr="00B0107A" w:rsidRDefault="00B0107A" w:rsidP="00B0107A">
            <w:pPr>
              <w:jc w:val="both"/>
              <w:rPr>
                <w:rFonts w:ascii="Arial Narrow" w:hAnsi="Arial Narrow" w:cs="Arial"/>
                <w:sz w:val="24"/>
                <w:szCs w:val="24"/>
                <w:shd w:val="clear" w:color="auto" w:fill="FFFFFF"/>
                <w:lang w:val="es-CO"/>
              </w:rPr>
            </w:pPr>
          </w:p>
          <w:p w14:paraId="64445DDA" w14:textId="77777777" w:rsidR="00B0107A" w:rsidRPr="00B0107A" w:rsidRDefault="00B0107A" w:rsidP="00B0107A">
            <w:pPr>
              <w:jc w:val="both"/>
              <w:rPr>
                <w:rFonts w:ascii="Arial Narrow" w:hAnsi="Arial Narrow" w:cs="Arial"/>
                <w:sz w:val="24"/>
                <w:szCs w:val="24"/>
                <w:shd w:val="clear" w:color="auto" w:fill="FFFFFF"/>
                <w:lang w:val="es-CO"/>
              </w:rPr>
            </w:pPr>
            <w:r w:rsidRPr="00B0107A">
              <w:rPr>
                <w:rFonts w:ascii="Arial Narrow" w:hAnsi="Arial Narrow" w:cs="Arial"/>
                <w:sz w:val="24"/>
                <w:szCs w:val="24"/>
                <w:shd w:val="clear" w:color="auto" w:fill="FFFFFF"/>
                <w:lang w:val="es-CO"/>
              </w:rPr>
              <w:t xml:space="preserve">Adicionalmente, dentro de un plazo de tres (3) días, contados a partir del día siguiente a la expedición del auto de inicio, la ANLA notificará al solicitante sobre la necesidad de realizar una visita de campo.   </w:t>
            </w:r>
          </w:p>
          <w:p w14:paraId="2DD16976" w14:textId="77777777" w:rsidR="00B0107A" w:rsidRPr="00B0107A" w:rsidRDefault="00B0107A" w:rsidP="00B0107A">
            <w:pPr>
              <w:jc w:val="both"/>
              <w:rPr>
                <w:rFonts w:ascii="Arial Narrow" w:hAnsi="Arial Narrow" w:cs="Arial"/>
                <w:sz w:val="24"/>
                <w:szCs w:val="24"/>
                <w:shd w:val="clear" w:color="auto" w:fill="FFFFFF"/>
                <w:lang w:val="es-CO"/>
              </w:rPr>
            </w:pPr>
          </w:p>
          <w:p w14:paraId="55C7919B" w14:textId="77777777" w:rsidR="00B0107A" w:rsidRPr="00B0107A" w:rsidRDefault="00B0107A" w:rsidP="00B0107A">
            <w:pPr>
              <w:jc w:val="both"/>
              <w:rPr>
                <w:rFonts w:ascii="Arial Narrow" w:hAnsi="Arial Narrow" w:cs="Arial"/>
                <w:sz w:val="24"/>
                <w:szCs w:val="24"/>
                <w:shd w:val="clear" w:color="auto" w:fill="FFFFFF"/>
                <w:lang w:val="es-CO"/>
              </w:rPr>
            </w:pPr>
            <w:r w:rsidRPr="00B0107A">
              <w:rPr>
                <w:rFonts w:ascii="Arial Narrow" w:hAnsi="Arial Narrow" w:cs="Arial"/>
                <w:sz w:val="24"/>
                <w:szCs w:val="24"/>
                <w:shd w:val="clear" w:color="auto" w:fill="FFFFFF"/>
                <w:lang w:val="es-CO"/>
              </w:rPr>
              <w:t>Cuando sea requerida información adicional, el interesado dispondrá de un máximo de treinta (30) días, contados a partir del día hábil siguiente a la notificación, para aclarar, modificar o complementar la documentación radicada en la solicitud inicial.</w:t>
            </w:r>
          </w:p>
          <w:p w14:paraId="6429DAEC" w14:textId="77777777" w:rsidR="00B0107A" w:rsidRPr="00B0107A" w:rsidRDefault="00B0107A" w:rsidP="00B0107A">
            <w:pPr>
              <w:jc w:val="both"/>
              <w:rPr>
                <w:rFonts w:ascii="Arial Narrow" w:hAnsi="Arial Narrow" w:cs="Arial"/>
                <w:sz w:val="24"/>
                <w:szCs w:val="24"/>
                <w:shd w:val="clear" w:color="auto" w:fill="FFFFFF"/>
                <w:lang w:val="es-CO"/>
              </w:rPr>
            </w:pPr>
          </w:p>
          <w:p w14:paraId="34C073FD" w14:textId="77777777" w:rsidR="00B0107A" w:rsidRPr="00B0107A" w:rsidRDefault="00B0107A" w:rsidP="00B0107A">
            <w:pPr>
              <w:jc w:val="both"/>
              <w:rPr>
                <w:rFonts w:ascii="Arial Narrow" w:hAnsi="Arial Narrow" w:cs="Arial"/>
                <w:sz w:val="24"/>
                <w:szCs w:val="24"/>
                <w:shd w:val="clear" w:color="auto" w:fill="FFFFFF"/>
                <w:lang w:val="es-CO"/>
              </w:rPr>
            </w:pPr>
            <w:r w:rsidRPr="00B0107A">
              <w:rPr>
                <w:rFonts w:ascii="Arial Narrow" w:hAnsi="Arial Narrow" w:cs="Arial"/>
                <w:sz w:val="24"/>
                <w:szCs w:val="24"/>
                <w:shd w:val="clear" w:color="auto" w:fill="FFFFFF"/>
                <w:lang w:val="es-CO"/>
              </w:rPr>
              <w:t xml:space="preserve">Se entenderá que el solicitante ha desistido del trámite cuando no atienda el requerimiento de información adicional dentro del término establecido en el presente artículo, salvo que, antes de vencer el plazo concedido solicite prórroga hasta por un término igual al inicialmente otorgado. </w:t>
            </w:r>
          </w:p>
          <w:p w14:paraId="562E8C19" w14:textId="77777777" w:rsidR="00B0107A" w:rsidRPr="00B0107A" w:rsidRDefault="00B0107A" w:rsidP="00B0107A">
            <w:pPr>
              <w:jc w:val="both"/>
              <w:rPr>
                <w:rFonts w:ascii="Arial Narrow" w:hAnsi="Arial Narrow" w:cs="Arial"/>
                <w:sz w:val="24"/>
                <w:szCs w:val="24"/>
                <w:shd w:val="clear" w:color="auto" w:fill="FFFFFF"/>
                <w:lang w:val="es-CO"/>
              </w:rPr>
            </w:pPr>
          </w:p>
          <w:p w14:paraId="5034D0AB" w14:textId="52C17718" w:rsidR="00072956" w:rsidRPr="000B180A" w:rsidRDefault="00B0107A" w:rsidP="00B0107A">
            <w:pPr>
              <w:jc w:val="both"/>
              <w:rPr>
                <w:rFonts w:ascii="Arial Narrow" w:hAnsi="Arial Narrow" w:cs="Arial"/>
                <w:sz w:val="24"/>
                <w:szCs w:val="24"/>
                <w:shd w:val="clear" w:color="auto" w:fill="FFFFFF"/>
                <w:lang w:val="es-CO"/>
              </w:rPr>
            </w:pPr>
            <w:r w:rsidRPr="00B0107A">
              <w:rPr>
                <w:rFonts w:ascii="Arial Narrow" w:hAnsi="Arial Narrow" w:cs="Arial"/>
                <w:sz w:val="24"/>
                <w:szCs w:val="24"/>
                <w:shd w:val="clear" w:color="auto" w:fill="FFFFFF"/>
                <w:lang w:val="es-CO"/>
              </w:rPr>
              <w:t>A partir del día hábil siguiente a la radicación de la información adicional, aclaración, modificación o complementación por parte del solicitante, o a la expedición del auto de inicio si no se solicitaren aquellas por parte de la ANLA, esta dispondrá de un término de quince (15) días para pronunciarse sobre la viabilidad de LAEolica.</w:t>
            </w:r>
            <w:r w:rsidR="00072956" w:rsidRPr="000B180A">
              <w:rPr>
                <w:rFonts w:ascii="Arial Narrow" w:hAnsi="Arial Narrow" w:cs="Arial"/>
                <w:sz w:val="24"/>
                <w:szCs w:val="24"/>
                <w:shd w:val="clear" w:color="auto" w:fill="FFFFFF"/>
                <w:lang w:val="es-CO"/>
              </w:rPr>
              <w:t>Justificación: el enfoque adoptado no constituye una baja rigurosidad en el sentido de eliminar el rigor técnico, sino una racionalización del EIA, es decir, un rediseño metodológico que permite concentrar el análisis en los factores ambientales realmente significativos. Esto responde a:</w:t>
            </w:r>
          </w:p>
          <w:p w14:paraId="15361534" w14:textId="77777777" w:rsidR="00072956" w:rsidRPr="000B180A" w:rsidRDefault="00072956" w:rsidP="007F5995">
            <w:pPr>
              <w:jc w:val="both"/>
              <w:rPr>
                <w:rFonts w:ascii="Arial Narrow" w:hAnsi="Arial Narrow" w:cs="Arial"/>
                <w:sz w:val="24"/>
                <w:szCs w:val="24"/>
                <w:shd w:val="clear" w:color="auto" w:fill="FFFFFF"/>
                <w:lang w:val="es-CO"/>
              </w:rPr>
            </w:pPr>
          </w:p>
          <w:p w14:paraId="56D820A4" w14:textId="77777777" w:rsidR="00072956" w:rsidRPr="000B180A" w:rsidRDefault="00072956" w:rsidP="007F5995">
            <w:pPr>
              <w:numPr>
                <w:ilvl w:val="0"/>
                <w:numId w:val="20"/>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principio de eficiencia administrativa y técnica, consagrado en la Ley 99 de 1993 y el artículo 209 de la Constitución.</w:t>
            </w:r>
          </w:p>
          <w:p w14:paraId="3C69089F" w14:textId="77777777" w:rsidR="00072956" w:rsidRPr="000B180A" w:rsidRDefault="00072956" w:rsidP="007F5995">
            <w:pPr>
              <w:numPr>
                <w:ilvl w:val="0"/>
                <w:numId w:val="20"/>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necesidad de optimizar el uso de recursos públicos y privados en la evaluación ambiental.</w:t>
            </w:r>
          </w:p>
          <w:p w14:paraId="247C9BD2" w14:textId="77777777" w:rsidR="00072956" w:rsidRPr="000B180A" w:rsidRDefault="00072956" w:rsidP="007F5995">
            <w:pPr>
              <w:numPr>
                <w:ilvl w:val="0"/>
                <w:numId w:val="20"/>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promoción de una transición energética justa, libre de cargas desproporcionadas para tecnologías limpias y de bajo impacto como la eólica.</w:t>
            </w:r>
          </w:p>
          <w:p w14:paraId="5B729BE2" w14:textId="77777777" w:rsidR="00072956" w:rsidRPr="000B180A" w:rsidRDefault="00072956" w:rsidP="007F5995">
            <w:pPr>
              <w:pStyle w:val="Prrafodelista"/>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Uso de información existente y modelaciones</w:t>
            </w:r>
          </w:p>
          <w:p w14:paraId="56D309B6" w14:textId="77777777" w:rsidR="00072956" w:rsidRPr="000B180A" w:rsidRDefault="00072956" w:rsidP="007F5995">
            <w:pPr>
              <w:pStyle w:val="Prrafodelista"/>
              <w:rPr>
                <w:rFonts w:ascii="Arial Narrow" w:eastAsia="Times New Roman" w:hAnsi="Arial Narrow"/>
                <w:sz w:val="24"/>
                <w:szCs w:val="24"/>
                <w:shd w:val="clear" w:color="auto" w:fill="FFFFFF"/>
                <w:lang w:eastAsia="es-ES"/>
              </w:rPr>
            </w:pPr>
          </w:p>
          <w:p w14:paraId="7928786F"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artículo también elimina la exigencia de realizar caracterizaciones en dos temporadas climáticas, permitiendo el uso de información histórica y modelaciones técnicas. Esta medida:</w:t>
            </w:r>
          </w:p>
          <w:p w14:paraId="20A13B0E" w14:textId="77777777" w:rsidR="00072956" w:rsidRPr="000B180A" w:rsidRDefault="00072956" w:rsidP="007F5995">
            <w:pPr>
              <w:jc w:val="both"/>
              <w:rPr>
                <w:rFonts w:ascii="Arial Narrow" w:hAnsi="Arial Narrow" w:cs="Arial"/>
                <w:sz w:val="24"/>
                <w:szCs w:val="24"/>
                <w:shd w:val="clear" w:color="auto" w:fill="FFFFFF"/>
                <w:lang w:val="es-CO"/>
              </w:rPr>
            </w:pPr>
          </w:p>
          <w:p w14:paraId="64633DF5" w14:textId="77777777" w:rsidR="00072956" w:rsidRPr="000B180A" w:rsidRDefault="00072956" w:rsidP="007F5995">
            <w:pPr>
              <w:numPr>
                <w:ilvl w:val="0"/>
                <w:numId w:val="21"/>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Reconoce la existencia de bases de datos climáticas y ambientales robustas a nivel nacional que han venido fortaleciéndose por la ANLA, tal como es el centro de monitoreo de recursos naturales.</w:t>
            </w:r>
          </w:p>
          <w:p w14:paraId="4E4CD0D8" w14:textId="77777777" w:rsidR="00072956" w:rsidRPr="000B180A" w:rsidRDefault="00072956" w:rsidP="007F5995">
            <w:pPr>
              <w:numPr>
                <w:ilvl w:val="0"/>
                <w:numId w:val="21"/>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Evita duplicación de esfuerzos y costos innecesarios.</w:t>
            </w:r>
          </w:p>
          <w:p w14:paraId="73F4DD6F" w14:textId="77777777" w:rsidR="00072956" w:rsidRPr="000B180A" w:rsidRDefault="00072956" w:rsidP="007F5995">
            <w:pPr>
              <w:numPr>
                <w:ilvl w:val="0"/>
                <w:numId w:val="21"/>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Permite mantener el análisis técnico del comportamiento del sistema sin comprometer la calidad del diagnóstico.</w:t>
            </w:r>
          </w:p>
          <w:p w14:paraId="13DFEBE7"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ANLA ha avanzado en el desarrollo de capacidades técnicas a través de su Centro de Monitoreo, el cual consolida y analiza información geoespacial y temporal de múltiples fuentes para el seguimiento ambiental de proyectos. Este centro puede suministrar insumos como:</w:t>
            </w:r>
          </w:p>
          <w:p w14:paraId="1069CB12" w14:textId="77777777" w:rsidR="00072956" w:rsidRPr="000B180A" w:rsidRDefault="00072956" w:rsidP="007F5995">
            <w:pPr>
              <w:jc w:val="both"/>
              <w:rPr>
                <w:rFonts w:ascii="Arial Narrow" w:hAnsi="Arial Narrow" w:cs="Arial"/>
                <w:sz w:val="24"/>
                <w:szCs w:val="24"/>
                <w:shd w:val="clear" w:color="auto" w:fill="FFFFFF"/>
                <w:lang w:val="es-CO"/>
              </w:rPr>
            </w:pPr>
          </w:p>
          <w:p w14:paraId="45A03653" w14:textId="77777777" w:rsidR="00072956" w:rsidRPr="000B180A" w:rsidRDefault="00072956" w:rsidP="007F5995">
            <w:pPr>
              <w:numPr>
                <w:ilvl w:val="0"/>
                <w:numId w:val="22"/>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Series temporales históricas de datos ambientales.</w:t>
            </w:r>
          </w:p>
          <w:p w14:paraId="2E50DE41" w14:textId="77777777" w:rsidR="00072956" w:rsidRPr="000B180A" w:rsidRDefault="00072956" w:rsidP="007F5995">
            <w:pPr>
              <w:numPr>
                <w:ilvl w:val="0"/>
                <w:numId w:val="22"/>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Capas geográficas interoperables.</w:t>
            </w:r>
          </w:p>
          <w:p w14:paraId="6F6B1DC1" w14:textId="77777777" w:rsidR="00072956" w:rsidRPr="000B180A" w:rsidRDefault="00072956" w:rsidP="007F5995">
            <w:pPr>
              <w:numPr>
                <w:ilvl w:val="0"/>
                <w:numId w:val="22"/>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Mapas temáticos y alertas tempranas.</w:t>
            </w:r>
          </w:p>
          <w:p w14:paraId="7B617384" w14:textId="77777777" w:rsidR="00072956" w:rsidRPr="000B180A" w:rsidRDefault="00072956" w:rsidP="007F5995">
            <w:pPr>
              <w:numPr>
                <w:ilvl w:val="0"/>
                <w:numId w:val="22"/>
              </w:numPr>
              <w:spacing w:after="160" w:line="278" w:lineRule="auto"/>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Indicadores de presión e impacto por territorio.</w:t>
            </w:r>
          </w:p>
          <w:p w14:paraId="6499794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decreto reconoce esta capacidad instalada y promueve su utilización, consolidando el enfoque de autoridad ambiental basada en datos, que fortalece la gobernanza ambiental, mejora la calidad de la evaluación y reduce la dependencia de información fragmentada o desigual en calidad.</w:t>
            </w:r>
          </w:p>
          <w:p w14:paraId="6ECE690A" w14:textId="77777777" w:rsidR="00072956" w:rsidRPr="000B180A" w:rsidRDefault="00072956" w:rsidP="007F5995">
            <w:pPr>
              <w:jc w:val="both"/>
              <w:rPr>
                <w:rFonts w:ascii="Arial Narrow" w:hAnsi="Arial Narrow" w:cs="Arial"/>
                <w:sz w:val="24"/>
                <w:szCs w:val="24"/>
                <w:shd w:val="clear" w:color="auto" w:fill="FFFFFF"/>
                <w:lang w:val="es-CO"/>
              </w:rPr>
            </w:pPr>
          </w:p>
          <w:p w14:paraId="7FA09313"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Artículo 2.2.2.11.10. Prohibición de doble trámite y régimen de transición: No se puede tramitar LAEólica y la licencia de que trata el capítulo 9 del Decreto 1076 de 2015, para el mismo proyecto simultáneamente. Si ya tramita licencia ambiental del capítulo 9 y desea acogerse a LAEólica, puede desistir del trámite previo y continuar bajo este nuevo procedimiento.</w:t>
            </w:r>
          </w:p>
          <w:p w14:paraId="4E373637" w14:textId="77777777" w:rsidR="00072956" w:rsidRPr="000B180A" w:rsidRDefault="00072956" w:rsidP="007F5995">
            <w:pPr>
              <w:jc w:val="both"/>
              <w:rPr>
                <w:rFonts w:ascii="Arial Narrow" w:hAnsi="Arial Narrow" w:cs="Arial"/>
                <w:sz w:val="24"/>
                <w:szCs w:val="24"/>
                <w:shd w:val="clear" w:color="auto" w:fill="FFFFFF"/>
                <w:lang w:val="es-CO"/>
              </w:rPr>
            </w:pPr>
          </w:p>
          <w:p w14:paraId="3727AEA1"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Artículo 2.2.2.11.11. Compensaciones: Permite como modalidad de compensación ambiental la creación de comunidades energéticas y encadenamientos productivos mediante acuerdos privados.</w:t>
            </w:r>
          </w:p>
          <w:p w14:paraId="08631761" w14:textId="77777777" w:rsidR="00072956" w:rsidRPr="000B180A" w:rsidRDefault="00072956" w:rsidP="007F5995">
            <w:pPr>
              <w:jc w:val="both"/>
              <w:rPr>
                <w:rFonts w:ascii="Arial Narrow" w:hAnsi="Arial Narrow" w:cs="Arial"/>
                <w:sz w:val="24"/>
                <w:szCs w:val="24"/>
                <w:shd w:val="clear" w:color="auto" w:fill="FFFFFF"/>
                <w:lang w:val="es-CO"/>
              </w:rPr>
            </w:pPr>
          </w:p>
          <w:p w14:paraId="5C84A340"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Justificación: introduce la posibilidad de que los titulares de proyectos de generación de energía eólica de que trata el presente decreto incluyan, dentro del Plan de Compensaciones del medio biótico, la implementación de comunidades energéticas y los encadenamientos productivos asociados, como medida válida de compensación orientada al uso sostenible de la biodiversidad, conforme a lo previsto en el artículo 2.2.2.3.5.4 del Decreto 1076 de 2015 y el Decreto 2236 de 2023.</w:t>
            </w:r>
          </w:p>
          <w:p w14:paraId="6777C53C" w14:textId="77777777" w:rsidR="00072956" w:rsidRPr="000B180A" w:rsidRDefault="00072956" w:rsidP="007F5995">
            <w:pPr>
              <w:jc w:val="both"/>
              <w:rPr>
                <w:rFonts w:ascii="Arial Narrow" w:hAnsi="Arial Narrow" w:cs="Arial"/>
                <w:sz w:val="24"/>
                <w:szCs w:val="24"/>
                <w:shd w:val="clear" w:color="auto" w:fill="FFFFFF"/>
                <w:lang w:val="es-CO"/>
              </w:rPr>
            </w:pPr>
          </w:p>
          <w:p w14:paraId="78D679B7"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Esta disposición se justifica desde un enfoque funcional y territorial de la conservación, al reconocer que las comunidades energéticas tienen el potencial real de reducir las presiones sobre ecosistemas estratégicos, al transformar la base económica de subsistencia en regiones rurales. En Colombia, aproximadamente el 38 % de la deforestación ocurre en zonas donde la expansión de la frontera agrícola, la ganadería extensiva y la extracción informal de recursos son la principal causa de pérdida de cobertura natural (IDEAM, 2023). A esto se suma que más de 500.000 hogares rurales aún no tienen acceso adecuado a energía eléctrica (XM-ENEL, UPME, 2022), lo que condiciona sus posibilidades de desarrollo y reproduce prácticas insostenibles en el uso del suelo.</w:t>
            </w:r>
          </w:p>
          <w:p w14:paraId="57086966" w14:textId="77777777" w:rsidR="00072956" w:rsidRPr="000B180A" w:rsidRDefault="00072956" w:rsidP="007F5995">
            <w:pPr>
              <w:jc w:val="both"/>
              <w:rPr>
                <w:rFonts w:ascii="Arial Narrow" w:hAnsi="Arial Narrow" w:cs="Arial"/>
                <w:sz w:val="24"/>
                <w:szCs w:val="24"/>
                <w:shd w:val="clear" w:color="auto" w:fill="FFFFFF"/>
                <w:lang w:val="es-CO"/>
              </w:rPr>
            </w:pPr>
          </w:p>
          <w:p w14:paraId="78C05B12"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Al implementar comunidades energéticas en estos territorios, se posibilita el acceso a servicios energéticos de manera estable y asequible, lo que permite a las comunidades migrar hacia modelos productivos alternativos —como transformación agroalimentaria, almacenamiento en frío, actividades artesanales, ecoturismo y prestación de servicios rurales— que no requieren deforestación ni expansión de áreas agrícolas. Esto se traduce en una disminución efectiva de la presión sobre los ecosistemas, al reducir el incentivo económico de talar bosque para obtener leña, abrir nuevos potreros o ampliar zonas de cultivo.</w:t>
            </w:r>
          </w:p>
          <w:p w14:paraId="0672CCC2" w14:textId="77777777" w:rsidR="00072956" w:rsidRPr="000B180A" w:rsidRDefault="00072956" w:rsidP="007F5995">
            <w:pPr>
              <w:jc w:val="both"/>
              <w:rPr>
                <w:rFonts w:ascii="Arial Narrow" w:hAnsi="Arial Narrow" w:cs="Arial"/>
                <w:sz w:val="24"/>
                <w:szCs w:val="24"/>
                <w:shd w:val="clear" w:color="auto" w:fill="FFFFFF"/>
                <w:lang w:val="es-CO"/>
              </w:rPr>
            </w:pPr>
          </w:p>
          <w:p w14:paraId="7D25F4D5"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ese sentido, estas comunidades permiten evitar la pérdida neta de biodiversidad de forma indirecta pero estructural, al atacar una de sus principales causas: la falta de alternativas sostenibles de subsistencia. Además, los encadenamientos productivos asociados a estas comunidades pueden incorporar prácticas de restauración pasiva, conservación comunitaria y uso sostenible de productos del bosque, cerrando un ciclo virtuoso de corresponsabilidad ambiental y equidad energética. La compensación se operacionaliza mediante acuerdos de derecho privado, lo que facilita su adecuación al contexto local, su sostenibilidad en el tiempo y su articulación con la planificación territorial.</w:t>
            </w:r>
          </w:p>
          <w:p w14:paraId="342E7EB9" w14:textId="77777777" w:rsidR="00072956" w:rsidRPr="000B180A" w:rsidRDefault="00072956" w:rsidP="007F5995">
            <w:pPr>
              <w:jc w:val="both"/>
              <w:rPr>
                <w:rFonts w:ascii="Arial Narrow" w:hAnsi="Arial Narrow" w:cs="Arial"/>
                <w:sz w:val="24"/>
                <w:szCs w:val="24"/>
                <w:shd w:val="clear" w:color="auto" w:fill="FFFFFF"/>
                <w:lang w:val="es-CO"/>
              </w:rPr>
            </w:pPr>
          </w:p>
          <w:p w14:paraId="76C0560C"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Finalmente, esta medida permite integrar la política de transición energética con la política nacional de biodiversidad, reconociendo que ambas pueden ser complementarias si se enfocan territorialmente y con base en los principios de corresponsabilidad y uso eficiente del capital natural. La inclusión de esta modalidad en el marco del licenciamiento ambiental racionalizado refuerza el principio de equivalencia ecológica funcional, reconoce la diversidad de instrumentos de conservación más allá de la restauración tradicional, y abre paso a enfoques de compensación basados en el bienestar comunitario y la sostenibilidad territorial</w:t>
            </w:r>
          </w:p>
          <w:p w14:paraId="4BB1F834" w14:textId="77777777" w:rsidR="00072956" w:rsidRPr="000B180A" w:rsidRDefault="00072956" w:rsidP="007F5995">
            <w:pPr>
              <w:jc w:val="both"/>
              <w:rPr>
                <w:rFonts w:ascii="Arial Narrow" w:hAnsi="Arial Narrow" w:cs="Arial"/>
                <w:sz w:val="24"/>
                <w:szCs w:val="24"/>
                <w:shd w:val="clear" w:color="auto" w:fill="FFFFFF"/>
                <w:lang w:val="es-CO"/>
              </w:rPr>
            </w:pPr>
          </w:p>
          <w:p w14:paraId="058BC7D3"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Artículo 2.2.2.11.12. Zonas de Reserva Forestal Ley 2 de 1959: Clasifica los proyectos eólicos como de bajo impacto y beneficio social. Requiere sustracción de área. No aplica para la Serranía de San Lucas, donde debe levantarse la reserva forestal antes del trámite.</w:t>
            </w:r>
          </w:p>
          <w:p w14:paraId="5E7D9077" w14:textId="77777777" w:rsidR="00072956" w:rsidRPr="000B180A" w:rsidRDefault="00072956" w:rsidP="007F5995">
            <w:pPr>
              <w:jc w:val="both"/>
              <w:rPr>
                <w:rFonts w:ascii="Arial Narrow" w:hAnsi="Arial Narrow" w:cs="Arial"/>
                <w:sz w:val="24"/>
                <w:szCs w:val="24"/>
                <w:shd w:val="clear" w:color="auto" w:fill="FFFFFF"/>
                <w:lang w:val="es-CO"/>
              </w:rPr>
            </w:pPr>
          </w:p>
          <w:p w14:paraId="121C0285"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Justificación: El artículo 2.2.2.11.12 responde a la necesidad de compatibilizar el desarrollo de proyectos eólicos considerados de bajo impacto ambiental, con los objetivos de conservación de las Zonas de Reserva Forestal establecidas por la Ley 2ª de 1959, que históricamente han sido instrumentos clave para la protección de la biodiversidad, la regulación hídrica y la contención de la frontera agropecuaria en Colombia.</w:t>
            </w:r>
          </w:p>
          <w:p w14:paraId="57996143" w14:textId="77777777" w:rsidR="00072956" w:rsidRPr="000B180A" w:rsidRDefault="00072956" w:rsidP="007F5995">
            <w:pPr>
              <w:jc w:val="both"/>
              <w:rPr>
                <w:rFonts w:ascii="Arial Narrow" w:hAnsi="Arial Narrow" w:cs="Arial"/>
                <w:sz w:val="24"/>
                <w:szCs w:val="24"/>
                <w:shd w:val="clear" w:color="auto" w:fill="FFFFFF"/>
                <w:lang w:val="es-CO"/>
              </w:rPr>
            </w:pPr>
          </w:p>
          <w:p w14:paraId="323522FA" w14:textId="68C540C1"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1. </w:t>
            </w:r>
            <w:r w:rsidR="00370FBB">
              <w:t xml:space="preserve"> </w:t>
            </w:r>
            <w:r w:rsidR="00370FBB" w:rsidRPr="00370FBB">
              <w:rPr>
                <w:rFonts w:ascii="Arial Narrow" w:hAnsi="Arial Narrow" w:cs="Arial"/>
                <w:sz w:val="24"/>
                <w:szCs w:val="24"/>
                <w:shd w:val="clear" w:color="auto" w:fill="FFFFFF"/>
                <w:lang w:val="es-CO"/>
              </w:rPr>
              <w:t>Reconocimiento de que los proyectos eólicos no genera</w:t>
            </w:r>
            <w:r w:rsidR="002E216D">
              <w:rPr>
                <w:rFonts w:ascii="Arial Narrow" w:hAnsi="Arial Narrow" w:cs="Arial"/>
                <w:sz w:val="24"/>
                <w:szCs w:val="24"/>
                <w:shd w:val="clear" w:color="auto" w:fill="FFFFFF"/>
                <w:lang w:val="es-CO"/>
              </w:rPr>
              <w:t>n</w:t>
            </w:r>
            <w:r w:rsidR="00370FBB" w:rsidRPr="00370FBB">
              <w:rPr>
                <w:rFonts w:ascii="Arial Narrow" w:hAnsi="Arial Narrow" w:cs="Arial"/>
                <w:sz w:val="24"/>
                <w:szCs w:val="24"/>
                <w:shd w:val="clear" w:color="auto" w:fill="FFFFFF"/>
                <w:lang w:val="es-CO"/>
              </w:rPr>
              <w:t xml:space="preserve"> impacto </w:t>
            </w:r>
            <w:r w:rsidR="00370FBB">
              <w:rPr>
                <w:rFonts w:ascii="Arial Narrow" w:hAnsi="Arial Narrow" w:cs="Arial"/>
                <w:sz w:val="24"/>
                <w:szCs w:val="24"/>
                <w:shd w:val="clear" w:color="auto" w:fill="FFFFFF"/>
                <w:lang w:val="es-CO"/>
              </w:rPr>
              <w:t xml:space="preserve">ambiental </w:t>
            </w:r>
            <w:r w:rsidR="00370FBB" w:rsidRPr="00370FBB">
              <w:rPr>
                <w:rFonts w:ascii="Arial Narrow" w:hAnsi="Arial Narrow" w:cs="Arial"/>
                <w:sz w:val="24"/>
                <w:szCs w:val="24"/>
                <w:shd w:val="clear" w:color="auto" w:fill="FFFFFF"/>
                <w:lang w:val="es-CO"/>
              </w:rPr>
              <w:t>significativo</w:t>
            </w:r>
          </w:p>
          <w:p w14:paraId="3B8BB048" w14:textId="77777777" w:rsidR="00072956" w:rsidRPr="000B180A" w:rsidRDefault="00072956" w:rsidP="007F5995">
            <w:pPr>
              <w:rPr>
                <w:rFonts w:ascii="Arial Narrow" w:hAnsi="Arial Narrow" w:cs="Arial"/>
                <w:sz w:val="24"/>
                <w:szCs w:val="24"/>
                <w:shd w:val="clear" w:color="auto" w:fill="FFFFFF"/>
                <w:lang w:val="es-CO"/>
              </w:rPr>
            </w:pPr>
          </w:p>
          <w:p w14:paraId="78F67D5D"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La base ecológica de esta disposición radica en que los proyectos de generación eólica, en los términos que se propone en el proyecto, no implican pérdida significativa de hábitats naturales, ni procesos extractivos, ni vertimientos contaminantes, ni introducción de especies invasoras o materiales peligrosos. Al no afectar directamente corredores biológicos ni generar alteraciones en la calidad del aire, del agua o del suelo, su huella ecológica puede ser contenida espacial y temporalmente mediante medidas de manejo ambiental adecuadas. </w:t>
            </w:r>
          </w:p>
          <w:p w14:paraId="2334565E" w14:textId="77777777" w:rsidR="00072956" w:rsidRPr="000B180A" w:rsidRDefault="00072956" w:rsidP="007F5995">
            <w:pPr>
              <w:jc w:val="both"/>
              <w:rPr>
                <w:rFonts w:ascii="Arial Narrow" w:hAnsi="Arial Narrow" w:cs="Arial"/>
                <w:sz w:val="24"/>
                <w:szCs w:val="24"/>
                <w:shd w:val="clear" w:color="auto" w:fill="FFFFFF"/>
                <w:lang w:val="es-CO"/>
              </w:rPr>
            </w:pPr>
          </w:p>
          <w:p w14:paraId="76ECCE3D" w14:textId="626A9837" w:rsidR="00370FBB" w:rsidRPr="00370FBB" w:rsidRDefault="00370FBB" w:rsidP="00370FBB">
            <w:pPr>
              <w:jc w:val="both"/>
              <w:rPr>
                <w:rFonts w:ascii="Arial Narrow" w:hAnsi="Arial Narrow" w:cs="Arial"/>
                <w:sz w:val="24"/>
                <w:szCs w:val="24"/>
                <w:shd w:val="clear" w:color="auto" w:fill="FFFFFF"/>
                <w:lang w:val="es-CO"/>
              </w:rPr>
            </w:pPr>
            <w:r w:rsidRPr="00370FBB">
              <w:rPr>
                <w:rFonts w:ascii="Arial Narrow" w:hAnsi="Arial Narrow" w:cs="Arial"/>
                <w:sz w:val="24"/>
                <w:szCs w:val="24"/>
                <w:shd w:val="clear" w:color="auto" w:fill="FFFFFF"/>
                <w:lang w:val="es-CO"/>
              </w:rPr>
              <w:t>Adicionalmente, los desarrollos eólicos</w:t>
            </w:r>
            <w:r>
              <w:rPr>
                <w:rFonts w:ascii="Arial Narrow" w:hAnsi="Arial Narrow" w:cs="Arial"/>
                <w:sz w:val="24"/>
                <w:szCs w:val="24"/>
                <w:shd w:val="clear" w:color="auto" w:fill="FFFFFF"/>
                <w:lang w:val="es-CO"/>
              </w:rPr>
              <w:t xml:space="preserve"> licenciados por LAEolica</w:t>
            </w:r>
            <w:r w:rsidRPr="00370FBB">
              <w:rPr>
                <w:rFonts w:ascii="Arial Narrow" w:hAnsi="Arial Narrow" w:cs="Arial"/>
                <w:sz w:val="24"/>
                <w:szCs w:val="24"/>
                <w:shd w:val="clear" w:color="auto" w:fill="FFFFFF"/>
                <w:lang w:val="es-CO"/>
              </w:rPr>
              <w:t xml:space="preserve"> incorporan tecnologías de vanguardia orientadas a minimizar impactos sobre la biodiversidad y maximizar su contribución a la transición energética</w:t>
            </w:r>
            <w:r>
              <w:rPr>
                <w:rFonts w:ascii="Arial Narrow" w:hAnsi="Arial Narrow" w:cs="Arial"/>
                <w:sz w:val="24"/>
                <w:szCs w:val="24"/>
                <w:shd w:val="clear" w:color="auto" w:fill="FFFFFF"/>
                <w:lang w:val="es-CO"/>
              </w:rPr>
              <w:t xml:space="preserve"> justa</w:t>
            </w:r>
            <w:r w:rsidRPr="00370FBB">
              <w:rPr>
                <w:rFonts w:ascii="Arial Narrow" w:hAnsi="Arial Narrow" w:cs="Arial"/>
                <w:sz w:val="24"/>
                <w:szCs w:val="24"/>
                <w:shd w:val="clear" w:color="auto" w:fill="FFFFFF"/>
                <w:lang w:val="es-CO"/>
              </w:rPr>
              <w:t>. Entre ellas se destacan sistemas inteligentes de detección y disuasión de fauna, ajustes dinámicos en los regímenes de operación de las turbinas, diseños innovadores de palas que reducen la mortalidad de aves y murciélagos, y esquemas de monitoreo en tiempo real que permiten la toma de decisiones adaptativas. Estos avances, sumados a planes de manejo ambiental rigurosos, permiten que la significancia ambiental y social de los proyectos eólicos alcance su máxima expresión como fuente de energía limpia y sostenible.</w:t>
            </w:r>
          </w:p>
          <w:p w14:paraId="75B0FCE8" w14:textId="77777777" w:rsidR="00370FBB" w:rsidRPr="00370FBB" w:rsidRDefault="00370FBB" w:rsidP="00370FBB">
            <w:pPr>
              <w:jc w:val="both"/>
              <w:rPr>
                <w:rFonts w:ascii="Arial Narrow" w:hAnsi="Arial Narrow" w:cs="Arial"/>
                <w:sz w:val="24"/>
                <w:szCs w:val="24"/>
                <w:shd w:val="clear" w:color="auto" w:fill="FFFFFF"/>
                <w:lang w:val="es-CO"/>
              </w:rPr>
            </w:pPr>
          </w:p>
          <w:p w14:paraId="61C3BA58" w14:textId="50E35CFF" w:rsidR="00072956" w:rsidRPr="000B180A" w:rsidRDefault="00370FBB" w:rsidP="007F5995">
            <w:pPr>
              <w:jc w:val="both"/>
              <w:rPr>
                <w:rFonts w:ascii="Arial Narrow" w:hAnsi="Arial Narrow" w:cs="Arial"/>
                <w:sz w:val="24"/>
                <w:szCs w:val="24"/>
                <w:shd w:val="clear" w:color="auto" w:fill="FFFFFF"/>
                <w:lang w:val="es-CO"/>
              </w:rPr>
            </w:pPr>
            <w:r w:rsidRPr="00370FBB">
              <w:rPr>
                <w:rFonts w:ascii="Arial Narrow" w:hAnsi="Arial Narrow" w:cs="Arial"/>
                <w:sz w:val="24"/>
                <w:szCs w:val="24"/>
                <w:shd w:val="clear" w:color="auto" w:fill="FFFFFF"/>
                <w:lang w:val="es-CO"/>
              </w:rPr>
              <w:t>Asimismo, las tecnologías eólicas poseen un alto grado de reversibilidad, lo que significa que al término de su vida útil pueden ser retiradas sin causar degradación irreversible del ecosistema, permitiendo incluso procesos de restauración natural.</w:t>
            </w:r>
          </w:p>
          <w:p w14:paraId="2CD0A972"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2. Prevención de conflictos entre conservación y transición energética</w:t>
            </w:r>
          </w:p>
          <w:p w14:paraId="5C014E55" w14:textId="77777777" w:rsidR="00072956" w:rsidRPr="000B180A" w:rsidRDefault="00072956" w:rsidP="007F5995">
            <w:pPr>
              <w:rPr>
                <w:rFonts w:ascii="Arial Narrow" w:hAnsi="Arial Narrow" w:cs="Arial"/>
                <w:sz w:val="24"/>
                <w:szCs w:val="24"/>
                <w:shd w:val="clear" w:color="auto" w:fill="FFFFFF"/>
                <w:lang w:val="es-CO"/>
              </w:rPr>
            </w:pPr>
          </w:p>
          <w:p w14:paraId="3926FD81"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coexistencia entre la protección de la biodiversidad y la transición energética requiere superar visiones dicotómicas que presentan los proyectos de infraestructura como intrínsecamente incompatibles con la conservación. Por el contrario, una transición energética justa y bien regulada puede reducir presiones estructurales sobre la biodiversidad, al sustituir fuentes energéticas contaminantes, minimizar la necesidad de abrir nuevas vías de acceso a zonas biodiversas, y ofrecer alternativas sostenibles de desarrollo local.</w:t>
            </w:r>
          </w:p>
          <w:p w14:paraId="27D8038C" w14:textId="77777777" w:rsidR="00072956" w:rsidRPr="000B180A" w:rsidRDefault="00072956" w:rsidP="007F5995">
            <w:pPr>
              <w:jc w:val="both"/>
              <w:rPr>
                <w:rFonts w:ascii="Arial Narrow" w:hAnsi="Arial Narrow" w:cs="Arial"/>
                <w:sz w:val="24"/>
                <w:szCs w:val="24"/>
                <w:shd w:val="clear" w:color="auto" w:fill="FFFFFF"/>
                <w:lang w:val="es-CO"/>
              </w:rPr>
            </w:pPr>
          </w:p>
          <w:p w14:paraId="250CE8DA"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este sentido, el reconocimiento de los proyectos eólicos como de bajo impacto y beneficio social permite evitar decisiones regulatorias que, por falta de diferenciación técnica, excluyen a priori actividades limpias incluso en zonas ya intervenidas o con bajo valor de conservación, y que podrían terminar fomentando indirectamente actividades ilegales o de alto impacto.</w:t>
            </w:r>
          </w:p>
          <w:p w14:paraId="7B4DC89C" w14:textId="77777777" w:rsidR="00072956" w:rsidRPr="000B180A" w:rsidRDefault="00072956" w:rsidP="007F5995">
            <w:pPr>
              <w:jc w:val="both"/>
              <w:rPr>
                <w:rFonts w:ascii="Arial Narrow" w:hAnsi="Arial Narrow" w:cs="Arial"/>
                <w:sz w:val="24"/>
                <w:szCs w:val="24"/>
                <w:shd w:val="clear" w:color="auto" w:fill="FFFFFF"/>
                <w:lang w:val="es-CO"/>
              </w:rPr>
            </w:pPr>
          </w:p>
          <w:p w14:paraId="72160B92"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3. Protección efectiva mediante manejo diferenciado y criterios ecológicos</w:t>
            </w:r>
          </w:p>
          <w:p w14:paraId="52C6C677" w14:textId="77777777" w:rsidR="00072956" w:rsidRPr="000B180A" w:rsidRDefault="00072956" w:rsidP="007F5995">
            <w:pPr>
              <w:jc w:val="both"/>
              <w:rPr>
                <w:rFonts w:ascii="Arial Narrow" w:hAnsi="Arial Narrow" w:cs="Arial"/>
                <w:sz w:val="24"/>
                <w:szCs w:val="24"/>
                <w:shd w:val="clear" w:color="auto" w:fill="FFFFFF"/>
                <w:lang w:val="es-CO"/>
              </w:rPr>
            </w:pPr>
          </w:p>
          <w:p w14:paraId="2EB8A8C2"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posibilidad de que el Ministerio de Ambiente y Desarrollo Sostenible reglamente las medidas de manejo ambiental específicas para estos proyectos garantiza que cualquier intervención se haga bajo criterios de ordenamiento ecológico, prevención de fragmentación de hábitats y respeto a las funciones ecosistémicas de las reservas. Esto permitirá aplicar mecanismos como:</w:t>
            </w:r>
          </w:p>
          <w:p w14:paraId="7D2EF908" w14:textId="77777777" w:rsidR="00072956" w:rsidRPr="000B180A" w:rsidRDefault="00072956" w:rsidP="007F5995">
            <w:pPr>
              <w:ind w:left="1111"/>
              <w:jc w:val="both"/>
              <w:rPr>
                <w:rFonts w:ascii="Arial Narrow" w:hAnsi="Arial Narrow" w:cs="Arial"/>
                <w:sz w:val="24"/>
                <w:szCs w:val="24"/>
                <w:shd w:val="clear" w:color="auto" w:fill="FFFFFF"/>
                <w:lang w:val="es-CO"/>
              </w:rPr>
            </w:pPr>
          </w:p>
          <w:p w14:paraId="0E14B0F4" w14:textId="77777777" w:rsidR="00072956" w:rsidRPr="000B180A" w:rsidRDefault="00072956" w:rsidP="007F5995">
            <w:pPr>
              <w:pStyle w:val="Prrafodelista"/>
              <w:numPr>
                <w:ilvl w:val="2"/>
                <w:numId w:val="31"/>
              </w:numPr>
              <w:ind w:left="969" w:firstLine="0"/>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Restricción de instalaciones en zonas de alta conectividad ecológica.</w:t>
            </w:r>
          </w:p>
          <w:p w14:paraId="4AD53CA8" w14:textId="77777777" w:rsidR="00072956" w:rsidRPr="000B180A" w:rsidRDefault="00072956" w:rsidP="007F5995">
            <w:pPr>
              <w:pStyle w:val="Prrafodelista"/>
              <w:numPr>
                <w:ilvl w:val="2"/>
                <w:numId w:val="31"/>
              </w:numPr>
              <w:ind w:left="969" w:firstLine="0"/>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Prioridad de ubicación en áreas intervenidas dentro de las reservas.</w:t>
            </w:r>
          </w:p>
          <w:p w14:paraId="7184E5D3" w14:textId="77777777" w:rsidR="00072956" w:rsidRPr="000B180A" w:rsidRDefault="00072956" w:rsidP="007F5995">
            <w:pPr>
              <w:pStyle w:val="Prrafodelista"/>
              <w:numPr>
                <w:ilvl w:val="2"/>
                <w:numId w:val="31"/>
              </w:numPr>
              <w:ind w:left="969" w:firstLine="0"/>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Requerimientos de revegetalización, permeabilidad del suelo y monitoreo de fauna.</w:t>
            </w:r>
          </w:p>
          <w:p w14:paraId="1271C5F8" w14:textId="77777777" w:rsidR="00072956" w:rsidRPr="000B180A" w:rsidRDefault="00072956" w:rsidP="007F5995">
            <w:pPr>
              <w:pStyle w:val="Prrafodelista"/>
              <w:numPr>
                <w:ilvl w:val="2"/>
                <w:numId w:val="31"/>
              </w:numPr>
              <w:ind w:left="969" w:firstLine="0"/>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Integración con programas de restauración ecológica y monitoreo comunitario.</w:t>
            </w:r>
          </w:p>
          <w:p w14:paraId="31C46761" w14:textId="77777777" w:rsidR="00072956" w:rsidRPr="000B180A" w:rsidRDefault="00072956" w:rsidP="007F5995">
            <w:pPr>
              <w:jc w:val="both"/>
              <w:rPr>
                <w:rFonts w:ascii="Arial Narrow" w:hAnsi="Arial Narrow" w:cs="Arial"/>
                <w:sz w:val="24"/>
                <w:szCs w:val="24"/>
                <w:shd w:val="clear" w:color="auto" w:fill="FFFFFF"/>
                <w:lang w:val="es-CO"/>
              </w:rPr>
            </w:pPr>
          </w:p>
          <w:p w14:paraId="56BEB520"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Estas herramientas aseguran que el desarrollo de proyectos LAEólica no comprometa los objetivos de conservación, y que, por el contrario, pueda complementarlos con inversiones, vigilancia y acuerdos de conservación voluntaria.</w:t>
            </w:r>
          </w:p>
          <w:p w14:paraId="6D377200" w14:textId="77777777" w:rsidR="00072956" w:rsidRPr="000B180A" w:rsidRDefault="00072956" w:rsidP="007F5995">
            <w:pPr>
              <w:jc w:val="both"/>
              <w:rPr>
                <w:rFonts w:ascii="Arial Narrow" w:hAnsi="Arial Narrow" w:cs="Arial"/>
                <w:sz w:val="24"/>
                <w:szCs w:val="24"/>
                <w:shd w:val="clear" w:color="auto" w:fill="FFFFFF"/>
                <w:lang w:val="es-CO"/>
              </w:rPr>
            </w:pPr>
          </w:p>
          <w:p w14:paraId="031D60FD" w14:textId="3F941FD1" w:rsidR="00072956" w:rsidRPr="000B180A" w:rsidRDefault="00072956" w:rsidP="007F5995">
            <w:pPr>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4.Contribución a metas de conservación y biodiversidad sin perder coherencia </w:t>
            </w:r>
            <w:r w:rsidR="00B45DF1">
              <w:rPr>
                <w:rFonts w:ascii="Arial Narrow" w:hAnsi="Arial Narrow"/>
                <w:sz w:val="24"/>
                <w:szCs w:val="24"/>
                <w:shd w:val="clear" w:color="auto" w:fill="FFFFFF"/>
              </w:rPr>
              <w:t xml:space="preserve">con la expansión </w:t>
            </w:r>
            <w:r w:rsidRPr="000B180A">
              <w:rPr>
                <w:rFonts w:ascii="Arial Narrow" w:hAnsi="Arial Narrow"/>
                <w:sz w:val="24"/>
                <w:szCs w:val="24"/>
                <w:shd w:val="clear" w:color="auto" w:fill="FFFFFF"/>
              </w:rPr>
              <w:t>energética</w:t>
            </w:r>
            <w:r w:rsidR="00B45DF1">
              <w:rPr>
                <w:rFonts w:ascii="Arial Narrow" w:hAnsi="Arial Narrow"/>
                <w:sz w:val="24"/>
                <w:szCs w:val="24"/>
                <w:shd w:val="clear" w:color="auto" w:fill="FFFFFF"/>
              </w:rPr>
              <w:t xml:space="preserve"> limpia</w:t>
            </w:r>
          </w:p>
          <w:p w14:paraId="191E8E79" w14:textId="77777777" w:rsidR="00072956" w:rsidRPr="000B180A" w:rsidRDefault="00072956" w:rsidP="007F5995">
            <w:pPr>
              <w:jc w:val="both"/>
              <w:rPr>
                <w:rFonts w:ascii="Arial Narrow" w:hAnsi="Arial Narrow" w:cs="Arial"/>
                <w:sz w:val="24"/>
                <w:szCs w:val="24"/>
                <w:shd w:val="clear" w:color="auto" w:fill="FFFFFF"/>
                <w:lang w:val="es-CO"/>
              </w:rPr>
            </w:pPr>
          </w:p>
          <w:p w14:paraId="444C7327"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Esta medida es coherente con las metas internacionales de Colombia en biodiversidad (Marco Mundial Kunming-Montreal), cambio climático (Acuerdo de París y NDC) y áreas protegidas (30x30), al permitir que la expansión de la infraestructura para energías limpias se dé sin comprometer ecosistemas estratégicos. Más aún, permite que el desarrollo de proyectos eólicos en contextos rurales también pueda ser un vector de conservación, cuando se articula con comunidades locales, restauración pasiva y acuerdos de conservación.</w:t>
            </w:r>
          </w:p>
          <w:p w14:paraId="43EA7CAE" w14:textId="77777777" w:rsidR="00072956" w:rsidRPr="000B180A" w:rsidRDefault="00072956" w:rsidP="007F5995">
            <w:pPr>
              <w:jc w:val="both"/>
              <w:rPr>
                <w:rFonts w:ascii="Arial Narrow" w:hAnsi="Arial Narrow" w:cs="Arial"/>
                <w:sz w:val="24"/>
                <w:szCs w:val="24"/>
                <w:shd w:val="clear" w:color="auto" w:fill="FFFFFF"/>
                <w:lang w:val="es-CO"/>
              </w:rPr>
            </w:pPr>
          </w:p>
          <w:p w14:paraId="15BDED10" w14:textId="1F004328"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artículo 2.2.2.11.1</w:t>
            </w:r>
            <w:r w:rsidR="009E2016">
              <w:rPr>
                <w:rFonts w:ascii="Arial Narrow" w:hAnsi="Arial Narrow" w:cs="Arial"/>
                <w:sz w:val="24"/>
                <w:szCs w:val="24"/>
                <w:shd w:val="clear" w:color="auto" w:fill="FFFFFF"/>
                <w:lang w:val="es-CO"/>
              </w:rPr>
              <w:t>2</w:t>
            </w:r>
            <w:r w:rsidRPr="000B180A">
              <w:rPr>
                <w:rFonts w:ascii="Arial Narrow" w:hAnsi="Arial Narrow" w:cs="Arial"/>
                <w:sz w:val="24"/>
                <w:szCs w:val="24"/>
                <w:shd w:val="clear" w:color="auto" w:fill="FFFFFF"/>
                <w:lang w:val="es-CO"/>
              </w:rPr>
              <w:t xml:space="preserve"> reconoce que los proyectos eólicos, bajo condiciones específicas relacionadas con su localización, distancias relativas a recursos hídricos y otros parques de aerogeneración, protección del núcleo de los bosques y control del aprovechamiento forestal, pueden desarrollarse en las reservas de Ley 2ª sin comprometer la biodiversidad ni las funciones ecológicas del territorio. Esta disposición transitoria permite avanzar en el cierre de brechas energéticas rurales, la mitigación del cambio climático y la equidad territorial, sin abandonar los objetivos de conservación. Al permitir una reglamentación ambiental diferenciada se asegura un enfoque técnico, preventivo y funcional del ordenamiento territorial ambiental, donde biodiversidad y transición energética dejan de estar en conflicto para convertirse en agendas complementarias.</w:t>
            </w:r>
          </w:p>
          <w:p w14:paraId="323C4E16" w14:textId="77777777" w:rsidR="00072956" w:rsidRPr="000B180A" w:rsidRDefault="00072956" w:rsidP="007F5995">
            <w:pPr>
              <w:jc w:val="both"/>
              <w:rPr>
                <w:rFonts w:ascii="Arial Narrow" w:hAnsi="Arial Narrow" w:cs="Arial"/>
                <w:sz w:val="24"/>
                <w:szCs w:val="24"/>
                <w:shd w:val="clear" w:color="auto" w:fill="FFFFFF"/>
                <w:lang w:val="es-CO"/>
              </w:rPr>
            </w:pPr>
          </w:p>
          <w:p w14:paraId="4E8C8293"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Para identificar el potencial eólico dentro de las Reservas Forestales de Ley 2 de 1959 en Colombia, se categorizó la densidad media de potencia eólica, según el Global Wind Atlas (GWA), en cinco niveles. Esta información se superpone con la cartografía oficial de dichas reservas, disponible en el Sistema de Información Ambiental de Colombia (SIAC).</w:t>
            </w:r>
          </w:p>
          <w:p w14:paraId="7F7A2068" w14:textId="77777777" w:rsidR="00072956" w:rsidRPr="000B180A" w:rsidRDefault="00072956" w:rsidP="007F5995">
            <w:pPr>
              <w:jc w:val="both"/>
              <w:rPr>
                <w:rFonts w:ascii="Arial Narrow" w:hAnsi="Arial Narrow" w:cs="Arial"/>
                <w:sz w:val="24"/>
                <w:szCs w:val="24"/>
                <w:shd w:val="clear" w:color="auto" w:fill="FFFFFF"/>
                <w:lang w:val="es-CO"/>
              </w:rPr>
            </w:pPr>
          </w:p>
          <w:p w14:paraId="0B3A4246" w14:textId="77777777" w:rsidR="00072956" w:rsidRPr="000B180A" w:rsidRDefault="00072956" w:rsidP="007F5995">
            <w:pPr>
              <w:jc w:val="center"/>
              <w:rPr>
                <w:rFonts w:ascii="Arial Narrow" w:hAnsi="Arial Narrow" w:cs="Arial"/>
                <w:sz w:val="24"/>
                <w:szCs w:val="24"/>
                <w:shd w:val="clear" w:color="auto" w:fill="FFFFFF"/>
                <w:lang w:val="es-CO"/>
              </w:rPr>
            </w:pPr>
          </w:p>
          <w:p w14:paraId="550D4115" w14:textId="77777777" w:rsidR="00072956" w:rsidRPr="000B180A" w:rsidRDefault="00072956" w:rsidP="007F5995">
            <w:pPr>
              <w:jc w:val="center"/>
              <w:rPr>
                <w:rFonts w:ascii="Arial Narrow" w:hAnsi="Arial Narrow" w:cs="Arial"/>
                <w:sz w:val="24"/>
                <w:szCs w:val="24"/>
                <w:shd w:val="clear" w:color="auto" w:fill="FFFFFF"/>
                <w:lang w:val="es-CO"/>
              </w:rPr>
            </w:pPr>
          </w:p>
          <w:p w14:paraId="7886B1AB" w14:textId="77777777" w:rsidR="00072956" w:rsidRDefault="00072956" w:rsidP="007F5995">
            <w:pPr>
              <w:jc w:val="center"/>
              <w:rPr>
                <w:rFonts w:ascii="Arial Narrow" w:hAnsi="Arial Narrow" w:cs="Arial"/>
                <w:sz w:val="24"/>
                <w:szCs w:val="24"/>
                <w:shd w:val="clear" w:color="auto" w:fill="FFFFFF"/>
                <w:lang w:val="es-CO"/>
              </w:rPr>
            </w:pPr>
          </w:p>
          <w:p w14:paraId="4AC047C2" w14:textId="77777777" w:rsidR="002C4BD9" w:rsidRDefault="002C4BD9" w:rsidP="007F5995">
            <w:pPr>
              <w:jc w:val="center"/>
              <w:rPr>
                <w:rFonts w:ascii="Arial Narrow" w:hAnsi="Arial Narrow" w:cs="Arial"/>
                <w:sz w:val="24"/>
                <w:szCs w:val="24"/>
                <w:shd w:val="clear" w:color="auto" w:fill="FFFFFF"/>
                <w:lang w:val="es-CO"/>
              </w:rPr>
            </w:pPr>
          </w:p>
          <w:p w14:paraId="504B7545" w14:textId="77777777" w:rsidR="002C4BD9" w:rsidRPr="000B180A" w:rsidRDefault="002C4BD9" w:rsidP="007F5995">
            <w:pPr>
              <w:jc w:val="center"/>
              <w:rPr>
                <w:rFonts w:ascii="Arial Narrow" w:hAnsi="Arial Narrow" w:cs="Arial"/>
                <w:sz w:val="24"/>
                <w:szCs w:val="24"/>
                <w:shd w:val="clear" w:color="auto" w:fill="FFFFFF"/>
                <w:lang w:val="es-CO"/>
              </w:rPr>
            </w:pPr>
          </w:p>
          <w:p w14:paraId="625AF4AA" w14:textId="77777777" w:rsidR="00072956" w:rsidRPr="000B180A" w:rsidRDefault="00072956" w:rsidP="007F5995">
            <w:pPr>
              <w:jc w:val="center"/>
              <w:rPr>
                <w:rFonts w:ascii="Arial Narrow" w:hAnsi="Arial Narrow" w:cs="Arial"/>
                <w:sz w:val="24"/>
                <w:szCs w:val="24"/>
                <w:shd w:val="clear" w:color="auto" w:fill="FFFFFF"/>
                <w:lang w:val="es-CO"/>
              </w:rPr>
            </w:pPr>
          </w:p>
          <w:p w14:paraId="56690E39" w14:textId="77777777" w:rsidR="00072956" w:rsidRPr="000B180A" w:rsidRDefault="00072956" w:rsidP="007F5995">
            <w:pPr>
              <w:jc w:val="center"/>
              <w:rPr>
                <w:rFonts w:ascii="Arial Narrow" w:hAnsi="Arial Narrow" w:cs="Arial"/>
                <w:sz w:val="24"/>
                <w:szCs w:val="24"/>
                <w:shd w:val="clear" w:color="auto" w:fill="FFFFFF"/>
                <w:lang w:val="es-CO"/>
              </w:rPr>
            </w:pPr>
          </w:p>
          <w:p w14:paraId="17539333" w14:textId="77777777" w:rsidR="00072956" w:rsidRPr="000B180A" w:rsidRDefault="00072956" w:rsidP="007F5995">
            <w:pPr>
              <w:jc w:val="center"/>
              <w:rPr>
                <w:rFonts w:ascii="Arial Narrow" w:hAnsi="Arial Narrow" w:cs="Arial"/>
                <w:sz w:val="24"/>
                <w:szCs w:val="24"/>
                <w:shd w:val="clear" w:color="auto" w:fill="FFFFFF"/>
                <w:lang w:val="es-CO"/>
              </w:rPr>
            </w:pPr>
          </w:p>
          <w:p w14:paraId="7C42D3FB" w14:textId="77777777" w:rsidR="00072956" w:rsidRPr="000B180A" w:rsidRDefault="00072956" w:rsidP="007F5995">
            <w:pPr>
              <w:jc w:val="center"/>
              <w:rPr>
                <w:rFonts w:ascii="Arial Narrow" w:hAnsi="Arial Narrow" w:cs="Arial"/>
                <w:sz w:val="24"/>
                <w:szCs w:val="24"/>
                <w:shd w:val="clear" w:color="auto" w:fill="FFFFFF"/>
                <w:lang w:val="es-CO"/>
              </w:rPr>
            </w:pPr>
          </w:p>
          <w:p w14:paraId="2ACB36D3" w14:textId="77777777" w:rsidR="00072956" w:rsidRPr="000B180A" w:rsidRDefault="00072956" w:rsidP="007F5995">
            <w:pPr>
              <w:jc w:val="center"/>
              <w:rPr>
                <w:rFonts w:ascii="Arial Narrow" w:hAnsi="Arial Narrow" w:cs="Arial"/>
                <w:sz w:val="24"/>
                <w:szCs w:val="24"/>
                <w:shd w:val="clear" w:color="auto" w:fill="FFFFFF"/>
                <w:lang w:val="es-CO"/>
              </w:rPr>
            </w:pPr>
          </w:p>
          <w:p w14:paraId="51031332" w14:textId="77777777" w:rsidR="00072956" w:rsidRPr="000B180A" w:rsidRDefault="00072956" w:rsidP="007F5995">
            <w:pPr>
              <w:jc w:val="center"/>
              <w:rPr>
                <w:rFonts w:ascii="Arial Narrow" w:hAnsi="Arial Narrow" w:cs="Arial"/>
                <w:sz w:val="24"/>
                <w:szCs w:val="24"/>
                <w:shd w:val="clear" w:color="auto" w:fill="FFFFFF"/>
                <w:lang w:val="es-CO"/>
              </w:rPr>
            </w:pPr>
          </w:p>
          <w:p w14:paraId="7E043722"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Figura </w:t>
            </w:r>
            <w:r w:rsidRPr="000B180A">
              <w:rPr>
                <w:rFonts w:ascii="Arial Narrow" w:hAnsi="Arial Narrow" w:cs="Arial"/>
                <w:sz w:val="24"/>
                <w:szCs w:val="24"/>
                <w:shd w:val="clear" w:color="auto" w:fill="FFFFFF"/>
                <w:lang w:val="es-CO"/>
              </w:rPr>
              <w:fldChar w:fldCharType="begin"/>
            </w:r>
            <w:r w:rsidRPr="000B180A">
              <w:rPr>
                <w:rFonts w:ascii="Arial Narrow" w:hAnsi="Arial Narrow" w:cs="Arial"/>
                <w:sz w:val="24"/>
                <w:szCs w:val="24"/>
                <w:shd w:val="clear" w:color="auto" w:fill="FFFFFF"/>
                <w:lang w:val="es-CO"/>
              </w:rPr>
              <w:instrText xml:space="preserve"> SEQ Figura \* ARABIC </w:instrText>
            </w:r>
            <w:r w:rsidRPr="000B180A">
              <w:rPr>
                <w:rFonts w:ascii="Arial Narrow" w:hAnsi="Arial Narrow" w:cs="Arial"/>
                <w:sz w:val="24"/>
                <w:szCs w:val="24"/>
                <w:shd w:val="clear" w:color="auto" w:fill="FFFFFF"/>
                <w:lang w:val="es-CO"/>
              </w:rPr>
              <w:fldChar w:fldCharType="separate"/>
            </w:r>
            <w:r w:rsidRPr="000B180A">
              <w:rPr>
                <w:rFonts w:ascii="Arial Narrow" w:hAnsi="Arial Narrow" w:cs="Arial"/>
                <w:noProof/>
                <w:sz w:val="24"/>
                <w:szCs w:val="24"/>
                <w:shd w:val="clear" w:color="auto" w:fill="FFFFFF"/>
                <w:lang w:val="es-CO"/>
              </w:rPr>
              <w:t>3</w:t>
            </w:r>
            <w:r w:rsidRPr="000B180A">
              <w:rPr>
                <w:rFonts w:ascii="Arial Narrow" w:hAnsi="Arial Narrow" w:cs="Arial"/>
                <w:sz w:val="24"/>
                <w:szCs w:val="24"/>
                <w:shd w:val="clear" w:color="auto" w:fill="FFFFFF"/>
                <w:lang w:val="es-CO"/>
              </w:rPr>
              <w:fldChar w:fldCharType="end"/>
            </w:r>
            <w:r w:rsidRPr="000B180A">
              <w:rPr>
                <w:rFonts w:ascii="Arial Narrow" w:hAnsi="Arial Narrow" w:cs="Arial"/>
                <w:sz w:val="24"/>
                <w:szCs w:val="24"/>
                <w:shd w:val="clear" w:color="auto" w:fill="FFFFFF"/>
                <w:lang w:val="es-CO"/>
              </w:rPr>
              <w:t xml:space="preserve">. Reserva Forestal de Ley 2º de 1959 Vs Potencial de generación de energía eólica </w:t>
            </w:r>
          </w:p>
          <w:p w14:paraId="02C4089E"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noProof/>
                <w:sz w:val="24"/>
                <w:szCs w:val="24"/>
                <w:shd w:val="clear" w:color="auto" w:fill="FFFFFF"/>
                <w:lang w:val="es-CO"/>
              </w:rPr>
              <w:drawing>
                <wp:inline distT="0" distB="0" distL="0" distR="0" wp14:anchorId="2F668A8A" wp14:editId="3F2639CB">
                  <wp:extent cx="5415280" cy="4886468"/>
                  <wp:effectExtent l="0" t="0" r="0" b="9525"/>
                  <wp:docPr id="816462962" name="Imagen 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462962" name="Imagen 3" descr="Mapa&#10;&#10;El contenido generado por IA puede ser incorrect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17485" cy="4888458"/>
                          </a:xfrm>
                          <a:prstGeom prst="rect">
                            <a:avLst/>
                          </a:prstGeom>
                          <a:noFill/>
                          <a:ln>
                            <a:noFill/>
                          </a:ln>
                        </pic:spPr>
                      </pic:pic>
                    </a:graphicData>
                  </a:graphic>
                </wp:inline>
              </w:drawing>
            </w:r>
          </w:p>
          <w:p w14:paraId="358B5337"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Fuente: Sistema de Información Ambiental de Colombia y Global Wind Atlas (GWA, 2025)</w:t>
            </w:r>
          </w:p>
          <w:p w14:paraId="3D043934" w14:textId="77777777" w:rsidR="00072956" w:rsidRPr="000B180A" w:rsidRDefault="00072956" w:rsidP="007F5995">
            <w:pPr>
              <w:jc w:val="center"/>
              <w:rPr>
                <w:rFonts w:ascii="Arial Narrow" w:hAnsi="Arial Narrow" w:cs="Arial"/>
                <w:sz w:val="24"/>
                <w:szCs w:val="24"/>
                <w:shd w:val="clear" w:color="auto" w:fill="FFFFFF"/>
                <w:lang w:val="es-CO"/>
              </w:rPr>
            </w:pPr>
          </w:p>
          <w:p w14:paraId="661350A9"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Tabla 1. Áreas de Reserva Forestal de Ley 2º de 1959, de acuerdo al potencial de generación de energía eólica </w:t>
            </w:r>
          </w:p>
          <w:tbl>
            <w:tblPr>
              <w:tblW w:w="6741" w:type="dxa"/>
              <w:jc w:val="center"/>
              <w:tblCellMar>
                <w:left w:w="70" w:type="dxa"/>
                <w:right w:w="70" w:type="dxa"/>
              </w:tblCellMar>
              <w:tblLook w:val="04A0" w:firstRow="1" w:lastRow="0" w:firstColumn="1" w:lastColumn="0" w:noHBand="0" w:noVBand="1"/>
            </w:tblPr>
            <w:tblGrid>
              <w:gridCol w:w="1635"/>
              <w:gridCol w:w="2080"/>
              <w:gridCol w:w="1573"/>
              <w:gridCol w:w="1453"/>
            </w:tblGrid>
            <w:tr w:rsidR="00072956" w:rsidRPr="000B180A" w14:paraId="52EFBB72" w14:textId="77777777" w:rsidTr="007F5995">
              <w:trPr>
                <w:trHeight w:val="53"/>
                <w:tblHeader/>
                <w:jc w:val="center"/>
              </w:trPr>
              <w:tc>
                <w:tcPr>
                  <w:tcW w:w="163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0A5C42" w14:textId="77777777" w:rsidR="00072956" w:rsidRPr="000B180A" w:rsidRDefault="00072956" w:rsidP="007F5995">
                  <w:pPr>
                    <w:jc w:val="center"/>
                    <w:rPr>
                      <w:rFonts w:ascii="Arial Narrow" w:hAnsi="Arial Narrow" w:cs="Arial"/>
                      <w:b/>
                      <w:bCs/>
                      <w:sz w:val="24"/>
                      <w:szCs w:val="24"/>
                      <w:shd w:val="clear" w:color="auto" w:fill="FFFFFF"/>
                      <w:lang w:val="es-CO"/>
                    </w:rPr>
                  </w:pPr>
                  <w:r w:rsidRPr="000B180A">
                    <w:rPr>
                      <w:rFonts w:ascii="Arial Narrow" w:hAnsi="Arial Narrow" w:cs="Arial"/>
                      <w:b/>
                      <w:bCs/>
                      <w:sz w:val="24"/>
                      <w:szCs w:val="24"/>
                      <w:shd w:val="clear" w:color="auto" w:fill="FFFFFF"/>
                      <w:lang w:val="es-CO"/>
                    </w:rPr>
                    <w:t>Categoría potencial</w:t>
                  </w:r>
                </w:p>
              </w:tc>
              <w:tc>
                <w:tcPr>
                  <w:tcW w:w="208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E8202EE" w14:textId="77777777" w:rsidR="00072956" w:rsidRPr="000B180A" w:rsidRDefault="00072956" w:rsidP="007F5995">
                  <w:pPr>
                    <w:jc w:val="center"/>
                    <w:rPr>
                      <w:rFonts w:ascii="Arial Narrow" w:hAnsi="Arial Narrow" w:cs="Arial"/>
                      <w:b/>
                      <w:bCs/>
                      <w:sz w:val="24"/>
                      <w:szCs w:val="24"/>
                      <w:shd w:val="clear" w:color="auto" w:fill="FFFFFF"/>
                      <w:lang w:val="es-CO"/>
                    </w:rPr>
                  </w:pPr>
                  <w:r w:rsidRPr="000B180A">
                    <w:rPr>
                      <w:rFonts w:ascii="Arial Narrow" w:hAnsi="Arial Narrow" w:cs="Arial"/>
                      <w:b/>
                      <w:bCs/>
                      <w:sz w:val="24"/>
                      <w:szCs w:val="24"/>
                      <w:shd w:val="clear" w:color="auto" w:fill="FFFFFF"/>
                      <w:lang w:val="es-CO"/>
                    </w:rPr>
                    <w:t>Reserva forestal ley 2da</w:t>
                  </w:r>
                </w:p>
              </w:tc>
              <w:tc>
                <w:tcPr>
                  <w:tcW w:w="1573"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CB72BB8" w14:textId="77777777" w:rsidR="00072956" w:rsidRPr="000B180A" w:rsidRDefault="00072956" w:rsidP="007F5995">
                  <w:pPr>
                    <w:jc w:val="center"/>
                    <w:rPr>
                      <w:rFonts w:ascii="Arial Narrow" w:hAnsi="Arial Narrow" w:cs="Arial"/>
                      <w:b/>
                      <w:bCs/>
                      <w:sz w:val="24"/>
                      <w:szCs w:val="24"/>
                      <w:shd w:val="clear" w:color="auto" w:fill="FFFFFF"/>
                      <w:lang w:val="es-CO"/>
                    </w:rPr>
                  </w:pPr>
                  <w:r w:rsidRPr="000B180A">
                    <w:rPr>
                      <w:rFonts w:ascii="Arial Narrow" w:hAnsi="Arial Narrow" w:cs="Arial"/>
                      <w:b/>
                      <w:bCs/>
                      <w:sz w:val="24"/>
                      <w:szCs w:val="24"/>
                      <w:shd w:val="clear" w:color="auto" w:fill="FFFFFF"/>
                      <w:lang w:val="es-CO"/>
                    </w:rPr>
                    <w:t>Área Paramos (ha)</w:t>
                  </w:r>
                </w:p>
              </w:tc>
              <w:tc>
                <w:tcPr>
                  <w:tcW w:w="145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A1501B8" w14:textId="77777777" w:rsidR="00072956" w:rsidRPr="000B180A" w:rsidRDefault="00072956" w:rsidP="007F5995">
                  <w:pPr>
                    <w:jc w:val="center"/>
                    <w:rPr>
                      <w:rFonts w:ascii="Arial Narrow" w:hAnsi="Arial Narrow" w:cs="Arial"/>
                      <w:b/>
                      <w:bCs/>
                      <w:sz w:val="24"/>
                      <w:szCs w:val="24"/>
                      <w:shd w:val="clear" w:color="auto" w:fill="FFFFFF"/>
                      <w:lang w:val="es-CO"/>
                    </w:rPr>
                  </w:pPr>
                  <w:r w:rsidRPr="000B180A">
                    <w:rPr>
                      <w:rFonts w:ascii="Arial Narrow" w:hAnsi="Arial Narrow" w:cs="Arial"/>
                      <w:b/>
                      <w:bCs/>
                      <w:sz w:val="24"/>
                      <w:szCs w:val="24"/>
                      <w:shd w:val="clear" w:color="auto" w:fill="FFFFFF"/>
                      <w:lang w:val="es-CO"/>
                    </w:rPr>
                    <w:t>Diferencia</w:t>
                  </w:r>
                </w:p>
              </w:tc>
            </w:tr>
            <w:tr w:rsidR="00072956" w:rsidRPr="000B180A" w14:paraId="058287CC" w14:textId="77777777" w:rsidTr="007F5995">
              <w:trPr>
                <w:trHeight w:val="265"/>
                <w:jc w:val="center"/>
              </w:trPr>
              <w:tc>
                <w:tcPr>
                  <w:tcW w:w="1635" w:type="dxa"/>
                  <w:tcBorders>
                    <w:top w:val="nil"/>
                    <w:left w:val="single" w:sz="4" w:space="0" w:color="auto"/>
                    <w:bottom w:val="single" w:sz="4" w:space="0" w:color="auto"/>
                    <w:right w:val="single" w:sz="4" w:space="0" w:color="auto"/>
                  </w:tcBorders>
                  <w:noWrap/>
                  <w:vAlign w:val="center"/>
                  <w:hideMark/>
                </w:tcPr>
                <w:p w14:paraId="51F6E8D1"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Muy Baja</w:t>
                  </w:r>
                </w:p>
              </w:tc>
              <w:tc>
                <w:tcPr>
                  <w:tcW w:w="2080" w:type="dxa"/>
                  <w:tcBorders>
                    <w:top w:val="nil"/>
                    <w:left w:val="nil"/>
                    <w:bottom w:val="single" w:sz="4" w:space="0" w:color="auto"/>
                    <w:right w:val="single" w:sz="4" w:space="0" w:color="auto"/>
                  </w:tcBorders>
                  <w:noWrap/>
                  <w:vAlign w:val="center"/>
                  <w:hideMark/>
                </w:tcPr>
                <w:p w14:paraId="084E830E"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47.069.703,71</w:t>
                  </w:r>
                </w:p>
              </w:tc>
              <w:tc>
                <w:tcPr>
                  <w:tcW w:w="1573" w:type="dxa"/>
                  <w:tcBorders>
                    <w:top w:val="nil"/>
                    <w:left w:val="nil"/>
                    <w:bottom w:val="single" w:sz="4" w:space="0" w:color="auto"/>
                    <w:right w:val="single" w:sz="4" w:space="0" w:color="auto"/>
                  </w:tcBorders>
                  <w:noWrap/>
                  <w:vAlign w:val="center"/>
                  <w:hideMark/>
                </w:tcPr>
                <w:p w14:paraId="47065D7E"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735.055,49</w:t>
                  </w:r>
                </w:p>
              </w:tc>
              <w:tc>
                <w:tcPr>
                  <w:tcW w:w="1453" w:type="dxa"/>
                  <w:tcBorders>
                    <w:top w:val="nil"/>
                    <w:left w:val="nil"/>
                    <w:bottom w:val="single" w:sz="4" w:space="0" w:color="auto"/>
                    <w:right w:val="single" w:sz="4" w:space="0" w:color="auto"/>
                  </w:tcBorders>
                  <w:noWrap/>
                  <w:vAlign w:val="center"/>
                  <w:hideMark/>
                </w:tcPr>
                <w:p w14:paraId="5A3D8775"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46.334.648,22</w:t>
                  </w:r>
                </w:p>
              </w:tc>
            </w:tr>
            <w:tr w:rsidR="00072956" w:rsidRPr="000B180A" w14:paraId="1AC6E53B" w14:textId="77777777" w:rsidTr="007F5995">
              <w:trPr>
                <w:trHeight w:val="265"/>
                <w:jc w:val="center"/>
              </w:trPr>
              <w:tc>
                <w:tcPr>
                  <w:tcW w:w="1635" w:type="dxa"/>
                  <w:tcBorders>
                    <w:top w:val="nil"/>
                    <w:left w:val="single" w:sz="4" w:space="0" w:color="auto"/>
                    <w:bottom w:val="single" w:sz="4" w:space="0" w:color="auto"/>
                    <w:right w:val="single" w:sz="4" w:space="0" w:color="auto"/>
                  </w:tcBorders>
                  <w:noWrap/>
                  <w:vAlign w:val="center"/>
                  <w:hideMark/>
                </w:tcPr>
                <w:p w14:paraId="7BA04CFC"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Baja</w:t>
                  </w:r>
                </w:p>
              </w:tc>
              <w:tc>
                <w:tcPr>
                  <w:tcW w:w="2080" w:type="dxa"/>
                  <w:tcBorders>
                    <w:top w:val="nil"/>
                    <w:left w:val="nil"/>
                    <w:bottom w:val="single" w:sz="4" w:space="0" w:color="auto"/>
                    <w:right w:val="single" w:sz="4" w:space="0" w:color="auto"/>
                  </w:tcBorders>
                  <w:noWrap/>
                  <w:vAlign w:val="center"/>
                  <w:hideMark/>
                </w:tcPr>
                <w:p w14:paraId="4FB6625F"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733.760,92</w:t>
                  </w:r>
                </w:p>
              </w:tc>
              <w:tc>
                <w:tcPr>
                  <w:tcW w:w="1573" w:type="dxa"/>
                  <w:tcBorders>
                    <w:top w:val="nil"/>
                    <w:left w:val="nil"/>
                    <w:bottom w:val="single" w:sz="4" w:space="0" w:color="auto"/>
                    <w:right w:val="single" w:sz="4" w:space="0" w:color="auto"/>
                  </w:tcBorders>
                  <w:noWrap/>
                  <w:vAlign w:val="center"/>
                  <w:hideMark/>
                </w:tcPr>
                <w:p w14:paraId="22E8B60C"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293.414,36</w:t>
                  </w:r>
                </w:p>
              </w:tc>
              <w:tc>
                <w:tcPr>
                  <w:tcW w:w="1453" w:type="dxa"/>
                  <w:tcBorders>
                    <w:top w:val="nil"/>
                    <w:left w:val="nil"/>
                    <w:bottom w:val="single" w:sz="4" w:space="0" w:color="auto"/>
                    <w:right w:val="single" w:sz="4" w:space="0" w:color="auto"/>
                  </w:tcBorders>
                  <w:noWrap/>
                  <w:vAlign w:val="center"/>
                  <w:hideMark/>
                </w:tcPr>
                <w:p w14:paraId="549CB48A"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440.346,56</w:t>
                  </w:r>
                </w:p>
              </w:tc>
            </w:tr>
            <w:tr w:rsidR="00072956" w:rsidRPr="000B180A" w14:paraId="6519C0F1" w14:textId="77777777" w:rsidTr="007F5995">
              <w:trPr>
                <w:trHeight w:val="265"/>
                <w:jc w:val="center"/>
              </w:trPr>
              <w:tc>
                <w:tcPr>
                  <w:tcW w:w="1635" w:type="dxa"/>
                  <w:tcBorders>
                    <w:top w:val="nil"/>
                    <w:left w:val="single" w:sz="4" w:space="0" w:color="auto"/>
                    <w:bottom w:val="single" w:sz="4" w:space="0" w:color="auto"/>
                    <w:right w:val="single" w:sz="4" w:space="0" w:color="auto"/>
                  </w:tcBorders>
                  <w:noWrap/>
                  <w:vAlign w:val="center"/>
                  <w:hideMark/>
                </w:tcPr>
                <w:p w14:paraId="5B54CCC4"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Media</w:t>
                  </w:r>
                </w:p>
              </w:tc>
              <w:tc>
                <w:tcPr>
                  <w:tcW w:w="2080" w:type="dxa"/>
                  <w:tcBorders>
                    <w:top w:val="nil"/>
                    <w:left w:val="nil"/>
                    <w:bottom w:val="single" w:sz="4" w:space="0" w:color="auto"/>
                    <w:right w:val="single" w:sz="4" w:space="0" w:color="auto"/>
                  </w:tcBorders>
                  <w:noWrap/>
                  <w:vAlign w:val="center"/>
                  <w:hideMark/>
                </w:tcPr>
                <w:p w14:paraId="5F406E37"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153.970,16</w:t>
                  </w:r>
                </w:p>
              </w:tc>
              <w:tc>
                <w:tcPr>
                  <w:tcW w:w="1573" w:type="dxa"/>
                  <w:tcBorders>
                    <w:top w:val="nil"/>
                    <w:left w:val="nil"/>
                    <w:bottom w:val="single" w:sz="4" w:space="0" w:color="auto"/>
                    <w:right w:val="single" w:sz="4" w:space="0" w:color="auto"/>
                  </w:tcBorders>
                  <w:noWrap/>
                  <w:vAlign w:val="center"/>
                  <w:hideMark/>
                </w:tcPr>
                <w:p w14:paraId="45D12D37"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67.219,39</w:t>
                  </w:r>
                </w:p>
              </w:tc>
              <w:tc>
                <w:tcPr>
                  <w:tcW w:w="1453" w:type="dxa"/>
                  <w:tcBorders>
                    <w:top w:val="nil"/>
                    <w:left w:val="nil"/>
                    <w:bottom w:val="single" w:sz="4" w:space="0" w:color="auto"/>
                    <w:right w:val="single" w:sz="4" w:space="0" w:color="auto"/>
                  </w:tcBorders>
                  <w:noWrap/>
                  <w:vAlign w:val="center"/>
                  <w:hideMark/>
                </w:tcPr>
                <w:p w14:paraId="04C06CC7"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86.750,77</w:t>
                  </w:r>
                </w:p>
              </w:tc>
            </w:tr>
            <w:tr w:rsidR="00072956" w:rsidRPr="000B180A" w14:paraId="7D022469" w14:textId="77777777" w:rsidTr="007F5995">
              <w:trPr>
                <w:trHeight w:val="265"/>
                <w:jc w:val="center"/>
              </w:trPr>
              <w:tc>
                <w:tcPr>
                  <w:tcW w:w="1635" w:type="dxa"/>
                  <w:tcBorders>
                    <w:top w:val="nil"/>
                    <w:left w:val="single" w:sz="4" w:space="0" w:color="auto"/>
                    <w:bottom w:val="single" w:sz="4" w:space="0" w:color="auto"/>
                    <w:right w:val="single" w:sz="4" w:space="0" w:color="auto"/>
                  </w:tcBorders>
                  <w:noWrap/>
                  <w:vAlign w:val="center"/>
                  <w:hideMark/>
                </w:tcPr>
                <w:p w14:paraId="280BD5AA"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Alto</w:t>
                  </w:r>
                </w:p>
              </w:tc>
              <w:tc>
                <w:tcPr>
                  <w:tcW w:w="2080" w:type="dxa"/>
                  <w:tcBorders>
                    <w:top w:val="nil"/>
                    <w:left w:val="nil"/>
                    <w:bottom w:val="single" w:sz="4" w:space="0" w:color="auto"/>
                    <w:right w:val="single" w:sz="4" w:space="0" w:color="auto"/>
                  </w:tcBorders>
                  <w:noWrap/>
                  <w:vAlign w:val="center"/>
                  <w:hideMark/>
                </w:tcPr>
                <w:p w14:paraId="691094C0"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68.564,55</w:t>
                  </w:r>
                </w:p>
              </w:tc>
              <w:tc>
                <w:tcPr>
                  <w:tcW w:w="1573" w:type="dxa"/>
                  <w:tcBorders>
                    <w:top w:val="nil"/>
                    <w:left w:val="nil"/>
                    <w:bottom w:val="single" w:sz="4" w:space="0" w:color="auto"/>
                    <w:right w:val="single" w:sz="4" w:space="0" w:color="auto"/>
                  </w:tcBorders>
                  <w:noWrap/>
                  <w:vAlign w:val="center"/>
                  <w:hideMark/>
                </w:tcPr>
                <w:p w14:paraId="3C277A38"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31.119,58</w:t>
                  </w:r>
                </w:p>
              </w:tc>
              <w:tc>
                <w:tcPr>
                  <w:tcW w:w="1453" w:type="dxa"/>
                  <w:tcBorders>
                    <w:top w:val="nil"/>
                    <w:left w:val="nil"/>
                    <w:bottom w:val="single" w:sz="4" w:space="0" w:color="auto"/>
                    <w:right w:val="single" w:sz="4" w:space="0" w:color="auto"/>
                  </w:tcBorders>
                  <w:noWrap/>
                  <w:vAlign w:val="center"/>
                  <w:hideMark/>
                </w:tcPr>
                <w:p w14:paraId="51888278"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37.444,97</w:t>
                  </w:r>
                </w:p>
              </w:tc>
            </w:tr>
            <w:tr w:rsidR="00072956" w:rsidRPr="000B180A" w14:paraId="7E7D910C" w14:textId="77777777" w:rsidTr="007F5995">
              <w:trPr>
                <w:trHeight w:val="265"/>
                <w:jc w:val="center"/>
              </w:trPr>
              <w:tc>
                <w:tcPr>
                  <w:tcW w:w="1635" w:type="dxa"/>
                  <w:tcBorders>
                    <w:top w:val="nil"/>
                    <w:left w:val="single" w:sz="4" w:space="0" w:color="auto"/>
                    <w:bottom w:val="single" w:sz="4" w:space="0" w:color="auto"/>
                    <w:right w:val="single" w:sz="4" w:space="0" w:color="auto"/>
                  </w:tcBorders>
                  <w:noWrap/>
                  <w:vAlign w:val="center"/>
                  <w:hideMark/>
                </w:tcPr>
                <w:p w14:paraId="563BC2C9"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Muy Alto</w:t>
                  </w:r>
                </w:p>
              </w:tc>
              <w:tc>
                <w:tcPr>
                  <w:tcW w:w="2080" w:type="dxa"/>
                  <w:tcBorders>
                    <w:top w:val="nil"/>
                    <w:left w:val="nil"/>
                    <w:bottom w:val="single" w:sz="4" w:space="0" w:color="auto"/>
                    <w:right w:val="single" w:sz="4" w:space="0" w:color="auto"/>
                  </w:tcBorders>
                  <w:noWrap/>
                  <w:vAlign w:val="center"/>
                  <w:hideMark/>
                </w:tcPr>
                <w:p w14:paraId="4DAC6F90"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93.895,05</w:t>
                  </w:r>
                </w:p>
              </w:tc>
              <w:tc>
                <w:tcPr>
                  <w:tcW w:w="1573" w:type="dxa"/>
                  <w:tcBorders>
                    <w:top w:val="nil"/>
                    <w:left w:val="nil"/>
                    <w:bottom w:val="single" w:sz="4" w:space="0" w:color="auto"/>
                    <w:right w:val="single" w:sz="4" w:space="0" w:color="auto"/>
                  </w:tcBorders>
                  <w:noWrap/>
                  <w:vAlign w:val="center"/>
                  <w:hideMark/>
                </w:tcPr>
                <w:p w14:paraId="6B40B948"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43.599,48</w:t>
                  </w:r>
                </w:p>
              </w:tc>
              <w:tc>
                <w:tcPr>
                  <w:tcW w:w="1453" w:type="dxa"/>
                  <w:tcBorders>
                    <w:top w:val="nil"/>
                    <w:left w:val="nil"/>
                    <w:bottom w:val="single" w:sz="4" w:space="0" w:color="auto"/>
                    <w:right w:val="single" w:sz="4" w:space="0" w:color="auto"/>
                  </w:tcBorders>
                  <w:noWrap/>
                  <w:vAlign w:val="center"/>
                  <w:hideMark/>
                </w:tcPr>
                <w:p w14:paraId="2D10F46C"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50.295,58</w:t>
                  </w:r>
                </w:p>
              </w:tc>
            </w:tr>
            <w:tr w:rsidR="00072956" w:rsidRPr="000B180A" w14:paraId="73536495" w14:textId="77777777" w:rsidTr="007F5995">
              <w:trPr>
                <w:trHeight w:val="265"/>
                <w:jc w:val="center"/>
              </w:trPr>
              <w:tc>
                <w:tcPr>
                  <w:tcW w:w="1635" w:type="dxa"/>
                  <w:tcBorders>
                    <w:top w:val="nil"/>
                    <w:left w:val="single" w:sz="4" w:space="0" w:color="auto"/>
                    <w:bottom w:val="single" w:sz="4" w:space="0" w:color="auto"/>
                    <w:right w:val="single" w:sz="4" w:space="0" w:color="auto"/>
                  </w:tcBorders>
                  <w:shd w:val="clear" w:color="auto" w:fill="E8E8E8"/>
                  <w:noWrap/>
                  <w:vAlign w:val="center"/>
                  <w:hideMark/>
                </w:tcPr>
                <w:p w14:paraId="323273F1" w14:textId="77777777" w:rsidR="00072956" w:rsidRPr="000B180A" w:rsidRDefault="00072956" w:rsidP="007F5995">
                  <w:pPr>
                    <w:jc w:val="center"/>
                    <w:rPr>
                      <w:rFonts w:ascii="Arial Narrow" w:hAnsi="Arial Narrow" w:cs="Arial"/>
                      <w:b/>
                      <w:bCs/>
                      <w:sz w:val="24"/>
                      <w:szCs w:val="24"/>
                      <w:shd w:val="clear" w:color="auto" w:fill="FFFFFF"/>
                      <w:lang w:val="es-CO"/>
                    </w:rPr>
                  </w:pPr>
                  <w:r w:rsidRPr="000B180A">
                    <w:rPr>
                      <w:rFonts w:ascii="Arial Narrow" w:hAnsi="Arial Narrow" w:cs="Arial"/>
                      <w:b/>
                      <w:bCs/>
                      <w:sz w:val="24"/>
                      <w:szCs w:val="24"/>
                      <w:shd w:val="clear" w:color="auto" w:fill="FFFFFF"/>
                      <w:lang w:val="es-CO"/>
                    </w:rPr>
                    <w:t>Total</w:t>
                  </w:r>
                </w:p>
              </w:tc>
              <w:tc>
                <w:tcPr>
                  <w:tcW w:w="2080" w:type="dxa"/>
                  <w:tcBorders>
                    <w:top w:val="nil"/>
                    <w:left w:val="nil"/>
                    <w:bottom w:val="single" w:sz="4" w:space="0" w:color="auto"/>
                    <w:right w:val="single" w:sz="4" w:space="0" w:color="auto"/>
                  </w:tcBorders>
                  <w:shd w:val="clear" w:color="auto" w:fill="E8E8E8"/>
                  <w:noWrap/>
                  <w:vAlign w:val="center"/>
                  <w:hideMark/>
                </w:tcPr>
                <w:p w14:paraId="5496C4AF" w14:textId="77777777" w:rsidR="00072956" w:rsidRPr="000B180A" w:rsidRDefault="00072956" w:rsidP="007F5995">
                  <w:pPr>
                    <w:jc w:val="center"/>
                    <w:rPr>
                      <w:rFonts w:ascii="Arial Narrow" w:hAnsi="Arial Narrow" w:cs="Arial"/>
                      <w:b/>
                      <w:bCs/>
                      <w:sz w:val="24"/>
                      <w:szCs w:val="24"/>
                      <w:shd w:val="clear" w:color="auto" w:fill="FFFFFF"/>
                      <w:lang w:val="es-CO"/>
                    </w:rPr>
                  </w:pPr>
                  <w:r w:rsidRPr="000B180A">
                    <w:rPr>
                      <w:rFonts w:ascii="Arial Narrow" w:hAnsi="Arial Narrow" w:cs="Arial"/>
                      <w:b/>
                      <w:bCs/>
                      <w:sz w:val="24"/>
                      <w:szCs w:val="24"/>
                      <w:shd w:val="clear" w:color="auto" w:fill="FFFFFF"/>
                      <w:lang w:val="es-CO"/>
                    </w:rPr>
                    <w:t>48.119.894,40</w:t>
                  </w:r>
                </w:p>
              </w:tc>
              <w:tc>
                <w:tcPr>
                  <w:tcW w:w="1573" w:type="dxa"/>
                  <w:tcBorders>
                    <w:top w:val="nil"/>
                    <w:left w:val="nil"/>
                    <w:bottom w:val="single" w:sz="4" w:space="0" w:color="auto"/>
                    <w:right w:val="single" w:sz="4" w:space="0" w:color="auto"/>
                  </w:tcBorders>
                  <w:shd w:val="clear" w:color="auto" w:fill="E8E8E8"/>
                  <w:noWrap/>
                  <w:vAlign w:val="center"/>
                  <w:hideMark/>
                </w:tcPr>
                <w:p w14:paraId="37044923" w14:textId="77777777" w:rsidR="00072956" w:rsidRPr="000B180A" w:rsidRDefault="00072956" w:rsidP="007F5995">
                  <w:pPr>
                    <w:jc w:val="center"/>
                    <w:rPr>
                      <w:rFonts w:ascii="Arial Narrow" w:hAnsi="Arial Narrow" w:cs="Arial"/>
                      <w:b/>
                      <w:bCs/>
                      <w:sz w:val="24"/>
                      <w:szCs w:val="24"/>
                      <w:shd w:val="clear" w:color="auto" w:fill="FFFFFF"/>
                      <w:lang w:val="es-CO"/>
                    </w:rPr>
                  </w:pPr>
                  <w:r w:rsidRPr="000B180A">
                    <w:rPr>
                      <w:rFonts w:ascii="Arial Narrow" w:hAnsi="Arial Narrow" w:cs="Arial"/>
                      <w:b/>
                      <w:bCs/>
                      <w:sz w:val="24"/>
                      <w:szCs w:val="24"/>
                      <w:shd w:val="clear" w:color="auto" w:fill="FFFFFF"/>
                      <w:lang w:val="es-CO"/>
                    </w:rPr>
                    <w:t>1.170.408,29</w:t>
                  </w:r>
                </w:p>
              </w:tc>
              <w:tc>
                <w:tcPr>
                  <w:tcW w:w="1453" w:type="dxa"/>
                  <w:tcBorders>
                    <w:top w:val="nil"/>
                    <w:left w:val="nil"/>
                    <w:bottom w:val="single" w:sz="4" w:space="0" w:color="auto"/>
                    <w:right w:val="single" w:sz="4" w:space="0" w:color="auto"/>
                  </w:tcBorders>
                  <w:shd w:val="clear" w:color="auto" w:fill="E8E8E8"/>
                  <w:noWrap/>
                  <w:vAlign w:val="center"/>
                  <w:hideMark/>
                </w:tcPr>
                <w:p w14:paraId="3A769C35" w14:textId="77777777" w:rsidR="00072956" w:rsidRPr="000B180A" w:rsidRDefault="00072956" w:rsidP="007F5995">
                  <w:pPr>
                    <w:jc w:val="center"/>
                    <w:rPr>
                      <w:rFonts w:ascii="Arial Narrow" w:hAnsi="Arial Narrow" w:cs="Arial"/>
                      <w:b/>
                      <w:bCs/>
                      <w:sz w:val="24"/>
                      <w:szCs w:val="24"/>
                      <w:shd w:val="clear" w:color="auto" w:fill="FFFFFF"/>
                      <w:lang w:val="es-CO"/>
                    </w:rPr>
                  </w:pPr>
                  <w:r w:rsidRPr="000B180A">
                    <w:rPr>
                      <w:rFonts w:ascii="Arial Narrow" w:hAnsi="Arial Narrow" w:cs="Arial"/>
                      <w:b/>
                      <w:bCs/>
                      <w:sz w:val="24"/>
                      <w:szCs w:val="24"/>
                      <w:shd w:val="clear" w:color="auto" w:fill="FFFFFF"/>
                      <w:lang w:val="es-CO"/>
                    </w:rPr>
                    <w:t>46.949.486,10</w:t>
                  </w:r>
                </w:p>
              </w:tc>
            </w:tr>
          </w:tbl>
          <w:p w14:paraId="6146A555"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Fuente: ANLA a partir de Sistema de Información Ambiental de Colombia y Global Wind Atlas (GWA, 2025)</w:t>
            </w:r>
          </w:p>
          <w:p w14:paraId="6E419BCC" w14:textId="77777777" w:rsidR="00072956" w:rsidRPr="000B180A" w:rsidRDefault="00072956" w:rsidP="007F5995">
            <w:pPr>
              <w:jc w:val="center"/>
              <w:rPr>
                <w:rFonts w:ascii="Arial Narrow" w:hAnsi="Arial Narrow" w:cs="Arial"/>
                <w:sz w:val="24"/>
                <w:szCs w:val="24"/>
                <w:shd w:val="clear" w:color="auto" w:fill="FFFFFF"/>
                <w:lang w:val="es-CO"/>
              </w:rPr>
            </w:pPr>
          </w:p>
          <w:p w14:paraId="6602CCDB" w14:textId="61A2365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Según el </w:t>
            </w:r>
            <w:r w:rsidR="00B45DF1">
              <w:rPr>
                <w:rFonts w:ascii="Arial Narrow" w:hAnsi="Arial Narrow" w:cs="Arial"/>
                <w:sz w:val="24"/>
                <w:szCs w:val="24"/>
                <w:shd w:val="clear" w:color="auto" w:fill="FFFFFF"/>
                <w:lang w:val="es-CO"/>
              </w:rPr>
              <w:t>análisis sobrepuesto</w:t>
            </w:r>
            <w:r w:rsidR="00B45DF1" w:rsidRPr="000B180A">
              <w:rPr>
                <w:rFonts w:ascii="Arial Narrow" w:hAnsi="Arial Narrow" w:cs="Arial"/>
                <w:sz w:val="24"/>
                <w:szCs w:val="24"/>
                <w:shd w:val="clear" w:color="auto" w:fill="FFFFFF"/>
                <w:lang w:val="es-CO"/>
              </w:rPr>
              <w:t xml:space="preserve"> </w:t>
            </w:r>
            <w:r w:rsidRPr="000B180A">
              <w:rPr>
                <w:rFonts w:ascii="Arial Narrow" w:hAnsi="Arial Narrow" w:cs="Arial"/>
                <w:sz w:val="24"/>
                <w:szCs w:val="24"/>
                <w:shd w:val="clear" w:color="auto" w:fill="FFFFFF"/>
                <w:lang w:val="es-CO"/>
              </w:rPr>
              <w:t xml:space="preserve">realizado, las categorías de “Media”, “Alta” y “Muy Alta” de densidad de potencia eólica —consideradas con potencial para generación de energía— abarcan un total de </w:t>
            </w:r>
            <w:r w:rsidRPr="000B180A">
              <w:rPr>
                <w:rFonts w:ascii="Arial Narrow" w:hAnsi="Arial Narrow" w:cs="Arial"/>
                <w:b/>
                <w:bCs/>
                <w:sz w:val="24"/>
                <w:szCs w:val="24"/>
                <w:shd w:val="clear" w:color="auto" w:fill="FFFFFF"/>
                <w:lang w:val="es-CO"/>
              </w:rPr>
              <w:t>316.429 hectáreas</w:t>
            </w:r>
            <w:r w:rsidRPr="000B180A">
              <w:rPr>
                <w:rFonts w:ascii="Arial Narrow" w:hAnsi="Arial Narrow" w:cs="Arial"/>
                <w:sz w:val="24"/>
                <w:szCs w:val="24"/>
                <w:shd w:val="clear" w:color="auto" w:fill="FFFFFF"/>
                <w:lang w:val="es-CO"/>
              </w:rPr>
              <w:t xml:space="preserve"> dentro de las áreas de Reserva Forestal. De esta superficie, </w:t>
            </w:r>
            <w:r w:rsidRPr="000B180A">
              <w:rPr>
                <w:rFonts w:ascii="Arial Narrow" w:hAnsi="Arial Narrow" w:cs="Arial"/>
                <w:b/>
                <w:bCs/>
                <w:sz w:val="24"/>
                <w:szCs w:val="24"/>
                <w:shd w:val="clear" w:color="auto" w:fill="FFFFFF"/>
                <w:lang w:val="es-CO"/>
              </w:rPr>
              <w:t>141.937 hectáreas</w:t>
            </w:r>
            <w:r w:rsidRPr="000B180A">
              <w:rPr>
                <w:rFonts w:ascii="Arial Narrow" w:hAnsi="Arial Narrow" w:cs="Arial"/>
                <w:sz w:val="24"/>
                <w:szCs w:val="24"/>
                <w:shd w:val="clear" w:color="auto" w:fill="FFFFFF"/>
                <w:lang w:val="es-CO"/>
              </w:rPr>
              <w:t xml:space="preserve"> se encuentran dentro de la delimitación de páramos a escala 1:100.000 establecida por el Ministerio de Ambiente y Desarrollo Sostenible (MADS).</w:t>
            </w:r>
          </w:p>
          <w:p w14:paraId="1479CF31" w14:textId="77777777" w:rsidR="00072956" w:rsidRPr="000B180A" w:rsidRDefault="00072956" w:rsidP="007F5995">
            <w:pPr>
              <w:jc w:val="both"/>
              <w:rPr>
                <w:rFonts w:ascii="Arial Narrow" w:hAnsi="Arial Narrow" w:cs="Arial"/>
                <w:sz w:val="24"/>
                <w:szCs w:val="24"/>
                <w:shd w:val="clear" w:color="auto" w:fill="FFFFFF"/>
                <w:lang w:val="es-CO"/>
              </w:rPr>
            </w:pPr>
          </w:p>
          <w:p w14:paraId="200E5847"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Al excluir estas áreas de páramo, el área restante con potencial eólico asciende a </w:t>
            </w:r>
            <w:r w:rsidRPr="000B180A">
              <w:rPr>
                <w:rFonts w:ascii="Arial Narrow" w:hAnsi="Arial Narrow" w:cs="Arial"/>
                <w:b/>
                <w:bCs/>
                <w:sz w:val="24"/>
                <w:szCs w:val="24"/>
                <w:shd w:val="clear" w:color="auto" w:fill="FFFFFF"/>
                <w:lang w:val="es-CO"/>
              </w:rPr>
              <w:t>174.492 hectáreas dentro de Reservas Forestales de Ley 2da</w:t>
            </w:r>
            <w:r w:rsidRPr="000B180A">
              <w:rPr>
                <w:rFonts w:ascii="Arial Narrow" w:hAnsi="Arial Narrow" w:cs="Arial"/>
                <w:sz w:val="24"/>
                <w:szCs w:val="24"/>
                <w:shd w:val="clear" w:color="auto" w:fill="FFFFFF"/>
                <w:lang w:val="es-CO"/>
              </w:rPr>
              <w:t xml:space="preserve">. </w:t>
            </w:r>
          </w:p>
          <w:p w14:paraId="615D6E96" w14:textId="77777777" w:rsidR="00072956" w:rsidRPr="000B180A" w:rsidRDefault="00072956" w:rsidP="007F5995">
            <w:pPr>
              <w:jc w:val="both"/>
              <w:rPr>
                <w:rFonts w:ascii="Arial Narrow" w:hAnsi="Arial Narrow" w:cs="Arial"/>
                <w:sz w:val="24"/>
                <w:szCs w:val="24"/>
                <w:shd w:val="clear" w:color="auto" w:fill="FFFFFF"/>
                <w:lang w:val="es-CO"/>
              </w:rPr>
            </w:pPr>
          </w:p>
          <w:p w14:paraId="586865AE"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El potencial que se evidencia para la producción de energía eólica en áreas de reserva de ley segunda de 1959, junto con las características de no afectar elementos sensibles de medio biótico y la exigencia de que </w:t>
            </w:r>
            <w:bookmarkStart w:id="3" w:name="_Hlk203982581"/>
            <w:r w:rsidRPr="000B180A">
              <w:rPr>
                <w:rFonts w:ascii="Arial Narrow" w:hAnsi="Arial Narrow" w:cs="Arial"/>
                <w:sz w:val="24"/>
                <w:szCs w:val="24"/>
                <w:shd w:val="clear" w:color="auto" w:fill="FFFFFF"/>
                <w:lang w:val="es-CO"/>
              </w:rPr>
              <w:t xml:space="preserve">no se requiera apertura de vías o acceso </w:t>
            </w:r>
            <w:bookmarkEnd w:id="3"/>
            <w:r w:rsidRPr="000B180A">
              <w:rPr>
                <w:rFonts w:ascii="Arial Narrow" w:hAnsi="Arial Narrow" w:cs="Arial"/>
                <w:sz w:val="24"/>
                <w:szCs w:val="24"/>
                <w:shd w:val="clear" w:color="auto" w:fill="FFFFFF"/>
                <w:lang w:val="es-CO"/>
              </w:rPr>
              <w:t>en caso de estas áreas, justifica que en áreas de reserva de ley segunda de 1959 no necesite el proceso de sustracción de áreas.</w:t>
            </w:r>
          </w:p>
          <w:p w14:paraId="3811A159" w14:textId="77777777" w:rsidR="00072956" w:rsidRPr="000B180A" w:rsidRDefault="00072956" w:rsidP="007F5995">
            <w:pPr>
              <w:jc w:val="both"/>
              <w:rPr>
                <w:rFonts w:ascii="Arial Narrow" w:hAnsi="Arial Narrow" w:cs="Arial"/>
                <w:sz w:val="24"/>
                <w:szCs w:val="24"/>
                <w:shd w:val="clear" w:color="auto" w:fill="FFFFFF"/>
                <w:lang w:val="es-CO"/>
              </w:rPr>
            </w:pPr>
          </w:p>
          <w:p w14:paraId="1767A4B5" w14:textId="5DC27CA0"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No es un detalle menor, que la eficiencia de energía eólica por hectárea es aproximadamente el doble de la eficiencia por hectárea de los proyectos solares, tal como se desarrolla en este documento más adelante. Luego, con menos terreno se puede producir más energía en estas áreas d</w:t>
            </w:r>
            <w:r w:rsidR="006A634D">
              <w:rPr>
                <w:rFonts w:ascii="Arial Narrow" w:hAnsi="Arial Narrow" w:cs="Arial"/>
                <w:sz w:val="24"/>
                <w:szCs w:val="24"/>
                <w:shd w:val="clear" w:color="auto" w:fill="FFFFFF"/>
                <w:lang w:val="es-CO"/>
              </w:rPr>
              <w:t>e</w:t>
            </w:r>
            <w:r w:rsidRPr="000B180A">
              <w:rPr>
                <w:rFonts w:ascii="Arial Narrow" w:hAnsi="Arial Narrow" w:cs="Arial"/>
                <w:sz w:val="24"/>
                <w:szCs w:val="24"/>
                <w:shd w:val="clear" w:color="auto" w:fill="FFFFFF"/>
                <w:lang w:val="es-CO"/>
              </w:rPr>
              <w:t xml:space="preserve"> reserva y, en este orden de ideas, llegar a Zonas no Interconectadas. </w:t>
            </w:r>
          </w:p>
          <w:p w14:paraId="7E267144"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 </w:t>
            </w:r>
          </w:p>
          <w:p w14:paraId="23D442C7"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Se espera que el presente proyecto de decreto genere impactos positivos en diversas dimensiones. En el ámbito ambiental, reforzando el carácter preventivo del licenciamiento con ayuda de la tecnología y dando un tratamiento ajustado a las condiciones especiales. Desde una perspectiva económica, la racionalización del trámite reduce tiempos y costos para los desarrolladores, lo cual incentiva la inversión en proyectos de energía limpia de bajo impacto. Más importante aún, el proyecto cumple con los mandatos nacionales e internacionales de promover las FNCER, así como de contribuir a la descarbonización del clima y la economía mundial.</w:t>
            </w:r>
          </w:p>
          <w:p w14:paraId="2112968D" w14:textId="77777777" w:rsidR="00072956" w:rsidRPr="000B180A" w:rsidRDefault="00072956" w:rsidP="007F5995">
            <w:pPr>
              <w:jc w:val="both"/>
              <w:rPr>
                <w:rFonts w:ascii="Arial Narrow" w:hAnsi="Arial Narrow" w:cs="Arial"/>
                <w:sz w:val="24"/>
                <w:szCs w:val="24"/>
                <w:shd w:val="clear" w:color="auto" w:fill="FFFFFF"/>
                <w:lang w:val="es-CO"/>
              </w:rPr>
            </w:pPr>
          </w:p>
          <w:p w14:paraId="612652EC" w14:textId="77777777" w:rsidR="00072956" w:rsidRPr="000B180A" w:rsidRDefault="00072956" w:rsidP="007F5995">
            <w:pPr>
              <w:numPr>
                <w:ilvl w:val="0"/>
                <w:numId w:val="9"/>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Participación social, gobernanza ambiental y democratización</w:t>
            </w:r>
          </w:p>
          <w:p w14:paraId="16480E50" w14:textId="77777777" w:rsidR="00072956" w:rsidRPr="000B180A" w:rsidRDefault="00072956" w:rsidP="007F5995">
            <w:pPr>
              <w:jc w:val="both"/>
              <w:rPr>
                <w:rFonts w:ascii="Arial Narrow" w:hAnsi="Arial Narrow" w:cs="Arial"/>
                <w:sz w:val="24"/>
                <w:szCs w:val="24"/>
                <w:shd w:val="clear" w:color="auto" w:fill="FFFFFF"/>
                <w:lang w:val="es-CO"/>
              </w:rPr>
            </w:pPr>
          </w:p>
          <w:p w14:paraId="6559E016"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Constitución Política de Colombia reconoce, en sus artículos 1, 2, 79 y 80, la participación ciudadana como un pilar esencial de la democracia y un componente fundamental de la gestión ambiental. En este marco, el Estado no solo está obligado a proteger la diversidad e integridad del ambiente, sino también a garantizar la intervención activa y efectiva de la ciudadanía en las decisiones que puedan afectarlo. Esta participación constituye una expresión del principio democrático y una herramienta para asegurar la sostenibilidad en la formulación y ejecución de políticas públicas.</w:t>
            </w:r>
          </w:p>
          <w:p w14:paraId="43F6A1B4" w14:textId="77777777" w:rsidR="00072956" w:rsidRPr="000B180A" w:rsidRDefault="00072956" w:rsidP="007F5995">
            <w:pPr>
              <w:jc w:val="both"/>
              <w:rPr>
                <w:rFonts w:ascii="Arial Narrow" w:hAnsi="Arial Narrow" w:cs="Arial"/>
                <w:sz w:val="24"/>
                <w:szCs w:val="24"/>
                <w:shd w:val="clear" w:color="auto" w:fill="FFFFFF"/>
                <w:lang w:val="es-CO"/>
              </w:rPr>
            </w:pPr>
          </w:p>
          <w:p w14:paraId="67A65DF0"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Este compromiso se ve robustecido con la expedición de la Ley 2273 de 2022, mediante la cual Colombia reafirma su adhesión al Acuerdo de Escazú. Esta ley reconoce, entre otros derechos, el acceso a la información ambiental, la participación informada en procesos de toma de decisiones y el acceso a la justicia en asuntos ambientales. Se configura así un marco normativo que no solo protege el ambiente como bien jurídico colectivo, sino que posiciona a la ciudadanía como actor protagónico en su defensa y gestión, especialmente en contextos territoriales donde se desarrollan proyectos de alto impacto.</w:t>
            </w:r>
          </w:p>
          <w:p w14:paraId="746EC170" w14:textId="77777777" w:rsidR="00072956" w:rsidRPr="000B180A" w:rsidRDefault="00072956" w:rsidP="007F5995">
            <w:pPr>
              <w:jc w:val="both"/>
              <w:rPr>
                <w:rFonts w:ascii="Arial Narrow" w:hAnsi="Arial Narrow" w:cs="Arial"/>
                <w:sz w:val="24"/>
                <w:szCs w:val="24"/>
                <w:shd w:val="clear" w:color="auto" w:fill="FFFFFF"/>
                <w:lang w:val="es-CO"/>
              </w:rPr>
            </w:pPr>
          </w:p>
          <w:p w14:paraId="57FFCC30"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este sentido, la Ley 2294 de 2023, que adopta el Plan Nacional de Desarrollo 2022-2026 “Colombia, Potencia Mundial de la Vida”, incorpora de manera explícita los principios de justicia ambiental, acción climática y transición energética justa. El Plan destaca la necesidad de transformar la matriz energética del país promoviendo fuentes no convencionales de energía renovable (FNCER), pero advierte que dicha transición debe estar acompañada de mecanismos de democratización de la energía. Esto implica fortalecer la asociatividad con actores locales, impulsar comunidades energéticas y asegurar que los beneficios económicos, sociales y ambientales derivados de los proyectos lleguen efectivamente a los territorios.</w:t>
            </w:r>
          </w:p>
          <w:p w14:paraId="0B4939DD" w14:textId="77777777" w:rsidR="00072956" w:rsidRPr="000B180A" w:rsidRDefault="00072956" w:rsidP="007F5995">
            <w:pPr>
              <w:jc w:val="both"/>
              <w:rPr>
                <w:rFonts w:ascii="Arial Narrow" w:hAnsi="Arial Narrow" w:cs="Arial"/>
                <w:sz w:val="24"/>
                <w:szCs w:val="24"/>
                <w:shd w:val="clear" w:color="auto" w:fill="FFFFFF"/>
                <w:lang w:val="es-CO"/>
              </w:rPr>
            </w:pPr>
          </w:p>
          <w:p w14:paraId="133D8065"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De conformidad con el Decreto 2236 de 2023, se establecen lineamientos concretos para la promoción de comunidades energéticas como sujetos colectivos que gestionan y se benefician de la generación de energía renovable. En complemento, el Decreto 1538 de 2024 establece que los recursos provenientes de las transferencias del sector eléctrico, especialmente en proyectos FNCER, deben regirse por criterios de transparencia, equidad territorial y corresponsabilidad. Para lograrlo, es indispensable adoptar esquemas de gobernanza ambiental que articulen a las autoridades nacionales y locales, fortalezcan las capacidades institucionales en el nivel territorial y garanticen la participación social incidente.</w:t>
            </w:r>
          </w:p>
          <w:p w14:paraId="39736381" w14:textId="77777777" w:rsidR="00072956" w:rsidRPr="000B180A" w:rsidRDefault="00072956" w:rsidP="007F5995">
            <w:pPr>
              <w:jc w:val="both"/>
              <w:rPr>
                <w:rFonts w:ascii="Arial Narrow" w:hAnsi="Arial Narrow" w:cs="Arial"/>
                <w:sz w:val="24"/>
                <w:szCs w:val="24"/>
                <w:shd w:val="clear" w:color="auto" w:fill="FFFFFF"/>
                <w:lang w:val="es-CO"/>
              </w:rPr>
            </w:pPr>
          </w:p>
          <w:p w14:paraId="1ABD2A47"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articulación entre participación ciudadana, asociatividad comunitaria y gobernanza multinivel es clave para consolidar una transición energética que no solo sea técnica y ambientalmente viable, sino también socialmente legítima. El presente decreto se enmarca en esta visión, contribuyendo al desarrollo sostenible con enfoque territorial, mediante el reconocimiento efectivo del papel de las comunidades en la gestión de los recursos naturales y la toma de decisiones ambientales.</w:t>
            </w:r>
          </w:p>
          <w:p w14:paraId="660B942C" w14:textId="77777777" w:rsidR="00072956" w:rsidRPr="000B180A" w:rsidRDefault="00072956" w:rsidP="007F5995">
            <w:pPr>
              <w:jc w:val="both"/>
              <w:rPr>
                <w:rFonts w:ascii="Arial Narrow" w:hAnsi="Arial Narrow" w:cs="Arial"/>
                <w:sz w:val="24"/>
                <w:szCs w:val="24"/>
                <w:shd w:val="clear" w:color="auto" w:fill="FFFFFF"/>
                <w:lang w:val="es-CO"/>
              </w:rPr>
            </w:pPr>
          </w:p>
          <w:p w14:paraId="65404688" w14:textId="77777777" w:rsidR="00072956" w:rsidRPr="000B180A" w:rsidRDefault="00072956" w:rsidP="007F5995">
            <w:pPr>
              <w:numPr>
                <w:ilvl w:val="0"/>
                <w:numId w:val="9"/>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No vulneración al principio de no regresión ambiental consagrado en la Ley 99 de 1993</w:t>
            </w:r>
          </w:p>
          <w:p w14:paraId="6DDEB47B" w14:textId="77777777" w:rsidR="00072956" w:rsidRPr="000B180A" w:rsidRDefault="00072956" w:rsidP="007F5995">
            <w:pPr>
              <w:jc w:val="both"/>
              <w:rPr>
                <w:rFonts w:ascii="Arial Narrow" w:hAnsi="Arial Narrow" w:cs="Arial"/>
                <w:sz w:val="24"/>
                <w:szCs w:val="24"/>
                <w:shd w:val="clear" w:color="auto" w:fill="FFFFFF"/>
                <w:lang w:val="es-CO"/>
              </w:rPr>
            </w:pPr>
          </w:p>
          <w:p w14:paraId="13BED42A"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Finalmente se resalta que la adopción de un régimen de licenciamiento ambiental racionalizado para proyectos de generación de energía eólica con una capacidad instalada entre 10 y 100 MW ubicados en áreas que, conforme a los requisitos establecidos en el decreto, no generan afectaciones significativas sobre el medio ambiente, al no ubicarse ni intervenir en condiciones territoriales o ecosistémicas especialmente sensibles, no constituye una vulneración al principio de no regresión ambiental consagrado en la Ley 99 de 1993, en tanto no implica una reducción o debilitamiento del nivel de protección ambiental alcanzado. Por el contrario, este procedimiento mantiene los estándares esenciales de evaluación de impactos, prevé obligaciones específicas de manejo ambiental y se aplica exclusivamente a proyectos cuyo riesgo ambiental es bajo y predecible, según criterios técnicos, biofísicos y socioeconómicos previamente definidos. El nuevo régimen no suprime instrumentos de control ni debilita la vigilancia estatal, sino que los adapta a las características particulares de este tipo de proyectos, aprovechando la tecnología y optimizando la gestión pública sin sacrificar la protección del ambiente ni los derechos colectivos asociados a él.</w:t>
            </w:r>
          </w:p>
          <w:p w14:paraId="1ADDFDF1" w14:textId="77777777" w:rsidR="00072956" w:rsidRPr="000B180A" w:rsidRDefault="00072956" w:rsidP="007F5995">
            <w:pPr>
              <w:jc w:val="both"/>
              <w:rPr>
                <w:rFonts w:ascii="Arial Narrow" w:hAnsi="Arial Narrow" w:cs="Arial"/>
                <w:sz w:val="24"/>
                <w:szCs w:val="24"/>
                <w:shd w:val="clear" w:color="auto" w:fill="FFFFFF"/>
                <w:lang w:val="es-CO"/>
              </w:rPr>
            </w:pPr>
          </w:p>
          <w:p w14:paraId="5163C03F"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1.2 Antecedentes técnicos: </w:t>
            </w:r>
          </w:p>
          <w:p w14:paraId="7AD3057A" w14:textId="77777777" w:rsidR="00072956" w:rsidRPr="000B180A" w:rsidRDefault="00072956" w:rsidP="007F5995">
            <w:pPr>
              <w:jc w:val="both"/>
              <w:rPr>
                <w:rFonts w:ascii="Arial Narrow" w:hAnsi="Arial Narrow" w:cs="Arial"/>
                <w:sz w:val="24"/>
                <w:szCs w:val="24"/>
                <w:shd w:val="clear" w:color="auto" w:fill="FFFFFF"/>
                <w:lang w:val="es-CO"/>
              </w:rPr>
            </w:pPr>
            <w:bookmarkStart w:id="4" w:name="_Hlk149069145"/>
            <w:bookmarkEnd w:id="2"/>
          </w:p>
          <w:bookmarkEnd w:id="4"/>
          <w:p w14:paraId="0C861C4C"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Con el objetivo de avanzar en la mitigación del cambio climático, es valioso considerar que la intensidad de emisiones de gases de efecto invernadero (GEI) en la generación eléctrica depende directamente de la integración energética de cada país, ya que el tipo de fuente utilizada determina las emisiones asociadas por kilovatio-hora generado (kWh). Los sistemas con mayor integración de energías renovables, como solar y eólica, presentan menores emisiones de gases de efecto invernadero (GEI) en comparación con aquellos basados en combustibles fósiles. En la </w:t>
            </w:r>
            <w:r w:rsidRPr="000B180A">
              <w:rPr>
                <w:rFonts w:ascii="Arial Narrow" w:hAnsi="Arial Narrow" w:cs="Arial"/>
                <w:sz w:val="24"/>
                <w:szCs w:val="24"/>
                <w:shd w:val="clear" w:color="auto" w:fill="FFFFFF"/>
                <w:lang w:val="es-CO"/>
              </w:rPr>
              <w:fldChar w:fldCharType="begin"/>
            </w:r>
            <w:r w:rsidRPr="000B180A">
              <w:rPr>
                <w:rFonts w:ascii="Arial Narrow" w:hAnsi="Arial Narrow" w:cs="Arial"/>
                <w:sz w:val="24"/>
                <w:szCs w:val="24"/>
                <w:shd w:val="clear" w:color="auto" w:fill="FFFFFF"/>
                <w:lang w:val="es-CO"/>
              </w:rPr>
              <w:instrText xml:space="preserve"> REF _Ref189802219 \h  \* MERGEFORMAT </w:instrText>
            </w:r>
            <w:r w:rsidRPr="000B180A">
              <w:rPr>
                <w:rFonts w:ascii="Arial Narrow" w:hAnsi="Arial Narrow" w:cs="Arial"/>
                <w:sz w:val="24"/>
                <w:szCs w:val="24"/>
                <w:shd w:val="clear" w:color="auto" w:fill="FFFFFF"/>
                <w:lang w:val="es-CO"/>
              </w:rPr>
            </w:r>
            <w:r w:rsidRPr="000B180A">
              <w:rPr>
                <w:rFonts w:ascii="Arial Narrow" w:hAnsi="Arial Narrow" w:cs="Arial"/>
                <w:sz w:val="24"/>
                <w:szCs w:val="24"/>
                <w:shd w:val="clear" w:color="auto" w:fill="FFFFFF"/>
                <w:lang w:val="es-CO"/>
              </w:rPr>
              <w:fldChar w:fldCharType="separate"/>
            </w:r>
          </w:p>
          <w:p w14:paraId="0FF85692" w14:textId="77777777" w:rsidR="00072956" w:rsidRPr="000B180A" w:rsidRDefault="00072956" w:rsidP="007F5995">
            <w:pPr>
              <w:jc w:val="both"/>
              <w:rPr>
                <w:rFonts w:ascii="Arial Narrow" w:hAnsi="Arial Narrow" w:cs="Arial"/>
                <w:sz w:val="24"/>
                <w:szCs w:val="24"/>
                <w:shd w:val="clear" w:color="auto" w:fill="FFFFFF"/>
                <w:lang w:val="es-CO"/>
              </w:rPr>
            </w:pPr>
          </w:p>
          <w:p w14:paraId="451DD30A"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Figura</w:t>
            </w:r>
            <w:r w:rsidRPr="000B180A">
              <w:rPr>
                <w:rFonts w:ascii="Arial Narrow" w:hAnsi="Arial Narrow" w:cs="Arial"/>
                <w:sz w:val="24"/>
                <w:szCs w:val="24"/>
                <w:shd w:val="clear" w:color="auto" w:fill="FFFFFF"/>
              </w:rPr>
              <w:t xml:space="preserve"> </w:t>
            </w:r>
            <w:r w:rsidRPr="000B180A">
              <w:rPr>
                <w:rFonts w:ascii="Arial Narrow" w:hAnsi="Arial Narrow" w:cs="Arial"/>
                <w:b/>
                <w:noProof/>
                <w:sz w:val="24"/>
                <w:szCs w:val="24"/>
                <w:shd w:val="clear" w:color="auto" w:fill="FFFFFF"/>
              </w:rPr>
              <w:t>4</w:t>
            </w:r>
            <w:r w:rsidRPr="000B180A">
              <w:rPr>
                <w:rFonts w:ascii="Arial Narrow" w:hAnsi="Arial Narrow" w:cs="Arial"/>
                <w:sz w:val="24"/>
                <w:szCs w:val="24"/>
                <w:shd w:val="clear" w:color="auto" w:fill="FFFFFF"/>
                <w:lang w:val="es-CO"/>
              </w:rPr>
              <w:fldChar w:fldCharType="end"/>
            </w:r>
            <w:r w:rsidRPr="000B180A">
              <w:rPr>
                <w:rFonts w:ascii="Arial Narrow" w:hAnsi="Arial Narrow" w:cs="Arial"/>
                <w:sz w:val="24"/>
                <w:szCs w:val="24"/>
                <w:shd w:val="clear" w:color="auto" w:fill="FFFFFF"/>
                <w:lang w:val="es-CO"/>
              </w:rPr>
              <w:t xml:space="preserve"> se muestra este indicador, expresado en gCO2e/kWh, evidenciando las diferencias en la huella de carbono del sector eléctrico a nivel global. </w:t>
            </w:r>
          </w:p>
          <w:p w14:paraId="243602B9" w14:textId="77777777" w:rsidR="00072956" w:rsidRPr="000B180A" w:rsidRDefault="00072956" w:rsidP="007F5995">
            <w:pPr>
              <w:pStyle w:val="FigurasArial"/>
              <w:spacing w:after="0" w:line="240" w:lineRule="auto"/>
              <w:jc w:val="center"/>
              <w:rPr>
                <w:rFonts w:ascii="Arial Narrow" w:eastAsia="Times New Roman" w:hAnsi="Arial Narrow" w:cs="Arial"/>
                <w:b w:val="0"/>
                <w:kern w:val="0"/>
                <w:sz w:val="24"/>
                <w:szCs w:val="24"/>
                <w:shd w:val="clear" w:color="auto" w:fill="FFFFFF"/>
                <w:lang w:eastAsia="es-ES"/>
              </w:rPr>
            </w:pPr>
            <w:bookmarkStart w:id="5" w:name="_Ref189802219"/>
          </w:p>
          <w:p w14:paraId="47132FC0" w14:textId="77777777" w:rsidR="00072956" w:rsidRPr="000B180A" w:rsidRDefault="00072956" w:rsidP="007F5995">
            <w:pPr>
              <w:pStyle w:val="FigurasArial"/>
              <w:spacing w:after="0" w:line="240" w:lineRule="auto"/>
              <w:jc w:val="center"/>
              <w:rPr>
                <w:rFonts w:ascii="Arial Narrow" w:eastAsia="Times New Roman" w:hAnsi="Arial Narrow" w:cs="Arial"/>
                <w:b w:val="0"/>
                <w:kern w:val="0"/>
                <w:sz w:val="24"/>
                <w:szCs w:val="24"/>
                <w:shd w:val="clear" w:color="auto" w:fill="FFFFFF"/>
                <w:lang w:eastAsia="es-ES"/>
              </w:rPr>
            </w:pPr>
            <w:r w:rsidRPr="000B180A">
              <w:rPr>
                <w:rFonts w:ascii="Arial Narrow" w:eastAsia="Times New Roman" w:hAnsi="Arial Narrow" w:cs="Arial"/>
                <w:b w:val="0"/>
                <w:kern w:val="0"/>
                <w:sz w:val="24"/>
                <w:szCs w:val="24"/>
                <w:shd w:val="clear" w:color="auto" w:fill="FFFFFF"/>
                <w:lang w:eastAsia="es-ES"/>
              </w:rPr>
              <w:t xml:space="preserve">Figura </w:t>
            </w:r>
            <w:r w:rsidRPr="000B180A">
              <w:rPr>
                <w:rFonts w:ascii="Arial Narrow" w:eastAsia="Times New Roman" w:hAnsi="Arial Narrow" w:cs="Arial"/>
                <w:b w:val="0"/>
                <w:kern w:val="0"/>
                <w:sz w:val="24"/>
                <w:szCs w:val="24"/>
                <w:shd w:val="clear" w:color="auto" w:fill="FFFFFF"/>
                <w:lang w:eastAsia="es-ES"/>
              </w:rPr>
              <w:fldChar w:fldCharType="begin"/>
            </w:r>
            <w:r w:rsidRPr="000B180A">
              <w:rPr>
                <w:rFonts w:ascii="Arial Narrow" w:eastAsia="Times New Roman" w:hAnsi="Arial Narrow" w:cs="Arial"/>
                <w:b w:val="0"/>
                <w:kern w:val="0"/>
                <w:sz w:val="24"/>
                <w:szCs w:val="24"/>
                <w:shd w:val="clear" w:color="auto" w:fill="FFFFFF"/>
                <w:lang w:eastAsia="es-ES"/>
              </w:rPr>
              <w:instrText xml:space="preserve"> SEQ Figura \* ARABIC </w:instrText>
            </w:r>
            <w:r w:rsidRPr="000B180A">
              <w:rPr>
                <w:rFonts w:ascii="Arial Narrow" w:eastAsia="Times New Roman" w:hAnsi="Arial Narrow" w:cs="Arial"/>
                <w:b w:val="0"/>
                <w:kern w:val="0"/>
                <w:sz w:val="24"/>
                <w:szCs w:val="24"/>
                <w:shd w:val="clear" w:color="auto" w:fill="FFFFFF"/>
                <w:lang w:eastAsia="es-ES"/>
              </w:rPr>
              <w:fldChar w:fldCharType="separate"/>
            </w:r>
            <w:r w:rsidRPr="000B180A">
              <w:rPr>
                <w:rFonts w:ascii="Arial Narrow" w:eastAsia="Times New Roman" w:hAnsi="Arial Narrow" w:cs="Arial"/>
                <w:b w:val="0"/>
                <w:noProof/>
                <w:kern w:val="0"/>
                <w:sz w:val="24"/>
                <w:szCs w:val="24"/>
                <w:shd w:val="clear" w:color="auto" w:fill="FFFFFF"/>
                <w:lang w:eastAsia="es-ES"/>
              </w:rPr>
              <w:t>4</w:t>
            </w:r>
            <w:r w:rsidRPr="000B180A">
              <w:rPr>
                <w:rFonts w:ascii="Arial Narrow" w:eastAsia="Times New Roman" w:hAnsi="Arial Narrow" w:cs="Arial"/>
                <w:b w:val="0"/>
                <w:kern w:val="0"/>
                <w:sz w:val="24"/>
                <w:szCs w:val="24"/>
                <w:shd w:val="clear" w:color="auto" w:fill="FFFFFF"/>
                <w:lang w:eastAsia="es-ES"/>
              </w:rPr>
              <w:fldChar w:fldCharType="end"/>
            </w:r>
            <w:bookmarkEnd w:id="5"/>
            <w:r w:rsidRPr="000B180A">
              <w:rPr>
                <w:rFonts w:ascii="Arial Narrow" w:eastAsia="Times New Roman" w:hAnsi="Arial Narrow" w:cs="Arial"/>
                <w:b w:val="0"/>
                <w:kern w:val="0"/>
                <w:sz w:val="24"/>
                <w:szCs w:val="24"/>
                <w:shd w:val="clear" w:color="auto" w:fill="FFFFFF"/>
                <w:lang w:eastAsia="es-ES"/>
              </w:rPr>
              <w:t>. Intensidad de emisiones de GEI en la generación eléctrica, 2023</w:t>
            </w:r>
          </w:p>
          <w:p w14:paraId="461BA999" w14:textId="77777777" w:rsidR="00072956" w:rsidRPr="000B180A" w:rsidRDefault="00072956" w:rsidP="007F5995">
            <w:pPr>
              <w:pStyle w:val="NormalArial"/>
              <w:spacing w:after="0" w:line="240" w:lineRule="auto"/>
              <w:jc w:val="center"/>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kern w:val="0"/>
                <w:sz w:val="24"/>
                <w:szCs w:val="24"/>
                <w:shd w:val="clear" w:color="auto" w:fill="FFFFFF"/>
                <w:lang w:eastAsia="es-ES"/>
              </w:rPr>
              <w:t>Medida en gramos de CO2e emitida por KWh de electricidad generada</w:t>
            </w:r>
          </w:p>
          <w:p w14:paraId="2E462C0C" w14:textId="77777777" w:rsidR="00072956" w:rsidRPr="000B180A" w:rsidRDefault="00072956" w:rsidP="007F5995">
            <w:pPr>
              <w:pStyle w:val="NormalArial"/>
              <w:spacing w:after="0" w:line="240" w:lineRule="auto"/>
              <w:jc w:val="center"/>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noProof/>
                <w:kern w:val="0"/>
                <w:sz w:val="24"/>
                <w:szCs w:val="24"/>
                <w:shd w:val="clear" w:color="auto" w:fill="FFFFFF"/>
                <w:lang w:eastAsia="es-ES"/>
              </w:rPr>
              <w:drawing>
                <wp:inline distT="0" distB="0" distL="0" distR="0" wp14:anchorId="511C4F25" wp14:editId="388403BA">
                  <wp:extent cx="5505450" cy="3143250"/>
                  <wp:effectExtent l="0" t="0" r="0" b="0"/>
                  <wp:docPr id="4" name="Picture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descr="Mapa&#10;&#10;El contenido generado por IA puede ser incorrect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05450" cy="3143250"/>
                          </a:xfrm>
                          <a:prstGeom prst="rect">
                            <a:avLst/>
                          </a:prstGeom>
                          <a:noFill/>
                          <a:ln>
                            <a:noFill/>
                          </a:ln>
                        </pic:spPr>
                      </pic:pic>
                    </a:graphicData>
                  </a:graphic>
                </wp:inline>
              </w:drawing>
            </w:r>
          </w:p>
          <w:p w14:paraId="55149D8D" w14:textId="77777777" w:rsidR="00072956" w:rsidRPr="000B180A" w:rsidRDefault="00072956" w:rsidP="007F5995">
            <w:pPr>
              <w:pStyle w:val="NormalArial"/>
              <w:spacing w:line="240" w:lineRule="auto"/>
              <w:jc w:val="center"/>
              <w:rPr>
                <w:rFonts w:ascii="Arial Narrow" w:eastAsia="Times New Roman" w:hAnsi="Arial Narrow" w:cs="Arial"/>
                <w:kern w:val="0"/>
                <w:sz w:val="24"/>
                <w:szCs w:val="24"/>
                <w:shd w:val="clear" w:color="auto" w:fill="FFFFFF"/>
                <w:lang w:val="en-US" w:eastAsia="es-ES"/>
              </w:rPr>
            </w:pPr>
            <w:r w:rsidRPr="000B180A">
              <w:rPr>
                <w:rFonts w:ascii="Arial Narrow" w:eastAsia="Times New Roman" w:hAnsi="Arial Narrow" w:cs="Arial"/>
                <w:kern w:val="0"/>
                <w:sz w:val="24"/>
                <w:szCs w:val="24"/>
                <w:shd w:val="clear" w:color="auto" w:fill="FFFFFF"/>
                <w:lang w:val="en-US" w:eastAsia="es-ES"/>
              </w:rPr>
              <w:t>Fuente: Ember, Energy Institute - Statistical Review of World Energy (2024)</w:t>
            </w:r>
          </w:p>
          <w:p w14:paraId="12ED1838"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val="en-US" w:eastAsia="es-ES"/>
              </w:rPr>
            </w:pPr>
          </w:p>
          <w:p w14:paraId="2CC6E8B2"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kern w:val="0"/>
                <w:sz w:val="24"/>
                <w:szCs w:val="24"/>
                <w:shd w:val="clear" w:color="auto" w:fill="FFFFFF"/>
                <w:lang w:eastAsia="es-ES"/>
              </w:rPr>
              <w:t xml:space="preserve">Ahora bien, las emisiones de dióxido de carbono equivalente (CO2e) en la generación de electricidad varían según la fuente de energía utilizada. Las centrales eléctricas que emplean carbón como combustible emiten en promedio 820 gramos de CO2e por kilovatio-hora (gCO2e/kWh) generado, mientras que las plantas que utilizan gas natural producen alrededor de 400 gCO2e/kWh. En contraste, fuentes como la hidroeléctrica, presentan una carbono intensidad de aproximadamente 24 gCO2e/kWh. Mientras que las fuentes de energías renovables como la solar y la eólica se caracterizan por no generar emisiones directas de CO2e durante su operación (generación), lo que las convierte en opciones preferentes para reducir la huella de carbono en la generación eléctrica (World Nuclear Association, 2024). </w:t>
            </w:r>
          </w:p>
          <w:p w14:paraId="65D9D206"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kern w:val="0"/>
                <w:sz w:val="24"/>
                <w:szCs w:val="24"/>
                <w:shd w:val="clear" w:color="auto" w:fill="FFFFFF"/>
                <w:lang w:eastAsia="es-ES"/>
              </w:rPr>
              <w:t xml:space="preserve">En la </w:t>
            </w:r>
            <w:r w:rsidRPr="000B180A">
              <w:rPr>
                <w:rFonts w:ascii="Arial Narrow" w:eastAsia="Times New Roman" w:hAnsi="Arial Narrow" w:cs="Arial"/>
                <w:kern w:val="0"/>
                <w:sz w:val="24"/>
                <w:szCs w:val="24"/>
                <w:shd w:val="clear" w:color="auto" w:fill="FFFFFF"/>
                <w:lang w:eastAsia="es-ES"/>
              </w:rPr>
              <w:fldChar w:fldCharType="begin"/>
            </w:r>
            <w:r w:rsidRPr="000B180A">
              <w:rPr>
                <w:rFonts w:ascii="Arial Narrow" w:eastAsia="Times New Roman" w:hAnsi="Arial Narrow" w:cs="Arial"/>
                <w:kern w:val="0"/>
                <w:sz w:val="24"/>
                <w:szCs w:val="24"/>
                <w:shd w:val="clear" w:color="auto" w:fill="FFFFFF"/>
                <w:lang w:eastAsia="es-ES"/>
              </w:rPr>
              <w:instrText xml:space="preserve"> REF _Ref189802229 \h  \* MERGEFORMAT </w:instrText>
            </w:r>
            <w:r w:rsidRPr="000B180A">
              <w:rPr>
                <w:rFonts w:ascii="Arial Narrow" w:eastAsia="Times New Roman" w:hAnsi="Arial Narrow" w:cs="Arial"/>
                <w:kern w:val="0"/>
                <w:sz w:val="24"/>
                <w:szCs w:val="24"/>
                <w:shd w:val="clear" w:color="auto" w:fill="FFFFFF"/>
                <w:lang w:eastAsia="es-ES"/>
              </w:rPr>
            </w:r>
            <w:r w:rsidRPr="000B180A">
              <w:rPr>
                <w:rFonts w:ascii="Arial Narrow" w:eastAsia="Times New Roman" w:hAnsi="Arial Narrow" w:cs="Arial"/>
                <w:kern w:val="0"/>
                <w:sz w:val="24"/>
                <w:szCs w:val="24"/>
                <w:shd w:val="clear" w:color="auto" w:fill="FFFFFF"/>
                <w:lang w:eastAsia="es-ES"/>
              </w:rPr>
              <w:fldChar w:fldCharType="separate"/>
            </w:r>
            <w:r w:rsidRPr="000B180A">
              <w:rPr>
                <w:rFonts w:ascii="Arial Narrow" w:eastAsia="Times New Roman" w:hAnsi="Arial Narrow" w:cs="Arial"/>
                <w:kern w:val="0"/>
                <w:sz w:val="24"/>
                <w:szCs w:val="24"/>
                <w:shd w:val="clear" w:color="auto" w:fill="FFFFFF"/>
                <w:lang w:eastAsia="es-ES"/>
              </w:rPr>
              <w:t>Figura 5</w:t>
            </w:r>
            <w:r w:rsidRPr="000B180A">
              <w:rPr>
                <w:rFonts w:ascii="Arial Narrow" w:eastAsia="Times New Roman" w:hAnsi="Arial Narrow" w:cs="Arial"/>
                <w:kern w:val="0"/>
                <w:sz w:val="24"/>
                <w:szCs w:val="24"/>
                <w:shd w:val="clear" w:color="auto" w:fill="FFFFFF"/>
                <w:lang w:eastAsia="es-ES"/>
              </w:rPr>
              <w:fldChar w:fldCharType="end"/>
            </w:r>
            <w:r w:rsidRPr="000B180A">
              <w:rPr>
                <w:rFonts w:ascii="Arial Narrow" w:eastAsia="Times New Roman" w:hAnsi="Arial Narrow" w:cs="Arial"/>
                <w:kern w:val="0"/>
                <w:sz w:val="24"/>
                <w:szCs w:val="24"/>
                <w:shd w:val="clear" w:color="auto" w:fill="FFFFFF"/>
                <w:lang w:eastAsia="es-ES"/>
              </w:rPr>
              <w:t xml:space="preserve"> se presenta una comparación de la intensidad de emisiones de GEI para distintas fuentes de generación de electricidad, evidenciando las diferencias en las emisiones asociadas a cada tecnología incluyendo tanto las etapas de construcción como las de operación.</w:t>
            </w:r>
          </w:p>
          <w:p w14:paraId="705B1674"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71795E04"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5818C5A6"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4963576F" w14:textId="77777777" w:rsidR="00072956" w:rsidRPr="000B180A" w:rsidRDefault="00072956" w:rsidP="007F5995">
            <w:pPr>
              <w:pStyle w:val="FigurasArial"/>
              <w:spacing w:line="240" w:lineRule="auto"/>
              <w:jc w:val="center"/>
              <w:rPr>
                <w:rFonts w:ascii="Arial Narrow" w:eastAsia="Times New Roman" w:hAnsi="Arial Narrow" w:cs="Arial"/>
                <w:b w:val="0"/>
                <w:kern w:val="0"/>
                <w:sz w:val="24"/>
                <w:szCs w:val="24"/>
                <w:shd w:val="clear" w:color="auto" w:fill="FFFFFF"/>
                <w:lang w:eastAsia="es-ES"/>
              </w:rPr>
            </w:pPr>
            <w:bookmarkStart w:id="6" w:name="_Ref189802229"/>
            <w:r w:rsidRPr="000B180A">
              <w:rPr>
                <w:rFonts w:ascii="Arial Narrow" w:eastAsia="Times New Roman" w:hAnsi="Arial Narrow" w:cs="Arial"/>
                <w:b w:val="0"/>
                <w:kern w:val="0"/>
                <w:sz w:val="24"/>
                <w:szCs w:val="24"/>
                <w:shd w:val="clear" w:color="auto" w:fill="FFFFFF"/>
                <w:lang w:eastAsia="es-ES"/>
              </w:rPr>
              <w:t xml:space="preserve">Figura </w:t>
            </w:r>
            <w:r w:rsidRPr="000B180A">
              <w:rPr>
                <w:rFonts w:ascii="Arial Narrow" w:eastAsia="Times New Roman" w:hAnsi="Arial Narrow" w:cs="Arial"/>
                <w:b w:val="0"/>
                <w:kern w:val="0"/>
                <w:sz w:val="24"/>
                <w:szCs w:val="24"/>
                <w:shd w:val="clear" w:color="auto" w:fill="FFFFFF"/>
                <w:lang w:eastAsia="es-ES"/>
              </w:rPr>
              <w:fldChar w:fldCharType="begin"/>
            </w:r>
            <w:r w:rsidRPr="000B180A">
              <w:rPr>
                <w:rFonts w:ascii="Arial Narrow" w:eastAsia="Times New Roman" w:hAnsi="Arial Narrow" w:cs="Arial"/>
                <w:b w:val="0"/>
                <w:kern w:val="0"/>
                <w:sz w:val="24"/>
                <w:szCs w:val="24"/>
                <w:shd w:val="clear" w:color="auto" w:fill="FFFFFF"/>
                <w:lang w:eastAsia="es-ES"/>
              </w:rPr>
              <w:instrText xml:space="preserve"> SEQ Figura \* ARABIC </w:instrText>
            </w:r>
            <w:r w:rsidRPr="000B180A">
              <w:rPr>
                <w:rFonts w:ascii="Arial Narrow" w:eastAsia="Times New Roman" w:hAnsi="Arial Narrow" w:cs="Arial"/>
                <w:b w:val="0"/>
                <w:kern w:val="0"/>
                <w:sz w:val="24"/>
                <w:szCs w:val="24"/>
                <w:shd w:val="clear" w:color="auto" w:fill="FFFFFF"/>
                <w:lang w:eastAsia="es-ES"/>
              </w:rPr>
              <w:fldChar w:fldCharType="separate"/>
            </w:r>
            <w:r w:rsidRPr="000B180A">
              <w:rPr>
                <w:rFonts w:ascii="Arial Narrow" w:eastAsia="Times New Roman" w:hAnsi="Arial Narrow" w:cs="Arial"/>
                <w:b w:val="0"/>
                <w:noProof/>
                <w:kern w:val="0"/>
                <w:sz w:val="24"/>
                <w:szCs w:val="24"/>
                <w:shd w:val="clear" w:color="auto" w:fill="FFFFFF"/>
                <w:lang w:eastAsia="es-ES"/>
              </w:rPr>
              <w:t>5</w:t>
            </w:r>
            <w:r w:rsidRPr="000B180A">
              <w:rPr>
                <w:rFonts w:ascii="Arial Narrow" w:eastAsia="Times New Roman" w:hAnsi="Arial Narrow" w:cs="Arial"/>
                <w:b w:val="0"/>
                <w:kern w:val="0"/>
                <w:sz w:val="24"/>
                <w:szCs w:val="24"/>
                <w:shd w:val="clear" w:color="auto" w:fill="FFFFFF"/>
                <w:lang w:eastAsia="es-ES"/>
              </w:rPr>
              <w:fldChar w:fldCharType="end"/>
            </w:r>
            <w:bookmarkEnd w:id="6"/>
            <w:r w:rsidRPr="000B180A">
              <w:rPr>
                <w:rFonts w:ascii="Arial Narrow" w:eastAsia="Times New Roman" w:hAnsi="Arial Narrow" w:cs="Arial"/>
                <w:b w:val="0"/>
                <w:kern w:val="0"/>
                <w:sz w:val="24"/>
                <w:szCs w:val="24"/>
                <w:shd w:val="clear" w:color="auto" w:fill="FFFFFF"/>
                <w:lang w:eastAsia="es-ES"/>
              </w:rPr>
              <w:t>. Emisiones de GEI promedio por fuente de energía</w:t>
            </w:r>
          </w:p>
          <w:p w14:paraId="031E06E8" w14:textId="77777777" w:rsidR="00072956" w:rsidRPr="000B180A" w:rsidRDefault="00072956" w:rsidP="007F5995">
            <w:pPr>
              <w:pStyle w:val="NormalArial"/>
              <w:spacing w:line="240" w:lineRule="auto"/>
              <w:jc w:val="center"/>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noProof/>
                <w:kern w:val="0"/>
                <w:sz w:val="24"/>
                <w:szCs w:val="24"/>
                <w:shd w:val="clear" w:color="auto" w:fill="FFFFFF"/>
                <w:lang w:eastAsia="es-ES"/>
              </w:rPr>
              <w:drawing>
                <wp:inline distT="0" distB="0" distL="0" distR="0" wp14:anchorId="360BA8E5" wp14:editId="6676EBCF">
                  <wp:extent cx="5943600" cy="2505075"/>
                  <wp:effectExtent l="0" t="0" r="0" b="0"/>
                  <wp:docPr id="5"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1" descr="Gráfico, Gráfico de barras&#10;&#10;El contenido generado por IA puede ser incorrect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2505075"/>
                          </a:xfrm>
                          <a:prstGeom prst="rect">
                            <a:avLst/>
                          </a:prstGeom>
                          <a:noFill/>
                          <a:ln>
                            <a:noFill/>
                          </a:ln>
                        </pic:spPr>
                      </pic:pic>
                    </a:graphicData>
                  </a:graphic>
                </wp:inline>
              </w:drawing>
            </w:r>
          </w:p>
          <w:p w14:paraId="31FBB3FF" w14:textId="77777777" w:rsidR="00072956" w:rsidRPr="000B180A" w:rsidRDefault="00072956" w:rsidP="007F5995">
            <w:pPr>
              <w:pStyle w:val="NormalArial"/>
              <w:spacing w:line="240" w:lineRule="auto"/>
              <w:jc w:val="center"/>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kern w:val="0"/>
                <w:sz w:val="24"/>
                <w:szCs w:val="24"/>
                <w:shd w:val="clear" w:color="auto" w:fill="FFFFFF"/>
                <w:lang w:eastAsia="es-ES"/>
              </w:rPr>
              <w:t>Fuente: World Nuclear Association (2024)</w:t>
            </w:r>
          </w:p>
          <w:p w14:paraId="2034FC95"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kern w:val="0"/>
                <w:sz w:val="24"/>
                <w:szCs w:val="24"/>
                <w:shd w:val="clear" w:color="auto" w:fill="FFFFFF"/>
                <w:lang w:eastAsia="es-ES"/>
              </w:rPr>
              <w:t>La adopción de fuentes de energía con menor intensidad de GEI es esencial para mitigar el cambio climático y cumplir con los compromisos internacionales de reducción de emisiones. La transición hacia energías renovables no solo disminuye las emisiones de gases de efecto invernadero, sino que también contribuye a la diversificación de la matriz energética y a la seguridad del suministro eléctrico (Ministerio de Minas y Energía, 2023; Naciones Unidas, s.f.).</w:t>
            </w:r>
          </w:p>
          <w:p w14:paraId="2BCA9A6D"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kern w:val="0"/>
                <w:sz w:val="24"/>
                <w:szCs w:val="24"/>
                <w:shd w:val="clear" w:color="auto" w:fill="FFFFFF"/>
                <w:lang w:eastAsia="es-ES"/>
              </w:rPr>
              <w:t xml:space="preserve">Con respecto a las emisiones de gases de efecto invernadero (GEI) en el ciclo de vida de la electricidad, se evidencia la necesidad de avanzar en la transición hacia fuentes renovables principalmente la eólica. Como se observa en la </w:t>
            </w:r>
            <w:r w:rsidRPr="000B180A">
              <w:rPr>
                <w:rFonts w:ascii="Arial Narrow" w:eastAsia="Times New Roman" w:hAnsi="Arial Narrow" w:cs="Arial"/>
                <w:kern w:val="0"/>
                <w:sz w:val="24"/>
                <w:szCs w:val="24"/>
                <w:shd w:val="clear" w:color="auto" w:fill="FFFFFF"/>
                <w:lang w:eastAsia="es-ES"/>
              </w:rPr>
              <w:fldChar w:fldCharType="begin"/>
            </w:r>
            <w:r w:rsidRPr="000B180A">
              <w:rPr>
                <w:rFonts w:ascii="Arial Narrow" w:eastAsia="Times New Roman" w:hAnsi="Arial Narrow" w:cs="Arial"/>
                <w:kern w:val="0"/>
                <w:sz w:val="24"/>
                <w:szCs w:val="24"/>
                <w:shd w:val="clear" w:color="auto" w:fill="FFFFFF"/>
                <w:lang w:eastAsia="es-ES"/>
              </w:rPr>
              <w:instrText xml:space="preserve"> REF _Ref189802240 \h  \* MERGEFORMAT </w:instrText>
            </w:r>
            <w:r w:rsidRPr="000B180A">
              <w:rPr>
                <w:rFonts w:ascii="Arial Narrow" w:eastAsia="Times New Roman" w:hAnsi="Arial Narrow" w:cs="Arial"/>
                <w:kern w:val="0"/>
                <w:sz w:val="24"/>
                <w:szCs w:val="24"/>
                <w:shd w:val="clear" w:color="auto" w:fill="FFFFFF"/>
                <w:lang w:eastAsia="es-ES"/>
              </w:rPr>
            </w:r>
            <w:r w:rsidRPr="000B180A">
              <w:rPr>
                <w:rFonts w:ascii="Arial Narrow" w:eastAsia="Times New Roman" w:hAnsi="Arial Narrow" w:cs="Arial"/>
                <w:kern w:val="0"/>
                <w:sz w:val="24"/>
                <w:szCs w:val="24"/>
                <w:shd w:val="clear" w:color="auto" w:fill="FFFFFF"/>
                <w:lang w:eastAsia="es-ES"/>
              </w:rPr>
              <w:fldChar w:fldCharType="separate"/>
            </w:r>
            <w:r w:rsidRPr="000B180A">
              <w:rPr>
                <w:rFonts w:ascii="Arial Narrow" w:eastAsia="Times New Roman" w:hAnsi="Arial Narrow" w:cs="Arial"/>
                <w:kern w:val="0"/>
                <w:sz w:val="24"/>
                <w:szCs w:val="24"/>
                <w:shd w:val="clear" w:color="auto" w:fill="FFFFFF"/>
                <w:lang w:eastAsia="es-ES"/>
              </w:rPr>
              <w:t>Figura 6</w:t>
            </w:r>
            <w:r w:rsidRPr="000B180A">
              <w:rPr>
                <w:rFonts w:ascii="Arial Narrow" w:eastAsia="Times New Roman" w:hAnsi="Arial Narrow" w:cs="Arial"/>
                <w:kern w:val="0"/>
                <w:sz w:val="24"/>
                <w:szCs w:val="24"/>
                <w:shd w:val="clear" w:color="auto" w:fill="FFFFFF"/>
                <w:lang w:eastAsia="es-ES"/>
              </w:rPr>
              <w:fldChar w:fldCharType="end"/>
            </w:r>
            <w:r w:rsidRPr="000B180A">
              <w:rPr>
                <w:rFonts w:ascii="Arial Narrow" w:eastAsia="Times New Roman" w:hAnsi="Arial Narrow" w:cs="Arial"/>
                <w:kern w:val="0"/>
                <w:sz w:val="24"/>
                <w:szCs w:val="24"/>
                <w:shd w:val="clear" w:color="auto" w:fill="FFFFFF"/>
                <w:lang w:eastAsia="es-ES"/>
              </w:rPr>
              <w:t>, en 2011, la generación eléctrica a partir de carbón presentó intensidad de emisiones de GEI promedio de 1001 gCO2e/kWh, reduciéndose a 977 gCO2e/kWh en 2022, lo que indica mejoras en eficiencia, pero sin una reducción considerable debido a la dependencia de combustión de material fósil. De manera similar, los combustibles líquidos y el gas natural pasaron de 840 a 784 gCO2e/kWh y de 469 a 425 gCO2e/kWh, respectivamente. Aunque estas reducciones reflejan avances en eficiencia y mitigación de emisiones, la magnitud de los valores confirma que la generación basada en combustibles fósiles sigue representando una alta contribución a las emisiones de GEI.</w:t>
            </w:r>
          </w:p>
          <w:p w14:paraId="16930737"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kern w:val="0"/>
                <w:sz w:val="24"/>
                <w:szCs w:val="24"/>
                <w:shd w:val="clear" w:color="auto" w:fill="FFFFFF"/>
                <w:lang w:eastAsia="es-ES"/>
              </w:rPr>
              <w:t>Las fuentes renovables presentan una menor intensidad de emisiones de GEI incluido en todo el ciclo de vida; reforzando su importancia en la reducción de emisiones del sector eléctrico. La hidroeléctrica, emite de 4 a 11 gCO2e/kWh, la eólica un promedio de 12 gCO2e/kWh, mientras que la fotovoltaica una media de 37 gCO2e/kWh, La transición hacia estas fuentes es crucial para la descarbonización del sector eléctrico, ya que permiten disminuir las emisiones operativas y reducir la dependencia de combustibles fósiles.</w:t>
            </w:r>
          </w:p>
          <w:p w14:paraId="218884A0"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0D54B815"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0626BBD3"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170037FD"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7E70B06F" w14:textId="77777777" w:rsidR="00072956" w:rsidRPr="000B180A" w:rsidRDefault="00072956" w:rsidP="007F5995">
            <w:pPr>
              <w:pStyle w:val="FigurasArial"/>
              <w:spacing w:line="240" w:lineRule="auto"/>
              <w:jc w:val="center"/>
              <w:rPr>
                <w:rFonts w:ascii="Arial Narrow" w:eastAsia="Times New Roman" w:hAnsi="Arial Narrow" w:cs="Arial"/>
                <w:b w:val="0"/>
                <w:kern w:val="0"/>
                <w:sz w:val="24"/>
                <w:szCs w:val="24"/>
                <w:shd w:val="clear" w:color="auto" w:fill="FFFFFF"/>
                <w:lang w:eastAsia="es-ES"/>
              </w:rPr>
            </w:pPr>
            <w:bookmarkStart w:id="7" w:name="_Ref189802240"/>
            <w:r w:rsidRPr="000B180A">
              <w:rPr>
                <w:rFonts w:ascii="Arial Narrow" w:eastAsia="Times New Roman" w:hAnsi="Arial Narrow" w:cs="Arial"/>
                <w:b w:val="0"/>
                <w:kern w:val="0"/>
                <w:sz w:val="24"/>
                <w:szCs w:val="24"/>
                <w:shd w:val="clear" w:color="auto" w:fill="FFFFFF"/>
                <w:lang w:eastAsia="es-ES"/>
              </w:rPr>
              <w:t xml:space="preserve">Figura </w:t>
            </w:r>
            <w:r w:rsidRPr="000B180A">
              <w:rPr>
                <w:rFonts w:ascii="Arial Narrow" w:eastAsia="Times New Roman" w:hAnsi="Arial Narrow" w:cs="Arial"/>
                <w:b w:val="0"/>
                <w:kern w:val="0"/>
                <w:sz w:val="24"/>
                <w:szCs w:val="24"/>
                <w:shd w:val="clear" w:color="auto" w:fill="FFFFFF"/>
                <w:lang w:eastAsia="es-ES"/>
              </w:rPr>
              <w:fldChar w:fldCharType="begin"/>
            </w:r>
            <w:r w:rsidRPr="000B180A">
              <w:rPr>
                <w:rFonts w:ascii="Arial Narrow" w:eastAsia="Times New Roman" w:hAnsi="Arial Narrow" w:cs="Arial"/>
                <w:b w:val="0"/>
                <w:kern w:val="0"/>
                <w:sz w:val="24"/>
                <w:szCs w:val="24"/>
                <w:shd w:val="clear" w:color="auto" w:fill="FFFFFF"/>
                <w:lang w:eastAsia="es-ES"/>
              </w:rPr>
              <w:instrText xml:space="preserve"> SEQ Figura \* ARABIC </w:instrText>
            </w:r>
            <w:r w:rsidRPr="000B180A">
              <w:rPr>
                <w:rFonts w:ascii="Arial Narrow" w:eastAsia="Times New Roman" w:hAnsi="Arial Narrow" w:cs="Arial"/>
                <w:b w:val="0"/>
                <w:kern w:val="0"/>
                <w:sz w:val="24"/>
                <w:szCs w:val="24"/>
                <w:shd w:val="clear" w:color="auto" w:fill="FFFFFF"/>
                <w:lang w:eastAsia="es-ES"/>
              </w:rPr>
              <w:fldChar w:fldCharType="separate"/>
            </w:r>
            <w:r w:rsidRPr="000B180A">
              <w:rPr>
                <w:rFonts w:ascii="Arial Narrow" w:eastAsia="Times New Roman" w:hAnsi="Arial Narrow" w:cs="Arial"/>
                <w:b w:val="0"/>
                <w:noProof/>
                <w:kern w:val="0"/>
                <w:sz w:val="24"/>
                <w:szCs w:val="24"/>
                <w:shd w:val="clear" w:color="auto" w:fill="FFFFFF"/>
                <w:lang w:eastAsia="es-ES"/>
              </w:rPr>
              <w:t>6</w:t>
            </w:r>
            <w:r w:rsidRPr="000B180A">
              <w:rPr>
                <w:rFonts w:ascii="Arial Narrow" w:eastAsia="Times New Roman" w:hAnsi="Arial Narrow" w:cs="Arial"/>
                <w:b w:val="0"/>
                <w:kern w:val="0"/>
                <w:sz w:val="24"/>
                <w:szCs w:val="24"/>
                <w:shd w:val="clear" w:color="auto" w:fill="FFFFFF"/>
                <w:lang w:eastAsia="es-ES"/>
              </w:rPr>
              <w:fldChar w:fldCharType="end"/>
            </w:r>
            <w:bookmarkEnd w:id="7"/>
            <w:r w:rsidRPr="000B180A">
              <w:rPr>
                <w:rFonts w:ascii="Arial Narrow" w:eastAsia="Times New Roman" w:hAnsi="Arial Narrow" w:cs="Arial"/>
                <w:b w:val="0"/>
                <w:kern w:val="0"/>
                <w:sz w:val="24"/>
                <w:szCs w:val="24"/>
                <w:shd w:val="clear" w:color="auto" w:fill="FFFFFF"/>
                <w:lang w:eastAsia="es-ES"/>
              </w:rPr>
              <w:t>. Carbono intensidad en el ciclo de vida de la generación eléctrica por fuente de energía (2011 y 2022)</w:t>
            </w:r>
          </w:p>
          <w:p w14:paraId="442D9620" w14:textId="77777777" w:rsidR="00072956" w:rsidRPr="000B180A" w:rsidRDefault="00072956" w:rsidP="007F5995">
            <w:pPr>
              <w:pStyle w:val="FigurasArial"/>
              <w:spacing w:line="240" w:lineRule="auto"/>
              <w:rPr>
                <w:rFonts w:ascii="Arial Narrow" w:eastAsia="Times New Roman" w:hAnsi="Arial Narrow" w:cs="Arial"/>
                <w:b w:val="0"/>
                <w:kern w:val="0"/>
                <w:sz w:val="24"/>
                <w:szCs w:val="24"/>
                <w:shd w:val="clear" w:color="auto" w:fill="FFFFFF"/>
                <w:lang w:eastAsia="es-ES"/>
              </w:rPr>
            </w:pPr>
            <w:r w:rsidRPr="000B180A">
              <w:rPr>
                <w:rFonts w:ascii="Arial Narrow" w:eastAsia="Times New Roman" w:hAnsi="Arial Narrow" w:cs="Arial"/>
                <w:b w:val="0"/>
                <w:noProof/>
                <w:kern w:val="0"/>
                <w:sz w:val="24"/>
                <w:szCs w:val="24"/>
                <w:shd w:val="clear" w:color="auto" w:fill="FFFFFF"/>
                <w:lang w:eastAsia="es-ES"/>
              </w:rPr>
              <w:drawing>
                <wp:inline distT="0" distB="0" distL="0" distR="0" wp14:anchorId="59DEF853" wp14:editId="16ED8150">
                  <wp:extent cx="6143625" cy="2219325"/>
                  <wp:effectExtent l="0" t="0" r="0" b="0"/>
                  <wp:docPr id="6"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1" descr="Interfaz de usuario gráfica, Aplicación&#10;&#10;El contenido generado por IA puede ser incorrecto."/>
                          <pic:cNvPicPr>
                            <a:picLocks noChangeAspect="1" noChangeArrowheads="1"/>
                          </pic:cNvPicPr>
                        </pic:nvPicPr>
                        <pic:blipFill>
                          <a:blip r:embed="rId13">
                            <a:extLst>
                              <a:ext uri="{28A0092B-C50C-407E-A947-70E740481C1C}">
                                <a14:useLocalDpi xmlns:a14="http://schemas.microsoft.com/office/drawing/2010/main" val="0"/>
                              </a:ext>
                            </a:extLst>
                          </a:blip>
                          <a:srcRect l="15652" t="37102" r="11691" b="16037"/>
                          <a:stretch>
                            <a:fillRect/>
                          </a:stretch>
                        </pic:blipFill>
                        <pic:spPr bwMode="auto">
                          <a:xfrm>
                            <a:off x="0" y="0"/>
                            <a:ext cx="6143625" cy="2219325"/>
                          </a:xfrm>
                          <a:prstGeom prst="rect">
                            <a:avLst/>
                          </a:prstGeom>
                          <a:noFill/>
                          <a:ln>
                            <a:noFill/>
                          </a:ln>
                        </pic:spPr>
                      </pic:pic>
                    </a:graphicData>
                  </a:graphic>
                </wp:inline>
              </w:drawing>
            </w:r>
          </w:p>
          <w:p w14:paraId="23E51096" w14:textId="77777777" w:rsidR="00072956" w:rsidRPr="000B180A" w:rsidRDefault="00072956" w:rsidP="007F5995">
            <w:pPr>
              <w:pStyle w:val="NormalArial"/>
              <w:spacing w:line="240" w:lineRule="auto"/>
              <w:jc w:val="center"/>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kern w:val="0"/>
                <w:sz w:val="24"/>
                <w:szCs w:val="24"/>
                <w:shd w:val="clear" w:color="auto" w:fill="FFFFFF"/>
                <w:lang w:eastAsia="es-ES"/>
              </w:rPr>
              <w:t>Fuente: Unnewehr, et al. (2022); Scarlat, et al. (2021); Moomaw, et al. (2011); UNECE (2022)</w:t>
            </w:r>
          </w:p>
          <w:p w14:paraId="25B9FE7F"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kern w:val="0"/>
                <w:sz w:val="24"/>
                <w:szCs w:val="24"/>
                <w:shd w:val="clear" w:color="auto" w:fill="FFFFFF"/>
                <w:lang w:eastAsia="es-ES"/>
              </w:rPr>
              <w:t xml:space="preserve">En Colombia, el factor de emisión del Sistema Interconectado Nacional (SIN) es de 112 gCO2e/kWh, basado en un mix eléctrico con aproximadamente 70% de generación hidroeléctrica, un 27% térmica y el restante de otras fuentes, incluyendo las FNCER. En comparación, el Reino Unido ha logrado reducir su carbono intensidad a 98 gCO2e/kWh gracias a una mayor integración de fuentes renovables, donde el 40.8% proviene de energía eólica, el 2.9 % de solar fotovoltaica y el 18.4% de otras fuentes renovables. Esta diversificación ha permitido disminuir la dependencia de generación fósil y reducir las emisiones del sector eléctrico. </w:t>
            </w:r>
          </w:p>
          <w:p w14:paraId="6B6503DC"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kern w:val="0"/>
                <w:sz w:val="24"/>
                <w:szCs w:val="24"/>
                <w:shd w:val="clear" w:color="auto" w:fill="FFFFFF"/>
                <w:lang w:eastAsia="es-ES"/>
              </w:rPr>
              <w:t>Adicionalmente, en Colombia, cuando un proyecto de generación renovable se incorpora al SIN, contribuye a la reducción de emisiones al desplazar generación fósil (UPME, 2020). Para cuantificar este efecto, la UPME (2024) establece factores de emisión de referencia de 0,493 a 0,289 gCO2e/kWh, los cuales se utilizan para calcular las emisiones evitadas en proyectos que reemplazan generación fósil o que mejoran la eficiencia energética. En 2022 el carbón representó aproximadamente el 4,5% de la generación eléctrica en Colombia, contribuyendo con 3,4 millones de toneladas de CO2e en 2022 (</w:t>
            </w:r>
            <w:r w:rsidRPr="000B180A">
              <w:rPr>
                <w:rFonts w:ascii="Arial Narrow" w:eastAsia="Times New Roman" w:hAnsi="Arial Narrow" w:cs="Arial"/>
                <w:kern w:val="0"/>
                <w:sz w:val="24"/>
                <w:szCs w:val="24"/>
                <w:shd w:val="clear" w:color="auto" w:fill="FFFFFF"/>
                <w:lang w:eastAsia="es-ES"/>
              </w:rPr>
              <w:fldChar w:fldCharType="begin"/>
            </w:r>
            <w:r w:rsidRPr="000B180A">
              <w:rPr>
                <w:rFonts w:ascii="Arial Narrow" w:eastAsia="Times New Roman" w:hAnsi="Arial Narrow" w:cs="Arial"/>
                <w:kern w:val="0"/>
                <w:sz w:val="24"/>
                <w:szCs w:val="24"/>
                <w:shd w:val="clear" w:color="auto" w:fill="FFFFFF"/>
                <w:lang w:eastAsia="es-ES"/>
              </w:rPr>
              <w:instrText xml:space="preserve"> REF _Ref189803427 \h  \* MERGEFORMAT </w:instrText>
            </w:r>
            <w:r w:rsidRPr="000B180A">
              <w:rPr>
                <w:rFonts w:ascii="Arial Narrow" w:eastAsia="Times New Roman" w:hAnsi="Arial Narrow" w:cs="Arial"/>
                <w:kern w:val="0"/>
                <w:sz w:val="24"/>
                <w:szCs w:val="24"/>
                <w:shd w:val="clear" w:color="auto" w:fill="FFFFFF"/>
                <w:lang w:eastAsia="es-ES"/>
              </w:rPr>
            </w:r>
            <w:r w:rsidRPr="000B180A">
              <w:rPr>
                <w:rFonts w:ascii="Arial Narrow" w:eastAsia="Times New Roman" w:hAnsi="Arial Narrow" w:cs="Arial"/>
                <w:kern w:val="0"/>
                <w:sz w:val="24"/>
                <w:szCs w:val="24"/>
                <w:shd w:val="clear" w:color="auto" w:fill="FFFFFF"/>
                <w:lang w:eastAsia="es-ES"/>
              </w:rPr>
              <w:fldChar w:fldCharType="separate"/>
            </w:r>
            <w:r w:rsidRPr="000B180A">
              <w:rPr>
                <w:rFonts w:ascii="Arial Narrow" w:eastAsia="Times New Roman" w:hAnsi="Arial Narrow" w:cs="Arial"/>
                <w:kern w:val="0"/>
                <w:sz w:val="24"/>
                <w:szCs w:val="24"/>
                <w:shd w:val="clear" w:color="auto" w:fill="FFFFFF"/>
                <w:lang w:eastAsia="es-ES"/>
              </w:rPr>
              <w:t>Figura 7</w:t>
            </w:r>
            <w:r w:rsidRPr="000B180A">
              <w:rPr>
                <w:rFonts w:ascii="Arial Narrow" w:eastAsia="Times New Roman" w:hAnsi="Arial Narrow" w:cs="Arial"/>
                <w:kern w:val="0"/>
                <w:sz w:val="24"/>
                <w:szCs w:val="24"/>
                <w:shd w:val="clear" w:color="auto" w:fill="FFFFFF"/>
                <w:lang w:eastAsia="es-ES"/>
              </w:rPr>
              <w:fldChar w:fldCharType="end"/>
            </w:r>
            <w:r w:rsidRPr="000B180A">
              <w:rPr>
                <w:rFonts w:ascii="Arial Narrow" w:eastAsia="Times New Roman" w:hAnsi="Arial Narrow" w:cs="Arial"/>
                <w:kern w:val="0"/>
                <w:sz w:val="24"/>
                <w:szCs w:val="24"/>
                <w:shd w:val="clear" w:color="auto" w:fill="FFFFFF"/>
                <w:lang w:eastAsia="es-ES"/>
              </w:rPr>
              <w:t>). La continuidad en el uso de esta fuente mantiene emisiones elevadas en el sistema, lo que refuerza la necesidad de una transición hacia fuentes renovables con menor carbono intensidad (POLEN Transiciones Justas, 2023).</w:t>
            </w:r>
          </w:p>
          <w:p w14:paraId="1D51F1D4"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6BB722DC"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6BC151BF"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726A0817"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68C5565C"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758EF8EF"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08F0F026" w14:textId="77777777" w:rsidR="00072956" w:rsidRPr="000B180A" w:rsidRDefault="00072956" w:rsidP="007F5995">
            <w:pPr>
              <w:pStyle w:val="NormalArial"/>
              <w:spacing w:line="240" w:lineRule="auto"/>
              <w:rPr>
                <w:rFonts w:ascii="Arial Narrow" w:eastAsia="Times New Roman" w:hAnsi="Arial Narrow" w:cs="Arial"/>
                <w:kern w:val="0"/>
                <w:sz w:val="24"/>
                <w:szCs w:val="24"/>
                <w:shd w:val="clear" w:color="auto" w:fill="FFFFFF"/>
                <w:lang w:eastAsia="es-ES"/>
              </w:rPr>
            </w:pPr>
          </w:p>
          <w:p w14:paraId="1E399715" w14:textId="77777777" w:rsidR="00072956" w:rsidRPr="000B180A" w:rsidRDefault="00072956" w:rsidP="007F5995">
            <w:pPr>
              <w:pStyle w:val="FigurasArial"/>
              <w:spacing w:after="0" w:line="240" w:lineRule="auto"/>
              <w:jc w:val="center"/>
              <w:rPr>
                <w:rFonts w:ascii="Arial Narrow" w:eastAsia="Times New Roman" w:hAnsi="Arial Narrow" w:cs="Arial"/>
                <w:b w:val="0"/>
                <w:kern w:val="0"/>
                <w:sz w:val="24"/>
                <w:szCs w:val="24"/>
                <w:shd w:val="clear" w:color="auto" w:fill="FFFFFF"/>
                <w:lang w:eastAsia="es-ES"/>
              </w:rPr>
            </w:pPr>
            <w:bookmarkStart w:id="8" w:name="_Ref189803427"/>
            <w:r w:rsidRPr="000B180A">
              <w:rPr>
                <w:rFonts w:ascii="Arial Narrow" w:eastAsia="Times New Roman" w:hAnsi="Arial Narrow" w:cs="Arial"/>
                <w:b w:val="0"/>
                <w:kern w:val="0"/>
                <w:sz w:val="24"/>
                <w:szCs w:val="24"/>
                <w:shd w:val="clear" w:color="auto" w:fill="FFFFFF"/>
                <w:lang w:eastAsia="es-ES"/>
              </w:rPr>
              <w:t xml:space="preserve">Figura </w:t>
            </w:r>
            <w:r w:rsidRPr="000B180A">
              <w:rPr>
                <w:rFonts w:ascii="Arial Narrow" w:eastAsia="Times New Roman" w:hAnsi="Arial Narrow" w:cs="Arial"/>
                <w:b w:val="0"/>
                <w:kern w:val="0"/>
                <w:sz w:val="24"/>
                <w:szCs w:val="24"/>
                <w:shd w:val="clear" w:color="auto" w:fill="FFFFFF"/>
                <w:lang w:eastAsia="es-ES"/>
              </w:rPr>
              <w:fldChar w:fldCharType="begin"/>
            </w:r>
            <w:r w:rsidRPr="000B180A">
              <w:rPr>
                <w:rFonts w:ascii="Arial Narrow" w:eastAsia="Times New Roman" w:hAnsi="Arial Narrow" w:cs="Arial"/>
                <w:b w:val="0"/>
                <w:kern w:val="0"/>
                <w:sz w:val="24"/>
                <w:szCs w:val="24"/>
                <w:shd w:val="clear" w:color="auto" w:fill="FFFFFF"/>
                <w:lang w:eastAsia="es-ES"/>
              </w:rPr>
              <w:instrText xml:space="preserve"> SEQ Figura \* ARABIC </w:instrText>
            </w:r>
            <w:r w:rsidRPr="000B180A">
              <w:rPr>
                <w:rFonts w:ascii="Arial Narrow" w:eastAsia="Times New Roman" w:hAnsi="Arial Narrow" w:cs="Arial"/>
                <w:b w:val="0"/>
                <w:kern w:val="0"/>
                <w:sz w:val="24"/>
                <w:szCs w:val="24"/>
                <w:shd w:val="clear" w:color="auto" w:fill="FFFFFF"/>
                <w:lang w:eastAsia="es-ES"/>
              </w:rPr>
              <w:fldChar w:fldCharType="separate"/>
            </w:r>
            <w:r w:rsidRPr="000B180A">
              <w:rPr>
                <w:rFonts w:ascii="Arial Narrow" w:eastAsia="Times New Roman" w:hAnsi="Arial Narrow" w:cs="Arial"/>
                <w:b w:val="0"/>
                <w:noProof/>
                <w:kern w:val="0"/>
                <w:sz w:val="24"/>
                <w:szCs w:val="24"/>
                <w:shd w:val="clear" w:color="auto" w:fill="FFFFFF"/>
                <w:lang w:eastAsia="es-ES"/>
              </w:rPr>
              <w:t>7</w:t>
            </w:r>
            <w:r w:rsidRPr="000B180A">
              <w:rPr>
                <w:rFonts w:ascii="Arial Narrow" w:eastAsia="Times New Roman" w:hAnsi="Arial Narrow" w:cs="Arial"/>
                <w:b w:val="0"/>
                <w:kern w:val="0"/>
                <w:sz w:val="24"/>
                <w:szCs w:val="24"/>
                <w:shd w:val="clear" w:color="auto" w:fill="FFFFFF"/>
                <w:lang w:eastAsia="es-ES"/>
              </w:rPr>
              <w:fldChar w:fldCharType="end"/>
            </w:r>
            <w:bookmarkEnd w:id="8"/>
            <w:r w:rsidRPr="000B180A">
              <w:rPr>
                <w:rFonts w:ascii="Arial Narrow" w:eastAsia="Times New Roman" w:hAnsi="Arial Narrow" w:cs="Arial"/>
                <w:b w:val="0"/>
                <w:kern w:val="0"/>
                <w:sz w:val="24"/>
                <w:szCs w:val="24"/>
                <w:shd w:val="clear" w:color="auto" w:fill="FFFFFF"/>
                <w:lang w:eastAsia="es-ES"/>
              </w:rPr>
              <w:t>. Emisiones de gases efecto invernadero (GEI) del sector eléctrico vs porcentaje de generación de electricidad a partir de carbón en Colombia</w:t>
            </w:r>
          </w:p>
          <w:p w14:paraId="2265B9BA" w14:textId="77777777" w:rsidR="00072956" w:rsidRPr="000B180A" w:rsidRDefault="00072956" w:rsidP="007F5995">
            <w:pPr>
              <w:pStyle w:val="NormalArial"/>
              <w:spacing w:after="0" w:line="240" w:lineRule="auto"/>
              <w:jc w:val="center"/>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noProof/>
                <w:kern w:val="0"/>
                <w:sz w:val="24"/>
                <w:szCs w:val="24"/>
                <w:shd w:val="clear" w:color="auto" w:fill="FFFFFF"/>
                <w:lang w:eastAsia="es-ES"/>
              </w:rPr>
              <w:drawing>
                <wp:inline distT="0" distB="0" distL="0" distR="0" wp14:anchorId="6A471499" wp14:editId="30868945">
                  <wp:extent cx="4010025" cy="2400300"/>
                  <wp:effectExtent l="0" t="0" r="0" b="0"/>
                  <wp:docPr id="7" name="Picture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descr="Gráfico, Gráfico de barras&#10;&#10;El contenido generado por IA puede ser incorrect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0025" cy="2400300"/>
                          </a:xfrm>
                          <a:prstGeom prst="rect">
                            <a:avLst/>
                          </a:prstGeom>
                          <a:noFill/>
                          <a:ln>
                            <a:noFill/>
                          </a:ln>
                        </pic:spPr>
                      </pic:pic>
                    </a:graphicData>
                  </a:graphic>
                </wp:inline>
              </w:drawing>
            </w:r>
          </w:p>
          <w:p w14:paraId="3392D7C8" w14:textId="77777777" w:rsidR="00072956" w:rsidRPr="000B180A" w:rsidRDefault="00072956" w:rsidP="007F5995">
            <w:pPr>
              <w:pStyle w:val="NormalArial"/>
              <w:spacing w:line="240" w:lineRule="auto"/>
              <w:jc w:val="center"/>
              <w:rPr>
                <w:rFonts w:ascii="Arial Narrow" w:eastAsia="Times New Roman" w:hAnsi="Arial Narrow" w:cs="Arial"/>
                <w:kern w:val="0"/>
                <w:sz w:val="24"/>
                <w:szCs w:val="24"/>
                <w:shd w:val="clear" w:color="auto" w:fill="FFFFFF"/>
                <w:lang w:eastAsia="es-ES"/>
              </w:rPr>
            </w:pPr>
            <w:r w:rsidRPr="000B180A">
              <w:rPr>
                <w:rFonts w:ascii="Arial Narrow" w:eastAsia="Times New Roman" w:hAnsi="Arial Narrow" w:cs="Arial"/>
                <w:kern w:val="0"/>
                <w:sz w:val="24"/>
                <w:szCs w:val="24"/>
                <w:shd w:val="clear" w:color="auto" w:fill="FFFFFF"/>
                <w:lang w:eastAsia="es-ES"/>
              </w:rPr>
              <w:t>Fuente: POLEN Transiciones Justas (2023).</w:t>
            </w:r>
          </w:p>
          <w:p w14:paraId="236CEAE0"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Según el año y su comportamiento climático Colombia al reemplazar las fuentes de generación eléctrica de tipo fósil por fuentes renovables podría reducir entre 3 a 8 millones de toneladas de GEI anuales, lo que demuestra que la integración de energías renovables en el sistema eléctrico en Colombia permitiría reducir la intensidad de emisiones de GEI de la generación de energía eléctrica y alinearse con los objetivos de descarbonización y mitigación del cambio climático.</w:t>
            </w:r>
          </w:p>
          <w:p w14:paraId="247B5756" w14:textId="77777777" w:rsidR="00072956" w:rsidRPr="000B180A" w:rsidRDefault="00072956" w:rsidP="007F5995">
            <w:pPr>
              <w:jc w:val="both"/>
              <w:rPr>
                <w:rFonts w:ascii="Arial Narrow" w:hAnsi="Arial Narrow" w:cs="Arial"/>
                <w:sz w:val="24"/>
                <w:szCs w:val="24"/>
                <w:shd w:val="clear" w:color="auto" w:fill="FFFFFF"/>
                <w:lang w:val="es-CO"/>
              </w:rPr>
            </w:pPr>
          </w:p>
          <w:p w14:paraId="2AD24E6B"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Como punto de partida, para identificar el potencial eólico en el país, se consulta el Global Wind Atlas (GWA), el cual es una aplicación web gratuita diseñada para facilitar la identificación de zonas con alto potencial eólico para la generación de energía. Ofrece bases de datos y mapas de alta resolución sobre el recurso eólico, abarcando tanto áreas terrestres como marítimas en un radio de hasta 200 km desde la costa. De acuerdo con las velocidades medias anuales del viento a una altura de 100 metros, se identifican áreas con valores superiores a 6 m/s, consideradas con alto potencial eólico a:</w:t>
            </w:r>
          </w:p>
          <w:p w14:paraId="61171FFB" w14:textId="77777777" w:rsidR="00072956" w:rsidRPr="000B180A" w:rsidRDefault="00072956" w:rsidP="007F5995">
            <w:pPr>
              <w:jc w:val="both"/>
              <w:rPr>
                <w:rFonts w:ascii="Arial Narrow" w:hAnsi="Arial Narrow" w:cs="Arial"/>
                <w:sz w:val="24"/>
                <w:szCs w:val="24"/>
                <w:shd w:val="clear" w:color="auto" w:fill="FFFFFF"/>
                <w:lang w:val="es-CO"/>
              </w:rPr>
            </w:pPr>
          </w:p>
          <w:p w14:paraId="4F32DA77" w14:textId="77777777" w:rsidR="00072956" w:rsidRPr="000B180A" w:rsidRDefault="00072956" w:rsidP="007F5995">
            <w:pPr>
              <w:numPr>
                <w:ilvl w:val="0"/>
                <w:numId w:val="34"/>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península de La Guajira (las más altas del país)</w:t>
            </w:r>
          </w:p>
          <w:p w14:paraId="6CF3F1DA" w14:textId="77777777" w:rsidR="00072956" w:rsidRPr="000B180A" w:rsidRDefault="00072956" w:rsidP="007F5995">
            <w:pPr>
              <w:numPr>
                <w:ilvl w:val="0"/>
                <w:numId w:val="34"/>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Sectores del litoral Caribe (por ejemplo, Magdalena)</w:t>
            </w:r>
          </w:p>
          <w:p w14:paraId="6592243D" w14:textId="77777777" w:rsidR="00072956" w:rsidRPr="000B180A" w:rsidRDefault="00072956" w:rsidP="007F5995">
            <w:pPr>
              <w:numPr>
                <w:ilvl w:val="0"/>
                <w:numId w:val="34"/>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Zonas de alta montaña en la región Andina (como Nariño, Boyacá y Santander, donde la orografía acelera localmente el viento)</w:t>
            </w:r>
          </w:p>
          <w:p w14:paraId="328535AB" w14:textId="77777777" w:rsidR="00072956" w:rsidRPr="000B180A" w:rsidRDefault="00072956" w:rsidP="007F5995">
            <w:pPr>
              <w:numPr>
                <w:ilvl w:val="0"/>
                <w:numId w:val="34"/>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 mar Caribe colombiano (con velocidades óptimas para proyectos eólicos offshore).</w:t>
            </w:r>
          </w:p>
          <w:p w14:paraId="3B689E1D"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378692D5"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De forma complementaria, el GWA también proporciona información sobre la densidad media de potencia eólica, expresada en W/m². Este indicador representa el flujo promedio de energía cinética por unidad de área perpendicular al viento, y es crucial para determinar la calidad del recurso eólico. Una mayor densidad de potencia implica un mayor potencial de generación de energía.</w:t>
            </w:r>
          </w:p>
          <w:p w14:paraId="40BBB61E" w14:textId="77777777" w:rsidR="00072956" w:rsidRPr="000B180A" w:rsidRDefault="00072956" w:rsidP="007F5995">
            <w:pPr>
              <w:jc w:val="both"/>
              <w:rPr>
                <w:rFonts w:ascii="Arial Narrow" w:hAnsi="Arial Narrow" w:cs="Arial"/>
                <w:sz w:val="24"/>
                <w:szCs w:val="24"/>
                <w:shd w:val="clear" w:color="auto" w:fill="FFFFFF"/>
                <w:lang w:val="es-CO"/>
              </w:rPr>
            </w:pPr>
          </w:p>
          <w:p w14:paraId="7C467456" w14:textId="77777777" w:rsidR="00072956" w:rsidRPr="000B180A" w:rsidRDefault="00072956" w:rsidP="007F5995">
            <w:pPr>
              <w:jc w:val="both"/>
              <w:rPr>
                <w:rFonts w:ascii="Arial Narrow" w:hAnsi="Arial Narrow" w:cs="Arial"/>
                <w:sz w:val="24"/>
                <w:szCs w:val="24"/>
                <w:shd w:val="clear" w:color="auto" w:fill="FFFFFF"/>
                <w:lang w:val="es-CO"/>
              </w:rPr>
            </w:pPr>
          </w:p>
          <w:p w14:paraId="35EA0679" w14:textId="77777777" w:rsidR="00072956" w:rsidRPr="000B180A" w:rsidRDefault="00072956" w:rsidP="007F5995">
            <w:pPr>
              <w:jc w:val="both"/>
              <w:rPr>
                <w:rFonts w:ascii="Arial Narrow" w:hAnsi="Arial Narrow" w:cs="Arial"/>
                <w:sz w:val="24"/>
                <w:szCs w:val="24"/>
                <w:shd w:val="clear" w:color="auto" w:fill="FFFFFF"/>
                <w:lang w:val="es-CO"/>
              </w:rPr>
            </w:pPr>
          </w:p>
          <w:p w14:paraId="6E0713EA" w14:textId="77777777" w:rsidR="00072956" w:rsidRPr="000B180A" w:rsidRDefault="00072956" w:rsidP="007F5995">
            <w:pPr>
              <w:jc w:val="both"/>
              <w:rPr>
                <w:rFonts w:ascii="Arial Narrow" w:hAnsi="Arial Narrow" w:cs="Arial"/>
                <w:sz w:val="24"/>
                <w:szCs w:val="24"/>
                <w:shd w:val="clear" w:color="auto" w:fill="FFFFFF"/>
                <w:lang w:val="es-CO"/>
              </w:rPr>
            </w:pPr>
          </w:p>
          <w:p w14:paraId="2093EE8C"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Figura </w:t>
            </w:r>
            <w:r w:rsidRPr="000B180A">
              <w:rPr>
                <w:rFonts w:ascii="Arial Narrow" w:hAnsi="Arial Narrow" w:cs="Arial"/>
                <w:sz w:val="24"/>
                <w:szCs w:val="24"/>
                <w:shd w:val="clear" w:color="auto" w:fill="FFFFFF"/>
                <w:lang w:val="es-CO"/>
              </w:rPr>
              <w:fldChar w:fldCharType="begin"/>
            </w:r>
            <w:r w:rsidRPr="000B180A">
              <w:rPr>
                <w:rFonts w:ascii="Arial Narrow" w:hAnsi="Arial Narrow" w:cs="Arial"/>
                <w:sz w:val="24"/>
                <w:szCs w:val="24"/>
                <w:shd w:val="clear" w:color="auto" w:fill="FFFFFF"/>
                <w:lang w:val="es-CO"/>
              </w:rPr>
              <w:instrText xml:space="preserve"> SEQ Figura \* ARABIC </w:instrText>
            </w:r>
            <w:r w:rsidRPr="000B180A">
              <w:rPr>
                <w:rFonts w:ascii="Arial Narrow" w:hAnsi="Arial Narrow" w:cs="Arial"/>
                <w:sz w:val="24"/>
                <w:szCs w:val="24"/>
                <w:shd w:val="clear" w:color="auto" w:fill="FFFFFF"/>
                <w:lang w:val="es-CO"/>
              </w:rPr>
              <w:fldChar w:fldCharType="separate"/>
            </w:r>
            <w:r w:rsidRPr="000B180A">
              <w:rPr>
                <w:rFonts w:ascii="Arial Narrow" w:hAnsi="Arial Narrow" w:cs="Arial"/>
                <w:noProof/>
                <w:sz w:val="24"/>
                <w:szCs w:val="24"/>
                <w:shd w:val="clear" w:color="auto" w:fill="FFFFFF"/>
                <w:lang w:val="es-CO"/>
              </w:rPr>
              <w:t>8</w:t>
            </w:r>
            <w:r w:rsidRPr="000B180A">
              <w:rPr>
                <w:rFonts w:ascii="Arial Narrow" w:hAnsi="Arial Narrow" w:cs="Arial"/>
                <w:sz w:val="24"/>
                <w:szCs w:val="24"/>
                <w:shd w:val="clear" w:color="auto" w:fill="FFFFFF"/>
                <w:lang w:val="es-CO"/>
              </w:rPr>
              <w:fldChar w:fldCharType="end"/>
            </w:r>
            <w:r w:rsidRPr="000B180A">
              <w:rPr>
                <w:rFonts w:ascii="Arial Narrow" w:hAnsi="Arial Narrow" w:cs="Arial"/>
                <w:sz w:val="24"/>
                <w:szCs w:val="24"/>
                <w:shd w:val="clear" w:color="auto" w:fill="FFFFFF"/>
                <w:lang w:val="es-CO"/>
              </w:rPr>
              <w:t xml:space="preserve"> Velocidad media del viento y Densidad de potencia eólica media a una altura de 100 metros</w:t>
            </w:r>
          </w:p>
          <w:p w14:paraId="6633321F" w14:textId="77777777" w:rsidR="00072956" w:rsidRPr="000B180A" w:rsidRDefault="00072956" w:rsidP="007F5995">
            <w:pPr>
              <w:jc w:val="center"/>
              <w:rPr>
                <w:rFonts w:ascii="Arial Narrow" w:hAnsi="Arial Narrow"/>
                <w:lang w:val="es-CO"/>
              </w:rPr>
            </w:pPr>
            <w:r w:rsidRPr="000B180A">
              <w:rPr>
                <w:rFonts w:ascii="Arial Narrow" w:hAnsi="Arial Narrow"/>
                <w:noProof/>
                <w:lang w:val="es-CO"/>
              </w:rPr>
              <w:drawing>
                <wp:inline distT="0" distB="0" distL="0" distR="0" wp14:anchorId="207DA5C9" wp14:editId="344CE02D">
                  <wp:extent cx="6585985" cy="4060202"/>
                  <wp:effectExtent l="0" t="0" r="5715" b="0"/>
                  <wp:docPr id="475333694" name="Imagen 6"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333694" name="Imagen 6" descr="Mapa&#10;&#10;El contenido generado por IA puede ser incorrect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96066" cy="4066417"/>
                          </a:xfrm>
                          <a:prstGeom prst="rect">
                            <a:avLst/>
                          </a:prstGeom>
                          <a:noFill/>
                        </pic:spPr>
                      </pic:pic>
                    </a:graphicData>
                  </a:graphic>
                </wp:inline>
              </w:drawing>
            </w:r>
          </w:p>
          <w:p w14:paraId="5516B11E" w14:textId="77777777" w:rsidR="00072956" w:rsidRPr="000B180A" w:rsidRDefault="00072956" w:rsidP="007F5995">
            <w:pPr>
              <w:ind w:left="720"/>
              <w:jc w:val="center"/>
              <w:rPr>
                <w:rFonts w:ascii="Arial Narrow" w:hAnsi="Arial Narrow"/>
                <w:sz w:val="22"/>
                <w:szCs w:val="22"/>
                <w:lang w:val="en-US"/>
              </w:rPr>
            </w:pPr>
            <w:r w:rsidRPr="000B180A">
              <w:rPr>
                <w:rFonts w:ascii="Arial Narrow" w:hAnsi="Arial Narrow"/>
                <w:sz w:val="22"/>
                <w:szCs w:val="22"/>
                <w:lang w:val="en-US"/>
              </w:rPr>
              <w:t xml:space="preserve">Fuente: Global Wind Atlas (GWA, 2023)- </w:t>
            </w:r>
            <w:hyperlink r:id="rId16" w:history="1">
              <w:r w:rsidRPr="000B180A">
                <w:rPr>
                  <w:rStyle w:val="Hipervnculo"/>
                  <w:rFonts w:ascii="Arial Narrow" w:hAnsi="Arial Narrow"/>
                  <w:color w:val="auto"/>
                  <w:sz w:val="22"/>
                  <w:szCs w:val="22"/>
                  <w:lang w:val="en-US"/>
                </w:rPr>
                <w:t>https://globalwindatlas.info/es/area/Colombia</w:t>
              </w:r>
            </w:hyperlink>
          </w:p>
          <w:p w14:paraId="6295AE47" w14:textId="77777777" w:rsidR="00072956" w:rsidRPr="000B180A" w:rsidRDefault="00072956" w:rsidP="007F5995">
            <w:pPr>
              <w:ind w:left="720"/>
              <w:jc w:val="both"/>
              <w:rPr>
                <w:rFonts w:ascii="Arial Narrow" w:hAnsi="Arial Narrow" w:cs="Arial"/>
                <w:sz w:val="24"/>
                <w:szCs w:val="24"/>
                <w:shd w:val="clear" w:color="auto" w:fill="FFFFFF"/>
                <w:lang w:val="en-US"/>
              </w:rPr>
            </w:pPr>
          </w:p>
          <w:p w14:paraId="234BC697" w14:textId="77777777" w:rsidR="00072956" w:rsidRPr="000B180A" w:rsidRDefault="00072956" w:rsidP="007F5995">
            <w:pPr>
              <w:jc w:val="both"/>
              <w:rPr>
                <w:rFonts w:ascii="Arial Narrow" w:hAnsi="Arial Narrow" w:cs="Arial"/>
                <w:sz w:val="24"/>
                <w:szCs w:val="24"/>
                <w:shd w:val="clear" w:color="auto" w:fill="FFFFFF"/>
              </w:rPr>
            </w:pPr>
            <w:r w:rsidRPr="000B180A">
              <w:rPr>
                <w:rFonts w:ascii="Arial Narrow" w:hAnsi="Arial Narrow" w:cs="Arial"/>
                <w:sz w:val="24"/>
                <w:szCs w:val="24"/>
                <w:shd w:val="clear" w:color="auto" w:fill="FFFFFF"/>
                <w:lang w:val="es-CO"/>
              </w:rPr>
              <w:t xml:space="preserve">En ese sentido, el departamento de La Guajira se destaca como la zona con mayor potencial eólico del país, tanto por sus altas velocidades de viento como por su elevada densidad de potencia eólica, </w:t>
            </w:r>
            <w:r w:rsidRPr="000B180A">
              <w:rPr>
                <w:rFonts w:ascii="Arial Narrow" w:hAnsi="Arial Narrow" w:cs="Arial"/>
                <w:sz w:val="24"/>
                <w:szCs w:val="24"/>
                <w:shd w:val="clear" w:color="auto" w:fill="FFFFFF"/>
              </w:rPr>
              <w:t>evidenciado con los múltiples proyectos eólicos en operación y en etapa de construcción en esta región. La siguiente figura permite hacer zoom sobre este departamento:</w:t>
            </w:r>
          </w:p>
          <w:p w14:paraId="2D0E5ECE" w14:textId="77777777" w:rsidR="00072956" w:rsidRPr="000B180A" w:rsidRDefault="00072956" w:rsidP="007F5995">
            <w:pPr>
              <w:jc w:val="both"/>
              <w:rPr>
                <w:rFonts w:ascii="Arial Narrow" w:hAnsi="Arial Narrow" w:cs="Arial"/>
                <w:sz w:val="24"/>
                <w:szCs w:val="24"/>
                <w:shd w:val="clear" w:color="auto" w:fill="FFFFFF"/>
                <w:lang w:val="es-CO"/>
              </w:rPr>
            </w:pPr>
          </w:p>
          <w:p w14:paraId="1B57D769" w14:textId="77777777" w:rsidR="00072956" w:rsidRPr="000B180A" w:rsidRDefault="00072956" w:rsidP="007F5995">
            <w:pPr>
              <w:jc w:val="center"/>
              <w:rPr>
                <w:rFonts w:ascii="Arial Narrow" w:hAnsi="Arial Narrow" w:cs="Arial"/>
                <w:sz w:val="24"/>
                <w:szCs w:val="24"/>
                <w:shd w:val="clear" w:color="auto" w:fill="FFFFFF"/>
                <w:lang w:val="es-CO"/>
              </w:rPr>
            </w:pPr>
          </w:p>
          <w:p w14:paraId="13EF9111" w14:textId="77777777" w:rsidR="00072956" w:rsidRPr="000B180A" w:rsidRDefault="00072956" w:rsidP="007F5995">
            <w:pPr>
              <w:jc w:val="center"/>
              <w:rPr>
                <w:rFonts w:ascii="Arial Narrow" w:hAnsi="Arial Narrow" w:cs="Arial"/>
                <w:sz w:val="24"/>
                <w:szCs w:val="24"/>
                <w:shd w:val="clear" w:color="auto" w:fill="FFFFFF"/>
                <w:lang w:val="es-CO"/>
              </w:rPr>
            </w:pPr>
          </w:p>
          <w:p w14:paraId="689CFC4F" w14:textId="77777777" w:rsidR="00072956" w:rsidRPr="000B180A" w:rsidRDefault="00072956" w:rsidP="007F5995">
            <w:pPr>
              <w:jc w:val="center"/>
              <w:rPr>
                <w:rFonts w:ascii="Arial Narrow" w:hAnsi="Arial Narrow" w:cs="Arial"/>
                <w:sz w:val="24"/>
                <w:szCs w:val="24"/>
                <w:shd w:val="clear" w:color="auto" w:fill="FFFFFF"/>
                <w:lang w:val="es-CO"/>
              </w:rPr>
            </w:pPr>
          </w:p>
          <w:p w14:paraId="6988594F" w14:textId="77777777" w:rsidR="00072956" w:rsidRPr="000B180A" w:rsidRDefault="00072956" w:rsidP="007F5995">
            <w:pPr>
              <w:jc w:val="center"/>
              <w:rPr>
                <w:rFonts w:ascii="Arial Narrow" w:hAnsi="Arial Narrow" w:cs="Arial"/>
                <w:sz w:val="24"/>
                <w:szCs w:val="24"/>
                <w:shd w:val="clear" w:color="auto" w:fill="FFFFFF"/>
                <w:lang w:val="es-CO"/>
              </w:rPr>
            </w:pPr>
          </w:p>
          <w:p w14:paraId="2ED71A25" w14:textId="77777777" w:rsidR="00072956" w:rsidRPr="000B180A" w:rsidRDefault="00072956" w:rsidP="007F5995">
            <w:pPr>
              <w:jc w:val="center"/>
              <w:rPr>
                <w:rFonts w:ascii="Arial Narrow" w:hAnsi="Arial Narrow" w:cs="Arial"/>
                <w:sz w:val="24"/>
                <w:szCs w:val="24"/>
                <w:shd w:val="clear" w:color="auto" w:fill="FFFFFF"/>
                <w:lang w:val="es-CO"/>
              </w:rPr>
            </w:pPr>
          </w:p>
          <w:p w14:paraId="0D12CD3E" w14:textId="77777777" w:rsidR="00072956" w:rsidRPr="000B180A" w:rsidRDefault="00072956" w:rsidP="007F5995">
            <w:pPr>
              <w:jc w:val="center"/>
              <w:rPr>
                <w:rFonts w:ascii="Arial Narrow" w:hAnsi="Arial Narrow" w:cs="Arial"/>
                <w:sz w:val="24"/>
                <w:szCs w:val="24"/>
                <w:shd w:val="clear" w:color="auto" w:fill="FFFFFF"/>
                <w:lang w:val="es-CO"/>
              </w:rPr>
            </w:pPr>
          </w:p>
          <w:p w14:paraId="25588829" w14:textId="77777777" w:rsidR="00072956" w:rsidRPr="000B180A" w:rsidRDefault="00072956" w:rsidP="007F5995">
            <w:pPr>
              <w:jc w:val="center"/>
              <w:rPr>
                <w:rFonts w:ascii="Arial Narrow" w:hAnsi="Arial Narrow" w:cs="Arial"/>
                <w:sz w:val="24"/>
                <w:szCs w:val="24"/>
                <w:shd w:val="clear" w:color="auto" w:fill="FFFFFF"/>
                <w:lang w:val="es-CO"/>
              </w:rPr>
            </w:pPr>
          </w:p>
          <w:p w14:paraId="506C4F0E" w14:textId="77777777" w:rsidR="00072956" w:rsidRPr="000B180A" w:rsidRDefault="00072956" w:rsidP="007F5995">
            <w:pPr>
              <w:jc w:val="center"/>
              <w:rPr>
                <w:rFonts w:ascii="Arial Narrow" w:hAnsi="Arial Narrow" w:cs="Arial"/>
                <w:sz w:val="24"/>
                <w:szCs w:val="24"/>
                <w:shd w:val="clear" w:color="auto" w:fill="FFFFFF"/>
                <w:lang w:val="es-CO"/>
              </w:rPr>
            </w:pPr>
          </w:p>
          <w:p w14:paraId="6621B4D5" w14:textId="77777777" w:rsidR="00072956" w:rsidRPr="000B180A" w:rsidRDefault="00072956" w:rsidP="007F5995">
            <w:pPr>
              <w:jc w:val="center"/>
              <w:rPr>
                <w:rFonts w:ascii="Arial Narrow" w:hAnsi="Arial Narrow" w:cs="Arial"/>
                <w:sz w:val="24"/>
                <w:szCs w:val="24"/>
                <w:shd w:val="clear" w:color="auto" w:fill="FFFFFF"/>
                <w:lang w:val="es-CO"/>
              </w:rPr>
            </w:pPr>
          </w:p>
          <w:p w14:paraId="36234D09" w14:textId="77777777" w:rsidR="00072956" w:rsidRPr="000B180A" w:rsidRDefault="00072956" w:rsidP="007F5995">
            <w:pPr>
              <w:jc w:val="center"/>
              <w:rPr>
                <w:rFonts w:ascii="Arial Narrow" w:hAnsi="Arial Narrow" w:cs="Arial"/>
                <w:sz w:val="24"/>
                <w:szCs w:val="24"/>
                <w:shd w:val="clear" w:color="auto" w:fill="FFFFFF"/>
                <w:lang w:val="es-CO"/>
              </w:rPr>
            </w:pPr>
          </w:p>
          <w:p w14:paraId="034F1D34" w14:textId="77777777" w:rsidR="00072956" w:rsidRPr="000B180A" w:rsidRDefault="00072956" w:rsidP="007F5995">
            <w:pPr>
              <w:jc w:val="center"/>
              <w:rPr>
                <w:rFonts w:ascii="Arial Narrow" w:hAnsi="Arial Narrow" w:cs="Arial"/>
                <w:sz w:val="24"/>
                <w:szCs w:val="24"/>
                <w:shd w:val="clear" w:color="auto" w:fill="FFFFFF"/>
                <w:lang w:val="es-CO"/>
              </w:rPr>
            </w:pPr>
          </w:p>
          <w:p w14:paraId="0D1FF995" w14:textId="77777777" w:rsidR="00072956" w:rsidRPr="000B180A" w:rsidRDefault="00072956" w:rsidP="007F5995">
            <w:pPr>
              <w:rPr>
                <w:rFonts w:ascii="Arial Narrow" w:hAnsi="Arial Narrow" w:cs="Arial"/>
                <w:sz w:val="24"/>
                <w:szCs w:val="24"/>
                <w:shd w:val="clear" w:color="auto" w:fill="FFFFFF"/>
                <w:lang w:val="es-CO"/>
              </w:rPr>
            </w:pPr>
          </w:p>
          <w:p w14:paraId="1EB68A9F"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Figura </w:t>
            </w:r>
            <w:r w:rsidRPr="000B180A">
              <w:rPr>
                <w:rFonts w:ascii="Arial Narrow" w:hAnsi="Arial Narrow" w:cs="Arial"/>
                <w:sz w:val="24"/>
                <w:szCs w:val="24"/>
                <w:shd w:val="clear" w:color="auto" w:fill="FFFFFF"/>
                <w:lang w:val="es-CO"/>
              </w:rPr>
              <w:fldChar w:fldCharType="begin"/>
            </w:r>
            <w:r w:rsidRPr="000B180A">
              <w:rPr>
                <w:rFonts w:ascii="Arial Narrow" w:hAnsi="Arial Narrow" w:cs="Arial"/>
                <w:sz w:val="24"/>
                <w:szCs w:val="24"/>
                <w:shd w:val="clear" w:color="auto" w:fill="FFFFFF"/>
                <w:lang w:val="es-CO"/>
              </w:rPr>
              <w:instrText xml:space="preserve"> SEQ Figura \* ARABIC </w:instrText>
            </w:r>
            <w:r w:rsidRPr="000B180A">
              <w:rPr>
                <w:rFonts w:ascii="Arial Narrow" w:hAnsi="Arial Narrow" w:cs="Arial"/>
                <w:sz w:val="24"/>
                <w:szCs w:val="24"/>
                <w:shd w:val="clear" w:color="auto" w:fill="FFFFFF"/>
                <w:lang w:val="es-CO"/>
              </w:rPr>
              <w:fldChar w:fldCharType="separate"/>
            </w:r>
            <w:r w:rsidRPr="000B180A">
              <w:rPr>
                <w:rFonts w:ascii="Arial Narrow" w:hAnsi="Arial Narrow" w:cs="Arial"/>
                <w:noProof/>
                <w:sz w:val="24"/>
                <w:szCs w:val="24"/>
                <w:shd w:val="clear" w:color="auto" w:fill="FFFFFF"/>
                <w:lang w:val="es-CO"/>
              </w:rPr>
              <w:t>9</w:t>
            </w:r>
            <w:r w:rsidRPr="000B180A">
              <w:rPr>
                <w:rFonts w:ascii="Arial Narrow" w:hAnsi="Arial Narrow" w:cs="Arial"/>
                <w:sz w:val="24"/>
                <w:szCs w:val="24"/>
                <w:shd w:val="clear" w:color="auto" w:fill="FFFFFF"/>
                <w:lang w:val="es-CO"/>
              </w:rPr>
              <w:fldChar w:fldCharType="end"/>
            </w:r>
            <w:r w:rsidRPr="000B180A">
              <w:rPr>
                <w:rFonts w:ascii="Arial Narrow" w:hAnsi="Arial Narrow" w:cs="Arial"/>
                <w:sz w:val="24"/>
                <w:szCs w:val="24"/>
                <w:shd w:val="clear" w:color="auto" w:fill="FFFFFF"/>
                <w:lang w:val="es-CO"/>
              </w:rPr>
              <w:t xml:space="preserve"> Densidad de potencia eólica media del departamento de La Guajira</w:t>
            </w:r>
          </w:p>
          <w:p w14:paraId="5BF0B6CA"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noProof/>
                <w:sz w:val="24"/>
                <w:szCs w:val="24"/>
                <w:shd w:val="clear" w:color="auto" w:fill="FFFFFF"/>
                <w:lang w:val="es-CO"/>
              </w:rPr>
              <w:drawing>
                <wp:inline distT="0" distB="0" distL="0" distR="0" wp14:anchorId="36FB1DAB" wp14:editId="0440FC76">
                  <wp:extent cx="3662784" cy="4533900"/>
                  <wp:effectExtent l="0" t="0" r="0" b="0"/>
                  <wp:docPr id="1352921356" name="Imagen 8"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21356" name="Imagen 8" descr="Mapa&#10;&#10;El contenido generado por IA puede ser incorrecto."/>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37572"/>
                          <a:stretch>
                            <a:fillRect/>
                          </a:stretch>
                        </pic:blipFill>
                        <pic:spPr bwMode="auto">
                          <a:xfrm>
                            <a:off x="0" y="0"/>
                            <a:ext cx="3664889" cy="4536506"/>
                          </a:xfrm>
                          <a:prstGeom prst="rect">
                            <a:avLst/>
                          </a:prstGeom>
                          <a:noFill/>
                          <a:ln>
                            <a:noFill/>
                          </a:ln>
                          <a:extLst>
                            <a:ext uri="{53640926-AAD7-44D8-BBD7-CCE9431645EC}">
                              <a14:shadowObscured xmlns:a14="http://schemas.microsoft.com/office/drawing/2010/main"/>
                            </a:ext>
                          </a:extLst>
                        </pic:spPr>
                      </pic:pic>
                    </a:graphicData>
                  </a:graphic>
                </wp:inline>
              </w:drawing>
            </w:r>
          </w:p>
          <w:p w14:paraId="3CA14773" w14:textId="77777777" w:rsidR="00072956" w:rsidRPr="000B180A" w:rsidRDefault="00072956" w:rsidP="007F5995">
            <w:pPr>
              <w:jc w:val="center"/>
              <w:rPr>
                <w:rFonts w:ascii="Arial Narrow" w:hAnsi="Arial Narrow" w:cs="Arial"/>
                <w:sz w:val="28"/>
                <w:szCs w:val="28"/>
                <w:shd w:val="clear" w:color="auto" w:fill="FFFFFF"/>
                <w:lang w:val="en-US"/>
              </w:rPr>
            </w:pPr>
            <w:r w:rsidRPr="000B180A">
              <w:rPr>
                <w:rFonts w:ascii="Arial Narrow" w:hAnsi="Arial Narrow"/>
                <w:sz w:val="22"/>
                <w:szCs w:val="22"/>
                <w:lang w:val="en-US"/>
              </w:rPr>
              <w:t>Fuente: Global Wind Atlas (GWA, 2023)</w:t>
            </w:r>
          </w:p>
          <w:p w14:paraId="123EE3B1" w14:textId="77777777" w:rsidR="00072956" w:rsidRPr="000B180A" w:rsidRDefault="00072956" w:rsidP="007F5995">
            <w:pPr>
              <w:jc w:val="both"/>
              <w:rPr>
                <w:rFonts w:ascii="Arial Narrow" w:hAnsi="Arial Narrow" w:cs="Arial"/>
                <w:sz w:val="24"/>
                <w:szCs w:val="24"/>
                <w:shd w:val="clear" w:color="auto" w:fill="FFFFFF"/>
                <w:lang w:val="en-US"/>
              </w:rPr>
            </w:pPr>
          </w:p>
          <w:p w14:paraId="11B1B9C5" w14:textId="77777777" w:rsidR="00072956" w:rsidRPr="000B180A" w:rsidRDefault="00072956" w:rsidP="007F5995">
            <w:pPr>
              <w:jc w:val="both"/>
              <w:rPr>
                <w:rFonts w:ascii="Arial Narrow" w:hAnsi="Arial Narrow" w:cs="Arial"/>
                <w:sz w:val="24"/>
                <w:szCs w:val="24"/>
                <w:shd w:val="clear" w:color="auto" w:fill="FFFFFF"/>
                <w:lang w:val="en-US"/>
              </w:rPr>
            </w:pPr>
          </w:p>
          <w:p w14:paraId="6A308472" w14:textId="77777777"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De acuerdo con el tablero de jerarquización de impactos disponible en el portal WEB de la ANLA y su categoría estandarizada de impactos (CEI), los proyectos licenciados para el sector energía - subsector eólico - reportan 22 posibles impactos. </w:t>
            </w:r>
            <w:bookmarkStart w:id="9" w:name="_Ref190781946"/>
          </w:p>
          <w:p w14:paraId="6255E6FF" w14:textId="77777777" w:rsidR="00072956" w:rsidRPr="000B180A" w:rsidRDefault="00072956" w:rsidP="007F5995">
            <w:pPr>
              <w:jc w:val="both"/>
              <w:rPr>
                <w:rFonts w:ascii="Arial Narrow" w:hAnsi="Arial Narrow" w:cs="Arial"/>
                <w:sz w:val="24"/>
                <w:szCs w:val="24"/>
                <w:shd w:val="clear" w:color="auto" w:fill="FFFFFF"/>
                <w:lang w:val="es-CO"/>
              </w:rPr>
            </w:pPr>
          </w:p>
          <w:p w14:paraId="148BBFD2" w14:textId="77777777" w:rsidR="00072956" w:rsidRPr="000B180A" w:rsidRDefault="00072956" w:rsidP="007F5995">
            <w:pPr>
              <w:jc w:val="both"/>
              <w:rPr>
                <w:rFonts w:ascii="Arial Narrow" w:hAnsi="Arial Narrow" w:cs="Arial"/>
                <w:sz w:val="24"/>
                <w:szCs w:val="24"/>
                <w:shd w:val="clear" w:color="auto" w:fill="FFFFFF"/>
                <w:lang w:val="es-CO"/>
              </w:rPr>
            </w:pPr>
          </w:p>
          <w:p w14:paraId="504AA671" w14:textId="77777777" w:rsidR="00072956" w:rsidRPr="000B180A" w:rsidRDefault="00072956" w:rsidP="007F5995">
            <w:pPr>
              <w:jc w:val="both"/>
              <w:rPr>
                <w:rFonts w:ascii="Arial Narrow" w:hAnsi="Arial Narrow" w:cs="Arial"/>
                <w:sz w:val="24"/>
                <w:szCs w:val="24"/>
                <w:shd w:val="clear" w:color="auto" w:fill="FFFFFF"/>
                <w:lang w:val="es-CO"/>
              </w:rPr>
            </w:pPr>
          </w:p>
          <w:p w14:paraId="5AE01E02" w14:textId="77777777" w:rsidR="00072956" w:rsidRPr="000B180A" w:rsidRDefault="00072956" w:rsidP="007F5995">
            <w:pPr>
              <w:jc w:val="both"/>
              <w:rPr>
                <w:rFonts w:ascii="Arial Narrow" w:hAnsi="Arial Narrow" w:cs="Arial"/>
                <w:sz w:val="24"/>
                <w:szCs w:val="24"/>
                <w:shd w:val="clear" w:color="auto" w:fill="FFFFFF"/>
                <w:lang w:val="es-CO"/>
              </w:rPr>
            </w:pPr>
          </w:p>
          <w:p w14:paraId="62EC0E36" w14:textId="77777777" w:rsidR="00072956" w:rsidRPr="000B180A" w:rsidRDefault="00072956" w:rsidP="007F5995">
            <w:pPr>
              <w:jc w:val="both"/>
              <w:rPr>
                <w:rFonts w:ascii="Arial Narrow" w:hAnsi="Arial Narrow" w:cs="Arial"/>
                <w:sz w:val="24"/>
                <w:szCs w:val="24"/>
                <w:shd w:val="clear" w:color="auto" w:fill="FFFFFF"/>
                <w:lang w:val="es-CO"/>
              </w:rPr>
            </w:pPr>
          </w:p>
          <w:p w14:paraId="14EA2581" w14:textId="77777777" w:rsidR="00072956" w:rsidRPr="000B180A" w:rsidRDefault="00072956" w:rsidP="007F5995">
            <w:pPr>
              <w:jc w:val="both"/>
              <w:rPr>
                <w:rFonts w:ascii="Arial Narrow" w:hAnsi="Arial Narrow" w:cs="Arial"/>
                <w:sz w:val="24"/>
                <w:szCs w:val="24"/>
                <w:shd w:val="clear" w:color="auto" w:fill="FFFFFF"/>
                <w:lang w:val="es-CO"/>
              </w:rPr>
            </w:pPr>
          </w:p>
          <w:p w14:paraId="75AD9150" w14:textId="77777777" w:rsidR="00072956" w:rsidRPr="000B180A" w:rsidRDefault="00072956" w:rsidP="007F5995">
            <w:pPr>
              <w:jc w:val="both"/>
              <w:rPr>
                <w:rFonts w:ascii="Arial Narrow" w:hAnsi="Arial Narrow" w:cs="Arial"/>
                <w:sz w:val="24"/>
                <w:szCs w:val="24"/>
                <w:shd w:val="clear" w:color="auto" w:fill="FFFFFF"/>
                <w:lang w:val="es-CO"/>
              </w:rPr>
            </w:pPr>
          </w:p>
          <w:p w14:paraId="1EACA6E5" w14:textId="77777777" w:rsidR="00072956" w:rsidRPr="000B180A" w:rsidRDefault="00072956" w:rsidP="007F5995">
            <w:pPr>
              <w:jc w:val="both"/>
              <w:rPr>
                <w:rFonts w:ascii="Arial Narrow" w:hAnsi="Arial Narrow" w:cs="Arial"/>
                <w:sz w:val="24"/>
                <w:szCs w:val="24"/>
                <w:shd w:val="clear" w:color="auto" w:fill="FFFFFF"/>
                <w:lang w:val="es-CO"/>
              </w:rPr>
            </w:pPr>
          </w:p>
          <w:p w14:paraId="608B6A58" w14:textId="77777777" w:rsidR="00072956" w:rsidRPr="000B180A" w:rsidRDefault="00072956" w:rsidP="007F5995">
            <w:pPr>
              <w:jc w:val="both"/>
              <w:rPr>
                <w:rFonts w:ascii="Arial Narrow" w:hAnsi="Arial Narrow" w:cs="Arial"/>
                <w:sz w:val="24"/>
                <w:szCs w:val="24"/>
                <w:shd w:val="clear" w:color="auto" w:fill="FFFFFF"/>
                <w:lang w:val="es-CO"/>
              </w:rPr>
            </w:pPr>
          </w:p>
          <w:p w14:paraId="5F7B92ED" w14:textId="77777777" w:rsidR="00072956" w:rsidRPr="000B180A" w:rsidRDefault="00072956" w:rsidP="007F5995">
            <w:pPr>
              <w:jc w:val="both"/>
              <w:rPr>
                <w:rFonts w:ascii="Arial Narrow" w:hAnsi="Arial Narrow" w:cs="Arial"/>
                <w:sz w:val="24"/>
                <w:szCs w:val="24"/>
                <w:shd w:val="clear" w:color="auto" w:fill="FFFFFF"/>
                <w:lang w:val="es-CO"/>
              </w:rPr>
            </w:pPr>
          </w:p>
          <w:p w14:paraId="22C06996"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Figura </w:t>
            </w:r>
            <w:r w:rsidRPr="000B180A">
              <w:rPr>
                <w:rFonts w:ascii="Arial Narrow" w:hAnsi="Arial Narrow" w:cs="Arial"/>
                <w:sz w:val="24"/>
                <w:szCs w:val="24"/>
                <w:shd w:val="clear" w:color="auto" w:fill="FFFFFF"/>
                <w:lang w:val="es-CO"/>
              </w:rPr>
              <w:fldChar w:fldCharType="begin"/>
            </w:r>
            <w:r w:rsidRPr="000B180A">
              <w:rPr>
                <w:rFonts w:ascii="Arial Narrow" w:hAnsi="Arial Narrow" w:cs="Arial"/>
                <w:sz w:val="24"/>
                <w:szCs w:val="24"/>
                <w:shd w:val="clear" w:color="auto" w:fill="FFFFFF"/>
                <w:lang w:val="es-CO"/>
              </w:rPr>
              <w:instrText xml:space="preserve"> SEQ Figura \* ARABIC </w:instrText>
            </w:r>
            <w:r w:rsidRPr="000B180A">
              <w:rPr>
                <w:rFonts w:ascii="Arial Narrow" w:hAnsi="Arial Narrow" w:cs="Arial"/>
                <w:sz w:val="24"/>
                <w:szCs w:val="24"/>
                <w:shd w:val="clear" w:color="auto" w:fill="FFFFFF"/>
                <w:lang w:val="es-CO"/>
              </w:rPr>
              <w:fldChar w:fldCharType="separate"/>
            </w:r>
            <w:r w:rsidRPr="000B180A">
              <w:rPr>
                <w:rFonts w:ascii="Arial Narrow" w:hAnsi="Arial Narrow" w:cs="Arial"/>
                <w:noProof/>
                <w:sz w:val="24"/>
                <w:szCs w:val="24"/>
                <w:shd w:val="clear" w:color="auto" w:fill="FFFFFF"/>
                <w:lang w:val="es-CO"/>
              </w:rPr>
              <w:t>10</w:t>
            </w:r>
            <w:r w:rsidRPr="000B180A">
              <w:rPr>
                <w:rFonts w:ascii="Arial Narrow" w:hAnsi="Arial Narrow" w:cs="Arial"/>
                <w:sz w:val="24"/>
                <w:szCs w:val="24"/>
                <w:shd w:val="clear" w:color="auto" w:fill="FFFFFF"/>
                <w:lang w:val="es-CO"/>
              </w:rPr>
              <w:fldChar w:fldCharType="end"/>
            </w:r>
            <w:bookmarkEnd w:id="9"/>
            <w:r w:rsidRPr="000B180A">
              <w:rPr>
                <w:rFonts w:ascii="Arial Narrow" w:hAnsi="Arial Narrow" w:cs="Arial"/>
                <w:sz w:val="24"/>
                <w:szCs w:val="24"/>
                <w:shd w:val="clear" w:color="auto" w:fill="FFFFFF"/>
                <w:lang w:val="es-CO"/>
              </w:rPr>
              <w:t xml:space="preserve"> Frecuencia de CEI identificados en proyectos licenciados para el sector energía - subsector eólica</w:t>
            </w:r>
          </w:p>
          <w:p w14:paraId="4A9F7104"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noProof/>
                <w:sz w:val="24"/>
                <w:szCs w:val="24"/>
                <w:shd w:val="clear" w:color="auto" w:fill="FFFFFF"/>
                <w:lang w:val="es-CO"/>
              </w:rPr>
              <mc:AlternateContent>
                <mc:Choice Requires="wps">
                  <w:drawing>
                    <wp:inline distT="0" distB="0" distL="0" distR="0" wp14:anchorId="6138A317" wp14:editId="54D584FE">
                      <wp:extent cx="304800" cy="304800"/>
                      <wp:effectExtent l="0" t="0" r="0" b="0"/>
                      <wp:docPr id="1127771012" name="Rectángulo 1" descr="Imagen de salid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515A14" id="Rectángulo 1" o:spid="_x0000_s1026" alt="Imagen de salid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0B180A">
              <w:rPr>
                <w:rFonts w:ascii="Arial Narrow" w:hAnsi="Arial Narrow" w:cs="Arial"/>
                <w:sz w:val="24"/>
                <w:szCs w:val="24"/>
                <w:shd w:val="clear" w:color="auto" w:fill="FFFFFF"/>
                <w:lang w:val="es-CO"/>
              </w:rPr>
              <w:t xml:space="preserve"> </w:t>
            </w:r>
            <w:r w:rsidRPr="000B180A">
              <w:rPr>
                <w:rFonts w:ascii="Arial Narrow" w:hAnsi="Arial Narrow" w:cs="Arial"/>
                <w:noProof/>
                <w:sz w:val="24"/>
                <w:szCs w:val="24"/>
                <w:shd w:val="clear" w:color="auto" w:fill="FFFFFF"/>
                <w:lang w:val="es-CO"/>
              </w:rPr>
              <w:drawing>
                <wp:inline distT="0" distB="0" distL="0" distR="0" wp14:anchorId="1E5BE3BC" wp14:editId="4C21F3BD">
                  <wp:extent cx="6301105" cy="3617595"/>
                  <wp:effectExtent l="0" t="0" r="4445" b="1905"/>
                  <wp:docPr id="1899225407" name="Imagen 1" descr="Tabla, Exce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225407" name="Imagen 1" descr="Tabla, Excel&#10;&#10;El contenido generado por IA puede ser incorrecto."/>
                          <pic:cNvPicPr/>
                        </pic:nvPicPr>
                        <pic:blipFill rotWithShape="1">
                          <a:blip r:embed="rId18">
                            <a:extLst>
                              <a:ext uri="{BEBA8EAE-BF5A-486C-A8C5-ECC9F3942E4B}">
                                <a14:imgProps xmlns:a14="http://schemas.microsoft.com/office/drawing/2010/main">
                                  <a14:imgLayer r:embed="rId19">
                                    <a14:imgEffect>
                                      <a14:sharpenSoften amount="50000"/>
                                    </a14:imgEffect>
                                  </a14:imgLayer>
                                </a14:imgProps>
                              </a:ext>
                            </a:extLst>
                          </a:blip>
                          <a:srcRect t="1554" b="-1"/>
                          <a:stretch>
                            <a:fillRect/>
                          </a:stretch>
                        </pic:blipFill>
                        <pic:spPr bwMode="auto">
                          <a:xfrm>
                            <a:off x="0" y="0"/>
                            <a:ext cx="6301105" cy="3617595"/>
                          </a:xfrm>
                          <a:prstGeom prst="rect">
                            <a:avLst/>
                          </a:prstGeom>
                          <a:ln>
                            <a:noFill/>
                          </a:ln>
                          <a:extLst>
                            <a:ext uri="{53640926-AAD7-44D8-BBD7-CCE9431645EC}">
                              <a14:shadowObscured xmlns:a14="http://schemas.microsoft.com/office/drawing/2010/main"/>
                            </a:ext>
                          </a:extLst>
                        </pic:spPr>
                      </pic:pic>
                    </a:graphicData>
                  </a:graphic>
                </wp:inline>
              </w:drawing>
            </w:r>
            <w:r w:rsidRPr="000B180A">
              <w:rPr>
                <w:rFonts w:ascii="Arial Narrow" w:hAnsi="Arial Narrow"/>
                <w:sz w:val="24"/>
                <w:szCs w:val="24"/>
                <w:shd w:val="clear" w:color="auto" w:fill="FFFFFF"/>
              </w:rPr>
              <w:t>Fuente: Estandarización y jerarquización de impactos ambientales de proyectos licenciados por ANLA (2023).</w:t>
            </w:r>
          </w:p>
          <w:p w14:paraId="61BF71E7"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p>
          <w:p w14:paraId="0881A7C1" w14:textId="2DA95FE1"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 xml:space="preserve">De acuerdo con los impactos identificados en proyectos eólicos en </w:t>
            </w:r>
            <w:r w:rsidR="003267E4" w:rsidRPr="000B180A">
              <w:rPr>
                <w:rFonts w:ascii="Arial Narrow" w:eastAsia="Times New Roman" w:hAnsi="Arial Narrow"/>
                <w:sz w:val="24"/>
                <w:szCs w:val="24"/>
                <w:shd w:val="clear" w:color="auto" w:fill="FFFFFF"/>
                <w:lang w:eastAsia="es-ES"/>
              </w:rPr>
              <w:t>desarrollo</w:t>
            </w:r>
            <w:r w:rsidRPr="000B180A">
              <w:rPr>
                <w:rFonts w:ascii="Arial Narrow" w:eastAsia="Times New Roman" w:hAnsi="Arial Narrow"/>
                <w:sz w:val="24"/>
                <w:szCs w:val="24"/>
                <w:shd w:val="clear" w:color="auto" w:fill="FFFFFF"/>
                <w:lang w:eastAsia="es-ES"/>
              </w:rPr>
              <w:t>, los siguientes criterios de localización ambiental y de diseño tecnológico han sido formulados con el propósito de evitar o minimizar los efectos adversos identificados en experiencias anteriores, garantizando así que los nuevos proyectos de energía eólica puedan desarrollarse bajo un enfoque de bajo impacto ambiental. Estos criterios integran consideraciones espaciales y ecosistémicas, así como la incorporación de tecnologías avanzadas de detección, mitigación y diseño estructural, que permiten compatibilizar la operación de estos sistemas con la conservación de la biodiversidad, el bienestar de las comunidades y el ordenamiento territorial vigente.</w:t>
            </w:r>
          </w:p>
          <w:p w14:paraId="710D3BC0"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p>
          <w:p w14:paraId="23BA2E23"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En ese sentido se proponen como criterios incluyentes para aplicar a una LAEolica aquellos que:</w:t>
            </w:r>
          </w:p>
          <w:p w14:paraId="3888B215"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p>
          <w:p w14:paraId="6F24A066" w14:textId="77777777" w:rsidR="00072956" w:rsidRPr="000B180A" w:rsidRDefault="00072956" w:rsidP="007F5995">
            <w:pPr>
              <w:pStyle w:val="Prrafodelista"/>
              <w:spacing w:before="240"/>
              <w:ind w:left="55"/>
              <w:rPr>
                <w:rFonts w:ascii="Arial Narrow" w:eastAsia="Times New Roman" w:hAnsi="Arial Narrow"/>
                <w:sz w:val="24"/>
                <w:szCs w:val="24"/>
                <w:shd w:val="clear" w:color="auto" w:fill="FFFFFF"/>
                <w:lang w:eastAsia="es-ES"/>
              </w:rPr>
            </w:pPr>
            <w:r w:rsidRPr="000B180A">
              <w:rPr>
                <w:rFonts w:ascii="Arial Narrow" w:hAnsi="Arial Narrow"/>
                <w:b/>
                <w:bCs/>
                <w:sz w:val="24"/>
                <w:szCs w:val="24"/>
              </w:rPr>
              <w:t>Criterios de localización ambiental</w:t>
            </w:r>
          </w:p>
          <w:p w14:paraId="6B2A61E9" w14:textId="77777777" w:rsidR="00072956" w:rsidRPr="000B180A" w:rsidRDefault="00072956" w:rsidP="007F5995">
            <w:pPr>
              <w:pStyle w:val="Prrafodelista"/>
              <w:numPr>
                <w:ilvl w:val="0"/>
                <w:numId w:val="8"/>
              </w:numPr>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No se ubiquen en las siguientes coberturas y áreas protegidas</w:t>
            </w:r>
          </w:p>
          <w:p w14:paraId="53FB2765" w14:textId="77777777" w:rsidR="00072956" w:rsidRPr="000B180A" w:rsidRDefault="00072956" w:rsidP="007F5995">
            <w:pPr>
              <w:pStyle w:val="Prrafodelista"/>
              <w:numPr>
                <w:ilvl w:val="0"/>
                <w:numId w:val="5"/>
              </w:numPr>
              <w:shd w:val="clear" w:color="auto" w:fill="FFFFFF"/>
              <w:spacing w:before="100" w:beforeAutospacing="1" w:after="100" w:afterAutospacing="1"/>
              <w:ind w:left="500" w:hang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 xml:space="preserve">Zonas de bosque, según la clasificación de coberturas del nivel 3 de la metodología Corine Land Cover adaptada por el IDEAM. No obstante, se permiten actividades de aprovechamiento forestal sobre coberturas boscosas en un máximo de 20 Hectáreas sin superar el 10% del parche boscoso. </w:t>
            </w:r>
          </w:p>
          <w:p w14:paraId="6523425A"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p>
          <w:p w14:paraId="14B56FC8"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La definición de zonas que, conforme a los requisitos establecidos en el decreto, no generan afectaciones significativas sobre el medio ambiente, al no ubicarse ni intervenir en condiciones territoriales o ecosistémicas especialmente sensibles, para el desarrollo de proyectos de generación de energía eólica debe considerar como criterio principal la exclusión de áreas con alta vulnerabilidad ecológica, como las áreas boscosas. En este sentido, se establece como criterio excluyente la presencia de coberturas clasificadas como "bosque" según el nivel 3 de la metodología Corine Land Cover adaptada por el IDEAM, por cuanto este nivel de detalle permite distinguir de manera precisa entre bosques naturales, secundarios, fragmentados y otras coberturas vegetales con funciones ecológicas relevantes.</w:t>
            </w:r>
          </w:p>
          <w:p w14:paraId="0F8E1384"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588F69D8"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Los ecosistemas boscosos desempeñan múltiples funciones clave para la estabilidad ambiental y la sostenibilidad del territorio: actúan como reservorios de biodiversidad, regulan los ciclos hidrológicos, almacenan carbono, controlan la erosión, y mantienen la conectividad ecológica del paisaje. En particular, la fragmentación o pérdida de cobertura boscosa genera impactos significativos sobre las especies asociadas, altera los microclimas locales y debilita los servicios ecosistémicos. Por tanto, su conservación es una prioridad dentro de las políticas ambientales y de ordenamiento territorial, tal como lo establece el Decreto Único Reglamentario del Sector Ambiente (Decreto 1076 de 2015), que impone restricciones al cambio de uso del suelo en áreas con cobertura boscosa, especialmente cuando se trata de proyectos de infraestructura o desarrollo.</w:t>
            </w:r>
          </w:p>
          <w:p w14:paraId="10DC7AD5"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7560FE6A"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Sin embargo, atendiendo al principio de sostenibilidad y al uso racional del territorio, se ha considerado que la intervención no supere las 20 hectáreas de cobertura boscosa, y no represente más del 10% del área total del parche boscoso al que pertenece.</w:t>
            </w:r>
          </w:p>
          <w:p w14:paraId="250D1BD3"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02F1361D"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Estos aspectos han sido reconocidos ampliamente en la normativa ambiental nacional, y en particular, en el Decreto 1076 de 2015, que establece los requisitos y condiciones para el otorgamiento de permisos de aprovechamiento forestal, tanto persistente como único.</w:t>
            </w:r>
          </w:p>
          <w:p w14:paraId="7AB59C72"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243FBE2D"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En línea con esta normativa, el Decreto 1076 establece que:</w:t>
            </w:r>
          </w:p>
          <w:p w14:paraId="3C6F7906"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1B82A942"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"Cuando el área de aprovechamiento supere las veinte (20) hectáreas, se deberá presentar una caracterización ecológica de la cobertura boscosa, con el fin de evaluar la viabilidad ambiental de la intervención solicitada."</w:t>
            </w:r>
          </w:p>
          <w:p w14:paraId="7EA406CA"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(Artículo 2.2.1.1.1.4. Permiso de aprovechamiento forestal único)</w:t>
            </w:r>
          </w:p>
          <w:p w14:paraId="75A56DF6"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66787CDD"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Esta disposición refleja la importancia de una evaluación más rigurosa y detallada para proyectos que pretendan intervenir superficies significativas de bosque, ya que tales actividades conllevan mayores riesgos de pérdida de biodiversidad, fragmentación del hábitat y alteraciones ecosistémicas. Cosa que busca evitar el presente proyecto normativo.</w:t>
            </w:r>
          </w:p>
          <w:p w14:paraId="375B05EC"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39FF0E32"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Esta medida se justifica en estudios ecológicos que demuestran que los efectos negativos de la intervención en ecosistemas boscosos se intensifican a medida que aumenta la magnitud y profundidad de la intervención. En consecuencia, la escala máxima de intervención propuesta (20 hectáreas y 10% del parche) es coherente con los umbrales establecidos en diferentes políticas públicas y lineamientos técnicos para evitar una afectación significativa a la integridad estructural y funcional del ecosistema intervenido. También se alinea con el principio de precaución ambiental, al restringir el desarrollo de proyectos en núcleos de bosque continuo.</w:t>
            </w:r>
          </w:p>
          <w:p w14:paraId="08D05761"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3BB4D518"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En la eventualidad de un aprovechamiento forestal a la escala máxima de intervención propuesta (20 hectáreas y 10% del parche), se deberá solicitar el permiso para dicho aprovechamiento en el marco del Estudio de Impacto Ambiental (EIA) y procederán medidas para mitigar, compensar o restaurar los impactos ambientales causados.</w:t>
            </w:r>
          </w:p>
          <w:p w14:paraId="235FBDAE"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2AFC8C63"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b.</w:t>
            </w:r>
            <w:r w:rsidRPr="000B180A">
              <w:t xml:space="preserve"> </w:t>
            </w:r>
            <w:r w:rsidRPr="000B180A">
              <w:rPr>
                <w:rFonts w:ascii="Arial Narrow" w:eastAsia="Times New Roman" w:hAnsi="Arial Narrow"/>
                <w:sz w:val="24"/>
                <w:szCs w:val="24"/>
                <w:shd w:val="clear" w:color="auto" w:fill="FFFFFF"/>
                <w:lang w:eastAsia="es-ES"/>
              </w:rPr>
              <w:t>El proyecto deberá ubicarse a una distancia mínima de 1.000 metros de los límites de las áreas protegidas que integran el Sistema Nacional de Áreas Protegidas (SINAP).</w:t>
            </w:r>
          </w:p>
          <w:p w14:paraId="35A27314"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34259A30" w14:textId="030E9986"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La evidencia técnica nacional e internacional ha documentado ampliamente que la colisión de aves y murciélagos con las aspas de los aerogeneradores constituye uno de los impactos más recurrentes y preocupantes de los proyectos eólicos. En el caso particular de los murciélagos, se suma el fenómeno del barotrauma, que puede causar su muerte</w:t>
            </w:r>
            <w:r w:rsidR="003267E4">
              <w:rPr>
                <w:rFonts w:ascii="Arial Narrow" w:eastAsia="Times New Roman" w:hAnsi="Arial Narrow"/>
                <w:sz w:val="24"/>
                <w:szCs w:val="24"/>
                <w:shd w:val="clear" w:color="auto" w:fill="FFFFFF"/>
                <w:lang w:eastAsia="es-ES"/>
              </w:rPr>
              <w:t>,</w:t>
            </w:r>
            <w:r w:rsidRPr="000B180A">
              <w:rPr>
                <w:rFonts w:ascii="Arial Narrow" w:eastAsia="Times New Roman" w:hAnsi="Arial Narrow"/>
                <w:sz w:val="24"/>
                <w:szCs w:val="24"/>
                <w:shd w:val="clear" w:color="auto" w:fill="FFFFFF"/>
                <w:lang w:eastAsia="es-ES"/>
              </w:rPr>
              <w:t xml:space="preserve"> incluso sin contacto físico con las turbinas, debido a cambios bruscos en la presión del aire generados por el giro de las aspas. Además, las estructuras de los parques eólicos pueden generar alteraciones en las rutas migratorias, fragmentación del hábitat, cambios en los patrones de forrajeo y desplazamientos de especies sensibles.</w:t>
            </w:r>
          </w:p>
          <w:p w14:paraId="2198E7B3"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01FD83B7"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 xml:space="preserve">Estas afectaciones han sido registradas con mayor intensidad cuando los proyectos se instalan en áreas de alta biodiversidad o en corredores de migración. Por esta razón, el presente criterio establece que los proyectos no deberán localizarse dentro del Sistema Nacional de Áreas Protegidas, ni en un radio inferior a un (1) kilómetro de sus límites cuando se verifique la presencia de especies de aves y murciélagos migratorias, endémicas o en categoría de amenaza, de acuerdo con la información disponible en el Sistema de Información sobre Biodiversidad de Colombia (SIB Colombia), que constituye la fuente oficial y científica más robusta del país para la consulta sobre distribución de especies. </w:t>
            </w:r>
          </w:p>
          <w:p w14:paraId="75B2B41B"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63B46B97"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 xml:space="preserve">Las áreas protegidas del Sistema Nacional de Áreas Protegidas (SINAP) se consideran como áreas de muy alta sensibilidad y relevancia ecológica para dichas especies, representando áreas núcleo de hábitat para salvaguardar la diversidad y sostener roles ecológicos a largo plazo de los diferentes grupos biológicos, incluyendo las aves y murciélagos (Martínez-Árias 2018, Linero-Triana et al. 2023). De esta forma, internacionalmente se ha establecido la necesidad de establecer distancias buffer o de amortiguación a estos lugares de importancia ambiental, buscando la conservación de la biodiversidad y la disminución del riesgo de colisión. </w:t>
            </w:r>
          </w:p>
          <w:p w14:paraId="1B907379"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0FAAA6DA" w14:textId="75BC5FB6"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i/>
                <w:iCs/>
                <w:sz w:val="24"/>
                <w:szCs w:val="24"/>
                <w:shd w:val="clear" w:color="auto" w:fill="FFFFFF"/>
                <w:lang w:eastAsia="es-ES"/>
              </w:rPr>
            </w:pPr>
            <w:r w:rsidRPr="000B180A">
              <w:rPr>
                <w:rFonts w:ascii="Arial Narrow" w:eastAsia="Times New Roman" w:hAnsi="Arial Narrow"/>
                <w:sz w:val="24"/>
                <w:szCs w:val="24"/>
                <w:shd w:val="clear" w:color="auto" w:fill="FFFFFF"/>
                <w:lang w:eastAsia="es-ES"/>
              </w:rPr>
              <w:t>Si bien el riesgo de mortalidad de colisión depende de las características específicas anatómicas y de movimiento de cada especie de ave o murciélago, con distancias de amortiguación desde lo</w:t>
            </w:r>
            <w:r w:rsidR="003267E4">
              <w:rPr>
                <w:rFonts w:ascii="Arial Narrow" w:eastAsia="Times New Roman" w:hAnsi="Arial Narrow"/>
                <w:sz w:val="24"/>
                <w:szCs w:val="24"/>
                <w:shd w:val="clear" w:color="auto" w:fill="FFFFFF"/>
                <w:lang w:eastAsia="es-ES"/>
              </w:rPr>
              <w:t>s</w:t>
            </w:r>
            <w:r w:rsidRPr="000B180A">
              <w:rPr>
                <w:rFonts w:ascii="Arial Narrow" w:eastAsia="Times New Roman" w:hAnsi="Arial Narrow"/>
                <w:sz w:val="24"/>
                <w:szCs w:val="24"/>
                <w:shd w:val="clear" w:color="auto" w:fill="FFFFFF"/>
                <w:lang w:eastAsia="es-ES"/>
              </w:rPr>
              <w:t xml:space="preserve"> 100 m</w:t>
            </w:r>
            <w:r w:rsidR="003267E4">
              <w:rPr>
                <w:rFonts w:ascii="Arial Narrow" w:eastAsia="Times New Roman" w:hAnsi="Arial Narrow"/>
                <w:sz w:val="24"/>
                <w:szCs w:val="24"/>
                <w:shd w:val="clear" w:color="auto" w:fill="FFFFFF"/>
                <w:lang w:eastAsia="es-ES"/>
              </w:rPr>
              <w:t>etros</w:t>
            </w:r>
            <w:r w:rsidRPr="000B180A">
              <w:rPr>
                <w:rFonts w:ascii="Arial Narrow" w:eastAsia="Times New Roman" w:hAnsi="Arial Narrow"/>
                <w:sz w:val="24"/>
                <w:szCs w:val="24"/>
                <w:shd w:val="clear" w:color="auto" w:fill="FFFFFF"/>
                <w:lang w:eastAsia="es-ES"/>
              </w:rPr>
              <w:t xml:space="preserve"> hasta varios kilómetros, se </w:t>
            </w:r>
            <w:r w:rsidR="003267E4">
              <w:rPr>
                <w:rFonts w:ascii="Arial Narrow" w:eastAsia="Times New Roman" w:hAnsi="Arial Narrow"/>
                <w:sz w:val="24"/>
                <w:szCs w:val="24"/>
                <w:shd w:val="clear" w:color="auto" w:fill="FFFFFF"/>
                <w:lang w:eastAsia="es-ES"/>
              </w:rPr>
              <w:t>amortigua dicho riesgo.</w:t>
            </w:r>
            <w:r w:rsidR="003056D4">
              <w:rPr>
                <w:rFonts w:ascii="Arial Narrow" w:eastAsia="Times New Roman" w:hAnsi="Arial Narrow"/>
                <w:sz w:val="24"/>
                <w:szCs w:val="24"/>
                <w:shd w:val="clear" w:color="auto" w:fill="FFFFFF"/>
                <w:lang w:eastAsia="es-ES"/>
              </w:rPr>
              <w:t xml:space="preserve"> </w:t>
            </w:r>
            <w:r w:rsidR="003267E4">
              <w:rPr>
                <w:rFonts w:ascii="Arial Narrow" w:eastAsia="Times New Roman" w:hAnsi="Arial Narrow"/>
                <w:sz w:val="24"/>
                <w:szCs w:val="24"/>
                <w:shd w:val="clear" w:color="auto" w:fill="FFFFFF"/>
                <w:lang w:eastAsia="es-ES"/>
              </w:rPr>
              <w:t>D</w:t>
            </w:r>
            <w:r w:rsidRPr="000B180A">
              <w:rPr>
                <w:rFonts w:ascii="Arial Narrow" w:eastAsia="Times New Roman" w:hAnsi="Arial Narrow"/>
                <w:sz w:val="24"/>
                <w:szCs w:val="24"/>
                <w:shd w:val="clear" w:color="auto" w:fill="FFFFFF"/>
                <w:lang w:eastAsia="es-ES"/>
              </w:rPr>
              <w:t xml:space="preserve">e acuerdo con la revisión de literatura, el promedio general de distancia </w:t>
            </w:r>
            <w:r w:rsidR="003267E4">
              <w:rPr>
                <w:rFonts w:ascii="Arial Narrow" w:eastAsia="Times New Roman" w:hAnsi="Arial Narrow"/>
                <w:sz w:val="24"/>
                <w:szCs w:val="24"/>
                <w:shd w:val="clear" w:color="auto" w:fill="FFFFFF"/>
                <w:lang w:eastAsia="es-ES"/>
              </w:rPr>
              <w:t xml:space="preserve">deseable para garantizar dicha amortiguación </w:t>
            </w:r>
            <w:r w:rsidRPr="000B180A">
              <w:rPr>
                <w:rFonts w:ascii="Arial Narrow" w:eastAsia="Times New Roman" w:hAnsi="Arial Narrow"/>
                <w:sz w:val="24"/>
                <w:szCs w:val="24"/>
                <w:shd w:val="clear" w:color="auto" w:fill="FFFFFF"/>
                <w:lang w:eastAsia="es-ES"/>
              </w:rPr>
              <w:t>para un ave de tamaño mediano</w:t>
            </w:r>
            <w:r w:rsidR="003267E4">
              <w:rPr>
                <w:rFonts w:ascii="Arial Narrow" w:eastAsia="Times New Roman" w:hAnsi="Arial Narrow"/>
                <w:sz w:val="24"/>
                <w:szCs w:val="24"/>
                <w:shd w:val="clear" w:color="auto" w:fill="FFFFFF"/>
                <w:lang w:eastAsia="es-ES"/>
              </w:rPr>
              <w:t>,</w:t>
            </w:r>
            <w:r w:rsidRPr="000B180A">
              <w:rPr>
                <w:rFonts w:ascii="Arial Narrow" w:eastAsia="Times New Roman" w:hAnsi="Arial Narrow"/>
                <w:sz w:val="24"/>
                <w:szCs w:val="24"/>
                <w:shd w:val="clear" w:color="auto" w:fill="FFFFFF"/>
                <w:lang w:eastAsia="es-ES"/>
              </w:rPr>
              <w:t xml:space="preserve"> como el </w:t>
            </w:r>
            <w:r w:rsidRPr="000B180A">
              <w:rPr>
                <w:rFonts w:ascii="Arial Narrow" w:eastAsia="Times New Roman" w:hAnsi="Arial Narrow"/>
                <w:i/>
                <w:iCs/>
                <w:sz w:val="24"/>
                <w:szCs w:val="24"/>
                <w:shd w:val="clear" w:color="auto" w:fill="FFFFFF"/>
                <w:lang w:eastAsia="es-ES"/>
              </w:rPr>
              <w:t>Milvus milvus</w:t>
            </w:r>
            <w:r w:rsidRPr="000B180A">
              <w:rPr>
                <w:rFonts w:ascii="Arial Narrow" w:eastAsia="Times New Roman" w:hAnsi="Arial Narrow"/>
                <w:sz w:val="24"/>
                <w:szCs w:val="24"/>
                <w:shd w:val="clear" w:color="auto" w:fill="FFFFFF"/>
                <w:lang w:eastAsia="es-ES"/>
              </w:rPr>
              <w:t xml:space="preserve"> (milano real) es de 1 km (</w:t>
            </w:r>
            <w:r w:rsidRPr="000B180A">
              <w:rPr>
                <w:rFonts w:ascii="Arial Narrow" w:eastAsia="Times New Roman" w:hAnsi="Arial Narrow"/>
                <w:sz w:val="24"/>
                <w:szCs w:val="24"/>
                <w:shd w:val="clear" w:color="auto" w:fill="FFFFFF"/>
                <w:lang w:val="es-ES" w:eastAsia="es-ES"/>
              </w:rPr>
              <w:t>Eichhorn et al. 2012)</w:t>
            </w:r>
            <w:r w:rsidR="003267E4">
              <w:rPr>
                <w:rFonts w:ascii="Arial Narrow" w:eastAsia="Times New Roman" w:hAnsi="Arial Narrow"/>
                <w:sz w:val="24"/>
                <w:szCs w:val="24"/>
                <w:shd w:val="clear" w:color="auto" w:fill="FFFFFF"/>
                <w:lang w:val="es-ES" w:eastAsia="es-ES"/>
              </w:rPr>
              <w:t xml:space="preserve">; en estas </w:t>
            </w:r>
            <w:r w:rsidR="003056D4">
              <w:rPr>
                <w:rFonts w:ascii="Arial Narrow" w:eastAsia="Times New Roman" w:hAnsi="Arial Narrow"/>
                <w:sz w:val="24"/>
                <w:szCs w:val="24"/>
                <w:shd w:val="clear" w:color="auto" w:fill="FFFFFF"/>
                <w:lang w:val="es-ES" w:eastAsia="es-ES"/>
              </w:rPr>
              <w:t>circunstancias</w:t>
            </w:r>
            <w:r w:rsidR="003267E4">
              <w:rPr>
                <w:rFonts w:ascii="Arial Narrow" w:eastAsia="Times New Roman" w:hAnsi="Arial Narrow"/>
                <w:sz w:val="24"/>
                <w:szCs w:val="24"/>
                <w:shd w:val="clear" w:color="auto" w:fill="FFFFFF"/>
                <w:lang w:val="es-ES" w:eastAsia="es-ES"/>
              </w:rPr>
              <w:t>,</w:t>
            </w:r>
            <w:r w:rsidRPr="000B180A">
              <w:rPr>
                <w:rFonts w:ascii="Arial Narrow" w:eastAsia="Times New Roman" w:hAnsi="Arial Narrow"/>
                <w:sz w:val="24"/>
                <w:szCs w:val="24"/>
                <w:shd w:val="clear" w:color="auto" w:fill="FFFFFF"/>
                <w:lang w:val="es-ES" w:eastAsia="es-ES"/>
              </w:rPr>
              <w:t xml:space="preserve"> la tasa de mortalidad por colisión bajaría drásticamente.</w:t>
            </w:r>
            <w:r w:rsidRPr="000B180A">
              <w:rPr>
                <w:rFonts w:ascii="Arial Narrow" w:eastAsia="Times New Roman" w:hAnsi="Arial Narrow"/>
                <w:sz w:val="24"/>
                <w:szCs w:val="24"/>
                <w:shd w:val="clear" w:color="auto" w:fill="FFFFFF"/>
                <w:lang w:eastAsia="es-ES"/>
              </w:rPr>
              <w:t xml:space="preserve"> Esta especie comprende aves rapaces europeas de la familia Accipitridae, que presentan aproximadamente una altura de 70 cm, peso de 1200 g y envergadura alar de 195 cm.</w:t>
            </w:r>
            <w:r w:rsidRPr="000B180A">
              <w:rPr>
                <w:rFonts w:ascii="Arial Narrow" w:eastAsia="Times New Roman" w:hAnsi="Arial Narrow"/>
                <w:i/>
                <w:iCs/>
                <w:sz w:val="24"/>
                <w:szCs w:val="24"/>
                <w:shd w:val="clear" w:color="auto" w:fill="FFFFFF"/>
                <w:lang w:eastAsia="es-ES"/>
              </w:rPr>
              <w:t xml:space="preserve"> </w:t>
            </w:r>
          </w:p>
          <w:p w14:paraId="20CFAE06"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i/>
                <w:iCs/>
                <w:sz w:val="24"/>
                <w:szCs w:val="24"/>
                <w:shd w:val="clear" w:color="auto" w:fill="FFFFFF"/>
                <w:lang w:eastAsia="es-ES"/>
              </w:rPr>
            </w:pPr>
          </w:p>
          <w:p w14:paraId="5A53D1D4" w14:textId="77777777" w:rsidR="00072956" w:rsidRPr="000B180A" w:rsidRDefault="00072956" w:rsidP="007F5995">
            <w:pPr>
              <w:pStyle w:val="Prrafodelista"/>
              <w:shd w:val="clear" w:color="auto" w:fill="FFFFFF"/>
              <w:spacing w:before="100" w:beforeAutospacing="1" w:after="100" w:afterAutospacing="1"/>
              <w:jc w:val="center"/>
              <w:rPr>
                <w:rFonts w:ascii="Arial Narrow" w:eastAsia="Times New Roman" w:hAnsi="Arial Narrow"/>
                <w:sz w:val="24"/>
                <w:szCs w:val="24"/>
                <w:shd w:val="clear" w:color="auto" w:fill="FFFFFF"/>
                <w:lang w:eastAsia="es-ES"/>
              </w:rPr>
            </w:pPr>
            <w:r w:rsidRPr="000B180A">
              <w:rPr>
                <w:rFonts w:ascii="Arial Narrow" w:hAnsi="Arial Narrow"/>
                <w:sz w:val="24"/>
                <w:szCs w:val="24"/>
                <w:shd w:val="clear" w:color="auto" w:fill="FFFFFF"/>
              </w:rPr>
              <w:t xml:space="preserve">Figura </w:t>
            </w:r>
            <w:r w:rsidRPr="000B180A">
              <w:rPr>
                <w:rFonts w:ascii="Arial Narrow" w:hAnsi="Arial Narrow"/>
                <w:sz w:val="24"/>
                <w:szCs w:val="24"/>
                <w:shd w:val="clear" w:color="auto" w:fill="FFFFFF"/>
              </w:rPr>
              <w:fldChar w:fldCharType="begin"/>
            </w:r>
            <w:r w:rsidRPr="000B180A">
              <w:rPr>
                <w:rFonts w:ascii="Arial Narrow" w:hAnsi="Arial Narrow"/>
                <w:sz w:val="24"/>
                <w:szCs w:val="24"/>
                <w:shd w:val="clear" w:color="auto" w:fill="FFFFFF"/>
              </w:rPr>
              <w:instrText xml:space="preserve"> SEQ Figura \* ARABIC </w:instrText>
            </w:r>
            <w:r w:rsidRPr="000B180A">
              <w:rPr>
                <w:rFonts w:ascii="Arial Narrow" w:hAnsi="Arial Narrow"/>
                <w:sz w:val="24"/>
                <w:szCs w:val="24"/>
                <w:shd w:val="clear" w:color="auto" w:fill="FFFFFF"/>
              </w:rPr>
              <w:fldChar w:fldCharType="separate"/>
            </w:r>
            <w:r w:rsidRPr="000B180A">
              <w:rPr>
                <w:rFonts w:ascii="Arial Narrow" w:hAnsi="Arial Narrow"/>
                <w:noProof/>
                <w:sz w:val="24"/>
                <w:szCs w:val="24"/>
                <w:shd w:val="clear" w:color="auto" w:fill="FFFFFF"/>
              </w:rPr>
              <w:t>11</w:t>
            </w:r>
            <w:r w:rsidRPr="000B180A">
              <w:rPr>
                <w:rFonts w:ascii="Arial Narrow" w:hAnsi="Arial Narrow"/>
                <w:sz w:val="24"/>
                <w:szCs w:val="24"/>
                <w:shd w:val="clear" w:color="auto" w:fill="FFFFFF"/>
              </w:rPr>
              <w:fldChar w:fldCharType="end"/>
            </w:r>
            <w:r w:rsidRPr="000B180A">
              <w:rPr>
                <w:rFonts w:ascii="Arial Narrow" w:hAnsi="Arial Narrow"/>
                <w:sz w:val="24"/>
                <w:szCs w:val="24"/>
                <w:shd w:val="clear" w:color="auto" w:fill="FFFFFF"/>
              </w:rPr>
              <w:t xml:space="preserve">: </w:t>
            </w:r>
            <w:r w:rsidRPr="000B180A">
              <w:rPr>
                <w:rFonts w:ascii="Arial Narrow" w:eastAsia="Times New Roman" w:hAnsi="Arial Narrow"/>
                <w:bCs/>
                <w:sz w:val="24"/>
                <w:szCs w:val="24"/>
                <w:shd w:val="clear" w:color="auto" w:fill="FFFFFF"/>
                <w:lang w:val="es-ES" w:eastAsia="es-ES"/>
              </w:rPr>
              <w:t xml:space="preserve">Tasa de mortalidad en función de la distancia entre áreas de anidación de </w:t>
            </w:r>
            <w:r w:rsidRPr="000B180A">
              <w:rPr>
                <w:rFonts w:ascii="Arial Narrow" w:eastAsia="Times New Roman" w:hAnsi="Arial Narrow"/>
                <w:bCs/>
                <w:sz w:val="24"/>
                <w:szCs w:val="24"/>
                <w:shd w:val="clear" w:color="auto" w:fill="FFFFFF"/>
                <w:lang w:eastAsia="es-ES"/>
              </w:rPr>
              <w:t>Milvus milvus</w:t>
            </w:r>
            <w:r w:rsidRPr="000B180A">
              <w:rPr>
                <w:rFonts w:ascii="Arial Narrow" w:eastAsia="Times New Roman" w:hAnsi="Arial Narrow"/>
                <w:bCs/>
                <w:sz w:val="24"/>
                <w:szCs w:val="24"/>
                <w:shd w:val="clear" w:color="auto" w:fill="FFFFFF"/>
                <w:lang w:val="es-ES" w:eastAsia="es-ES"/>
              </w:rPr>
              <w:t xml:space="preserve"> y turbinas de viento</w:t>
            </w:r>
          </w:p>
          <w:p w14:paraId="5CA58DF4" w14:textId="77777777" w:rsidR="00072956" w:rsidRPr="000B180A" w:rsidRDefault="00072956" w:rsidP="007F5995">
            <w:pPr>
              <w:pStyle w:val="Prrafodelista"/>
              <w:shd w:val="clear" w:color="auto" w:fill="FFFFFF"/>
              <w:spacing w:before="100" w:beforeAutospacing="1" w:after="100" w:afterAutospacing="1"/>
              <w:jc w:val="center"/>
              <w:rPr>
                <w:rFonts w:ascii="Arial Narrow" w:eastAsia="Times New Roman" w:hAnsi="Arial Narrow"/>
                <w:sz w:val="24"/>
                <w:szCs w:val="24"/>
                <w:shd w:val="clear" w:color="auto" w:fill="FFFFFF"/>
                <w:lang w:val="es-ES" w:eastAsia="es-ES"/>
              </w:rPr>
            </w:pPr>
            <w:r w:rsidRPr="000B180A">
              <w:rPr>
                <w:rFonts w:ascii="Arial Narrow" w:eastAsia="Times New Roman" w:hAnsi="Arial Narrow"/>
                <w:noProof/>
                <w:sz w:val="24"/>
                <w:szCs w:val="24"/>
                <w:shd w:val="clear" w:color="auto" w:fill="FFFFFF"/>
                <w:lang w:val="es-ES" w:eastAsia="es-ES"/>
              </w:rPr>
              <w:drawing>
                <wp:inline distT="0" distB="0" distL="0" distR="0" wp14:anchorId="16356072" wp14:editId="4D906E54">
                  <wp:extent cx="2461463" cy="1684421"/>
                  <wp:effectExtent l="0" t="0" r="2540" b="5080"/>
                  <wp:docPr id="848529166" name="Picture 1"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29166" name="Picture 1" descr="Diagrama, Dibujo de ingeniería&#10;&#10;El contenido generado por IA puede ser incorrecto."/>
                          <pic:cNvPicPr/>
                        </pic:nvPicPr>
                        <pic:blipFill rotWithShape="1">
                          <a:blip r:embed="rId20"/>
                          <a:srcRect t="4995" r="49478" b="50252"/>
                          <a:stretch/>
                        </pic:blipFill>
                        <pic:spPr bwMode="auto">
                          <a:xfrm>
                            <a:off x="0" y="0"/>
                            <a:ext cx="2467476" cy="1688536"/>
                          </a:xfrm>
                          <a:prstGeom prst="rect">
                            <a:avLst/>
                          </a:prstGeom>
                          <a:ln>
                            <a:noFill/>
                          </a:ln>
                          <a:extLst>
                            <a:ext uri="{53640926-AAD7-44D8-BBD7-CCE9431645EC}">
                              <a14:shadowObscured xmlns:a14="http://schemas.microsoft.com/office/drawing/2010/main"/>
                            </a:ext>
                          </a:extLst>
                        </pic:spPr>
                      </pic:pic>
                    </a:graphicData>
                  </a:graphic>
                </wp:inline>
              </w:drawing>
            </w:r>
          </w:p>
          <w:p w14:paraId="56439E9C" w14:textId="77777777" w:rsidR="00072956" w:rsidRPr="000B180A" w:rsidRDefault="00072956" w:rsidP="007F5995">
            <w:pPr>
              <w:pStyle w:val="Prrafodelista"/>
              <w:shd w:val="clear" w:color="auto" w:fill="FFFFFF"/>
              <w:spacing w:before="100" w:beforeAutospacing="1" w:after="100" w:afterAutospacing="1"/>
              <w:jc w:val="center"/>
              <w:rPr>
                <w:rFonts w:ascii="Arial Narrow" w:eastAsia="Times New Roman" w:hAnsi="Arial Narrow"/>
                <w:sz w:val="24"/>
                <w:szCs w:val="24"/>
                <w:shd w:val="clear" w:color="auto" w:fill="FFFFFF"/>
                <w:lang w:val="es-ES" w:eastAsia="es-ES"/>
              </w:rPr>
            </w:pPr>
            <w:r w:rsidRPr="000B180A">
              <w:rPr>
                <w:rFonts w:ascii="Arial Narrow" w:eastAsia="Times New Roman" w:hAnsi="Arial Narrow"/>
                <w:b/>
                <w:sz w:val="24"/>
                <w:szCs w:val="24"/>
                <w:shd w:val="clear" w:color="auto" w:fill="FFFFFF"/>
                <w:lang w:val="es-ES" w:eastAsia="es-ES"/>
              </w:rPr>
              <w:t xml:space="preserve">Fuente: </w:t>
            </w:r>
            <w:r w:rsidRPr="000B180A">
              <w:rPr>
                <w:rFonts w:ascii="Arial Narrow" w:eastAsia="Times New Roman" w:hAnsi="Arial Narrow"/>
                <w:sz w:val="24"/>
                <w:szCs w:val="24"/>
                <w:shd w:val="clear" w:color="auto" w:fill="FFFFFF"/>
                <w:lang w:val="es-ES" w:eastAsia="es-ES"/>
              </w:rPr>
              <w:t>Eichhorn et al. (2012).</w:t>
            </w:r>
          </w:p>
          <w:p w14:paraId="7B289FC2" w14:textId="77777777" w:rsidR="00072956" w:rsidRPr="000B180A" w:rsidRDefault="00072956" w:rsidP="007F5995">
            <w:pPr>
              <w:pStyle w:val="Prrafodelista"/>
              <w:shd w:val="clear" w:color="auto" w:fill="FFFFFF"/>
              <w:spacing w:before="100" w:beforeAutospacing="1" w:after="100" w:afterAutospacing="1"/>
              <w:jc w:val="center"/>
              <w:rPr>
                <w:rFonts w:ascii="Arial Narrow" w:eastAsia="Times New Roman" w:hAnsi="Arial Narrow"/>
                <w:b/>
                <w:sz w:val="24"/>
                <w:szCs w:val="24"/>
                <w:shd w:val="clear" w:color="auto" w:fill="FFFFFF"/>
                <w:lang w:val="es-ES" w:eastAsia="es-ES"/>
              </w:rPr>
            </w:pPr>
          </w:p>
          <w:p w14:paraId="093827D4" w14:textId="05841D91" w:rsidR="00072956"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 xml:space="preserve">Considerando el tamaño promedio de aves en la región (desde los 3g hasta los 3 kg), se considera adecuado utilizar el valor de 1 km como distancia de amortiguación o buffer </w:t>
            </w:r>
            <w:r w:rsidR="003056D4">
              <w:rPr>
                <w:rFonts w:ascii="Arial Narrow" w:eastAsia="Times New Roman" w:hAnsi="Arial Narrow"/>
                <w:sz w:val="24"/>
                <w:szCs w:val="24"/>
                <w:shd w:val="clear" w:color="auto" w:fill="FFFFFF"/>
                <w:lang w:eastAsia="es-ES"/>
              </w:rPr>
              <w:t xml:space="preserve">respecto al borde con </w:t>
            </w:r>
            <w:r w:rsidRPr="000B180A">
              <w:rPr>
                <w:rFonts w:ascii="Arial Narrow" w:eastAsia="Times New Roman" w:hAnsi="Arial Narrow"/>
                <w:sz w:val="24"/>
                <w:szCs w:val="24"/>
                <w:shd w:val="clear" w:color="auto" w:fill="FFFFFF"/>
                <w:lang w:eastAsia="es-ES"/>
              </w:rPr>
              <w:t>áreas protegidas</w:t>
            </w:r>
            <w:r w:rsidR="003056D4">
              <w:rPr>
                <w:rFonts w:ascii="Arial Narrow" w:eastAsia="Times New Roman" w:hAnsi="Arial Narrow"/>
                <w:sz w:val="24"/>
                <w:szCs w:val="24"/>
                <w:shd w:val="clear" w:color="auto" w:fill="FFFFFF"/>
                <w:lang w:eastAsia="es-ES"/>
              </w:rPr>
              <w:t xml:space="preserve"> y entre los proyectos eólicos desarrollados</w:t>
            </w:r>
            <w:r w:rsidRPr="000B180A">
              <w:rPr>
                <w:rFonts w:ascii="Arial Narrow" w:eastAsia="Times New Roman" w:hAnsi="Arial Narrow"/>
                <w:sz w:val="24"/>
                <w:szCs w:val="24"/>
                <w:shd w:val="clear" w:color="auto" w:fill="FFFFFF"/>
                <w:lang w:eastAsia="es-ES"/>
              </w:rPr>
              <w:t xml:space="preserve">. </w:t>
            </w:r>
            <w:r w:rsidR="003056D4">
              <w:rPr>
                <w:rFonts w:ascii="Arial Narrow" w:eastAsia="Times New Roman" w:hAnsi="Arial Narrow"/>
                <w:sz w:val="24"/>
                <w:szCs w:val="24"/>
                <w:shd w:val="clear" w:color="auto" w:fill="FFFFFF"/>
                <w:lang w:eastAsia="es-ES"/>
              </w:rPr>
              <w:t xml:space="preserve">Por ejemplo, </w:t>
            </w:r>
            <w:r w:rsidR="003056D4" w:rsidRPr="000B180A">
              <w:rPr>
                <w:rFonts w:ascii="Arial Narrow" w:eastAsia="Times New Roman" w:hAnsi="Arial Narrow"/>
                <w:sz w:val="24"/>
                <w:szCs w:val="24"/>
                <w:shd w:val="clear" w:color="auto" w:fill="FFFFFF"/>
                <w:lang w:eastAsia="es-ES"/>
              </w:rPr>
              <w:t>países como Alemania</w:t>
            </w:r>
            <w:r w:rsidR="003056D4">
              <w:rPr>
                <w:rFonts w:ascii="Arial Narrow" w:eastAsia="Times New Roman" w:hAnsi="Arial Narrow"/>
                <w:sz w:val="24"/>
                <w:szCs w:val="24"/>
                <w:shd w:val="clear" w:color="auto" w:fill="FFFFFF"/>
                <w:lang w:eastAsia="es-ES"/>
              </w:rPr>
              <w:t xml:space="preserve"> han establecido</w:t>
            </w:r>
            <w:r w:rsidR="003056D4" w:rsidRPr="000B180A">
              <w:rPr>
                <w:rFonts w:ascii="Arial Narrow" w:eastAsia="Times New Roman" w:hAnsi="Arial Narrow"/>
                <w:sz w:val="24"/>
                <w:szCs w:val="24"/>
                <w:shd w:val="clear" w:color="auto" w:fill="FFFFFF"/>
                <w:lang w:eastAsia="es-ES"/>
              </w:rPr>
              <w:t xml:space="preserve"> la distancia aproximada a 1 km </w:t>
            </w:r>
            <w:r w:rsidR="003056D4">
              <w:rPr>
                <w:rFonts w:ascii="Arial Narrow" w:eastAsia="Times New Roman" w:hAnsi="Arial Narrow"/>
                <w:sz w:val="24"/>
                <w:szCs w:val="24"/>
                <w:shd w:val="clear" w:color="auto" w:fill="FFFFFF"/>
                <w:lang w:eastAsia="es-ES"/>
              </w:rPr>
              <w:t xml:space="preserve">para el desarrollo de parques eólicos respecto a áreas de protección ambiental </w:t>
            </w:r>
            <w:r w:rsidR="003056D4" w:rsidRPr="000B180A">
              <w:rPr>
                <w:rFonts w:ascii="Arial Narrow" w:eastAsia="Times New Roman" w:hAnsi="Arial Narrow"/>
                <w:sz w:val="24"/>
                <w:szCs w:val="24"/>
                <w:shd w:val="clear" w:color="auto" w:fill="FFFFFF"/>
                <w:lang w:eastAsia="es-ES"/>
              </w:rPr>
              <w:t>(</w:t>
            </w:r>
            <w:r w:rsidR="003056D4" w:rsidRPr="000B180A">
              <w:rPr>
                <w:rFonts w:ascii="Arial Narrow" w:eastAsia="Times New Roman" w:hAnsi="Arial Narrow"/>
                <w:sz w:val="24"/>
                <w:szCs w:val="24"/>
                <w:shd w:val="clear" w:color="auto" w:fill="FFFFFF"/>
                <w:lang w:val="es-ES" w:eastAsia="es-ES"/>
              </w:rPr>
              <w:t>VSW 2015)</w:t>
            </w:r>
            <w:r w:rsidR="003056D4" w:rsidRPr="000B180A">
              <w:rPr>
                <w:rFonts w:ascii="Arial Narrow" w:eastAsia="Times New Roman" w:hAnsi="Arial Narrow"/>
                <w:sz w:val="24"/>
                <w:szCs w:val="24"/>
                <w:shd w:val="clear" w:color="auto" w:fill="FFFFFF"/>
                <w:lang w:eastAsia="es-ES"/>
              </w:rPr>
              <w:t>.</w:t>
            </w:r>
            <w:r w:rsidR="003056D4">
              <w:rPr>
                <w:rFonts w:ascii="Arial Narrow" w:eastAsia="Times New Roman" w:hAnsi="Arial Narrow"/>
                <w:sz w:val="24"/>
                <w:szCs w:val="24"/>
                <w:shd w:val="clear" w:color="auto" w:fill="FFFFFF"/>
                <w:lang w:eastAsia="es-ES"/>
              </w:rPr>
              <w:t xml:space="preserve"> </w:t>
            </w:r>
          </w:p>
          <w:p w14:paraId="03975EA9" w14:textId="77777777" w:rsidR="003056D4" w:rsidRPr="000B180A" w:rsidRDefault="003056D4"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4A5C9421" w14:textId="1CA6D111"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Esta distancia de 1 km también incluiría lo registrado en varios estudios como longitud de principal afectación por disminución de actividad o abundancia para el grupo de murciélagos</w:t>
            </w:r>
            <w:r w:rsidR="003056D4">
              <w:rPr>
                <w:rFonts w:ascii="Arial Narrow" w:eastAsia="Times New Roman" w:hAnsi="Arial Narrow"/>
                <w:sz w:val="24"/>
                <w:szCs w:val="24"/>
                <w:shd w:val="clear" w:color="auto" w:fill="FFFFFF"/>
                <w:lang w:eastAsia="es-ES"/>
              </w:rPr>
              <w:t>,</w:t>
            </w:r>
            <w:r w:rsidRPr="000B180A">
              <w:rPr>
                <w:rFonts w:ascii="Arial Narrow" w:eastAsia="Times New Roman" w:hAnsi="Arial Narrow"/>
                <w:sz w:val="24"/>
                <w:szCs w:val="24"/>
                <w:shd w:val="clear" w:color="auto" w:fill="FFFFFF"/>
                <w:lang w:eastAsia="es-ES"/>
              </w:rPr>
              <w:t xml:space="preserve"> generalmente asociada de 500 m a 1 km (Tolvanen et al. 2023; Letini et al. 2025).</w:t>
            </w:r>
          </w:p>
          <w:p w14:paraId="5CABA4F5"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3FE42538"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 xml:space="preserve">El establecimiento de una distancia mínima a estas áreas protegidas obedece a un enfoque precautorio, basado en la necesidad de evitar impactos que puedan ocurrir incluso más allá del perímetro físico de la ubicación de sus turbinas. Asimismo, estudios recientes concluyen que aumentando la distancia de las turbinas a lugares de importancia ecológica para fauna voladora permite la reducción de riesgo de impacto (Schaub 2024). </w:t>
            </w:r>
          </w:p>
          <w:p w14:paraId="2E74A37F"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4BB103EC"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 xml:space="preserve">De esta manera, el valor de 1 km que aquí se adopta se ubica en un rango razonable y técnicamente sustentado de distancia hacia áreas protegidas en general, permitiendo evitar efectos como la interrupción de corredores migratorios, interferencias acústicas o visuales, y la mortalidad por colisiones, particularmente durante los periodos de vuelo activo. Este enfoque diferenciado permite aplicar el principio de proporcionalidad en la gestión ambiental, evitando cargas regulatorias innecesarias cuando no existe riesgo migratorio, pero manteniendo una salvaguarda mínima sobre zonas de alto valor ecológico. </w:t>
            </w:r>
          </w:p>
          <w:p w14:paraId="60F044D5"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7C8D7FE2" w14:textId="77777777" w:rsidR="00072956" w:rsidRPr="000B180A" w:rsidRDefault="00072956" w:rsidP="007F5995">
            <w:pPr>
              <w:pStyle w:val="Prrafodelista"/>
              <w:numPr>
                <w:ilvl w:val="3"/>
                <w:numId w:val="21"/>
              </w:numPr>
              <w:rPr>
                <w:rFonts w:ascii="Arial Narrow" w:hAnsi="Arial Narrow"/>
                <w:sz w:val="24"/>
                <w:szCs w:val="24"/>
                <w:shd w:val="clear" w:color="auto" w:fill="FFFFFF"/>
                <w:lang w:val="es-ES"/>
              </w:rPr>
            </w:pPr>
            <w:r w:rsidRPr="000B180A">
              <w:rPr>
                <w:rFonts w:ascii="Arial Narrow" w:hAnsi="Arial Narrow"/>
                <w:sz w:val="24"/>
                <w:szCs w:val="24"/>
                <w:shd w:val="clear" w:color="auto" w:fill="FFFFFF"/>
                <w:lang w:val="es-ES"/>
              </w:rPr>
              <w:t xml:space="preserve">El proyecto deberá ubicarse a una distancia mínima de </w:t>
            </w:r>
            <w:r w:rsidRPr="000B180A">
              <w:rPr>
                <w:rFonts w:ascii="Arial Narrow" w:hAnsi="Arial Narrow"/>
                <w:b/>
                <w:bCs/>
                <w:sz w:val="24"/>
                <w:szCs w:val="24"/>
                <w:shd w:val="clear" w:color="auto" w:fill="FFFFFF"/>
                <w:lang w:val="es-ES"/>
              </w:rPr>
              <w:t>tres mil metros (3.000 m)</w:t>
            </w:r>
            <w:r w:rsidRPr="000B180A">
              <w:rPr>
                <w:rFonts w:ascii="Arial Narrow" w:hAnsi="Arial Narrow"/>
                <w:sz w:val="24"/>
                <w:szCs w:val="24"/>
                <w:shd w:val="clear" w:color="auto" w:fill="FFFFFF"/>
                <w:lang w:val="es-ES"/>
              </w:rPr>
              <w:t xml:space="preserve"> de la línea de costa y de áreas protegidas del SINAP que coincidan con las  zonas definidas como Áreas de importancia para la fauna voladora de especies migratorias y residentes de aves y murciélagos (dormideros, zonas de anidación, descanso, cuevas o colonias de reproducción) por el </w:t>
            </w:r>
            <w:r w:rsidRPr="000B180A">
              <w:rPr>
                <w:rFonts w:ascii="Arial Narrow" w:hAnsi="Arial Narrow"/>
                <w:b/>
                <w:bCs/>
                <w:sz w:val="24"/>
                <w:szCs w:val="24"/>
                <w:shd w:val="clear" w:color="auto" w:fill="FFFFFF"/>
                <w:lang w:val="es-ES"/>
              </w:rPr>
              <w:t>Ministerio de Ambiente y Desarrollo Sostenible</w:t>
            </w:r>
            <w:r w:rsidRPr="000B180A">
              <w:rPr>
                <w:rFonts w:ascii="Arial Narrow" w:hAnsi="Arial Narrow"/>
                <w:sz w:val="24"/>
                <w:szCs w:val="24"/>
                <w:shd w:val="clear" w:color="auto" w:fill="FFFFFF"/>
                <w:lang w:val="es-ES"/>
              </w:rPr>
              <w:t xml:space="preserve">, el </w:t>
            </w:r>
            <w:r w:rsidRPr="000B180A">
              <w:rPr>
                <w:rFonts w:ascii="Arial Narrow" w:hAnsi="Arial Narrow"/>
                <w:b/>
                <w:bCs/>
                <w:sz w:val="24"/>
                <w:szCs w:val="24"/>
                <w:shd w:val="clear" w:color="auto" w:fill="FFFFFF"/>
                <w:lang w:val="es-ES"/>
              </w:rPr>
              <w:t>Instituto de Investigación de Recursos Biológicos Alexander von Humboldt</w:t>
            </w:r>
            <w:r w:rsidRPr="000B180A">
              <w:rPr>
                <w:rFonts w:ascii="Arial Narrow" w:hAnsi="Arial Narrow"/>
                <w:sz w:val="24"/>
                <w:szCs w:val="24"/>
                <w:shd w:val="clear" w:color="auto" w:fill="FFFFFF"/>
                <w:lang w:val="es-ES"/>
              </w:rPr>
              <w:t xml:space="preserve"> y la Autoridad Nacional de Licencias Ambientales, publicadas en la página web del centro de monitoreo de la ANLA.</w:t>
            </w:r>
          </w:p>
          <w:p w14:paraId="5B6FFF81" w14:textId="77777777" w:rsidR="00072956" w:rsidRPr="000B180A" w:rsidRDefault="00072956" w:rsidP="007F5995">
            <w:pPr>
              <w:pStyle w:val="Prrafodelista"/>
              <w:ind w:left="630"/>
              <w:rPr>
                <w:rFonts w:ascii="Arial Narrow" w:hAnsi="Arial Narrow"/>
                <w:sz w:val="24"/>
                <w:szCs w:val="24"/>
                <w:shd w:val="clear" w:color="auto" w:fill="FFFFFF"/>
                <w:lang w:val="es-ES"/>
              </w:rPr>
            </w:pPr>
          </w:p>
          <w:p w14:paraId="72A9E22F" w14:textId="77777777" w:rsidR="00072956" w:rsidRPr="000B180A" w:rsidRDefault="00072956" w:rsidP="007F5995">
            <w:pPr>
              <w:pStyle w:val="Prrafodelista"/>
              <w:ind w:left="630"/>
              <w:rPr>
                <w:rFonts w:ascii="Arial Narrow" w:hAnsi="Arial Narrow"/>
                <w:sz w:val="24"/>
                <w:szCs w:val="24"/>
                <w:shd w:val="clear" w:color="auto" w:fill="FFFFFF"/>
                <w:lang w:val="es-ES"/>
              </w:rPr>
            </w:pPr>
            <w:r w:rsidRPr="000B180A">
              <w:rPr>
                <w:rFonts w:ascii="Arial Narrow" w:hAnsi="Arial Narrow"/>
                <w:sz w:val="24"/>
                <w:szCs w:val="24"/>
                <w:shd w:val="clear" w:color="auto" w:fill="FFFFFF"/>
              </w:rPr>
              <w:t xml:space="preserve">Diversos tratados y estudios han propuesto distancias mínimas a áreas de muy alta importancia ecológica para aves y murciélagos. En Alemania, el </w:t>
            </w:r>
            <w:r w:rsidRPr="000B180A">
              <w:rPr>
                <w:rFonts w:ascii="Arial Narrow" w:hAnsi="Arial Narrow"/>
                <w:sz w:val="24"/>
                <w:szCs w:val="24"/>
                <w:shd w:val="clear" w:color="auto" w:fill="FFFFFF"/>
                <w:lang w:val="es-ES"/>
              </w:rPr>
              <w:t xml:space="preserve">Working Group of German State Bird Conservancies (Länderarbeitsgemeinschaft der Vogelschutzwarten LAG, VSW 2015), establece recomendaciones de distancias a estas áreas de importancia ecológica y de cría para las aves basado en tasas de colisión históricas señalándolas como un estándar mínimo para su conservación considerando las variables de colisión, evitación y efecto barrera (“risk of collision, avoidance and barrier effects”) causado por las turbinas de viento. De acuerdo con las recomendaciones de este grupo, los impactos que producen los parques eólicos dependen de las características de cada especie de ave analizada, llegando a ser de 3 km para especies de aves de tamaño grande como el </w:t>
            </w:r>
            <w:r w:rsidRPr="000B180A">
              <w:rPr>
                <w:rFonts w:ascii="Arial Narrow" w:hAnsi="Arial Narrow"/>
                <w:i/>
                <w:iCs/>
                <w:sz w:val="24"/>
                <w:szCs w:val="24"/>
                <w:shd w:val="clear" w:color="auto" w:fill="FFFFFF"/>
                <w:lang w:val="es-ES"/>
              </w:rPr>
              <w:t xml:space="preserve">Ciconia nigra </w:t>
            </w:r>
            <w:r w:rsidRPr="000B180A">
              <w:rPr>
                <w:rFonts w:ascii="Arial Narrow" w:hAnsi="Arial Narrow"/>
                <w:sz w:val="24"/>
                <w:szCs w:val="24"/>
                <w:shd w:val="clear" w:color="auto" w:fill="FFFFFF"/>
                <w:lang w:val="es-ES"/>
              </w:rPr>
              <w:t xml:space="preserve">“cigüeña negra” (peso 2900 g, longitud alar 155 cm y altura de 100 cm), y </w:t>
            </w:r>
            <w:r w:rsidRPr="000B180A">
              <w:rPr>
                <w:rFonts w:ascii="Arial Narrow" w:hAnsi="Arial Narrow"/>
                <w:i/>
                <w:iCs/>
                <w:sz w:val="24"/>
                <w:szCs w:val="24"/>
                <w:shd w:val="clear" w:color="auto" w:fill="FFFFFF"/>
                <w:lang w:val="es-ES"/>
              </w:rPr>
              <w:t>Aquila chrysaetos</w:t>
            </w:r>
            <w:r w:rsidRPr="000B180A">
              <w:rPr>
                <w:rFonts w:ascii="Arial Narrow" w:hAnsi="Arial Narrow"/>
                <w:sz w:val="24"/>
                <w:szCs w:val="24"/>
                <w:shd w:val="clear" w:color="auto" w:fill="FFFFFF"/>
                <w:lang w:val="es-ES"/>
              </w:rPr>
              <w:t xml:space="preserve"> “águila real” (peso 6000 g, longitud alar 230 cm y altura de 100 cm). Teniendo en cuenta esta información, así como las características anatómicas del </w:t>
            </w:r>
            <w:r w:rsidRPr="000B180A">
              <w:rPr>
                <w:rFonts w:ascii="Arial Narrow" w:eastAsia="Times New Roman" w:hAnsi="Arial Narrow"/>
                <w:i/>
                <w:iCs/>
                <w:sz w:val="24"/>
                <w:szCs w:val="24"/>
                <w:shd w:val="clear" w:color="auto" w:fill="FFFFFF"/>
                <w:lang w:val="es-ES" w:eastAsia="es-ES"/>
              </w:rPr>
              <w:t>Phoenicopterus ruber</w:t>
            </w:r>
            <w:r w:rsidRPr="000B180A">
              <w:rPr>
                <w:rFonts w:ascii="Arial Narrow" w:eastAsia="Times New Roman" w:hAnsi="Arial Narrow"/>
                <w:sz w:val="24"/>
                <w:szCs w:val="24"/>
                <w:shd w:val="clear" w:color="auto" w:fill="FFFFFF"/>
                <w:lang w:val="es-ES" w:eastAsia="es-ES"/>
              </w:rPr>
              <w:t xml:space="preserve"> “</w:t>
            </w:r>
            <w:r w:rsidRPr="000B180A">
              <w:rPr>
                <w:rFonts w:ascii="Arial Narrow" w:hAnsi="Arial Narrow"/>
                <w:sz w:val="24"/>
                <w:szCs w:val="24"/>
                <w:shd w:val="clear" w:color="auto" w:fill="FFFFFF"/>
                <w:lang w:val="es-ES"/>
              </w:rPr>
              <w:t xml:space="preserve">flamenco rosado”, especie emblemática de La Guajira, y la de mayor tamaño reportada para el departamento (peso 2800 g, longitud alar 400 cm, altura de 120 cm), se establece que para las áreas de mayor importancia de descanso y anidación de esta especie debe establecerse una distancia de amortiguación mínima de 3 km (p. ej. </w:t>
            </w:r>
            <w:r w:rsidRPr="000B180A">
              <w:rPr>
                <w:rFonts w:ascii="Arial Narrow" w:eastAsia="Times New Roman" w:hAnsi="Arial Narrow"/>
                <w:sz w:val="24"/>
                <w:szCs w:val="24"/>
                <w:shd w:val="clear" w:color="auto" w:fill="FFFFFF"/>
                <w:lang w:eastAsia="es-ES"/>
              </w:rPr>
              <w:t>santuario de flora y fauna de los flamencos rosados)</w:t>
            </w:r>
            <w:r w:rsidRPr="000B180A">
              <w:rPr>
                <w:rFonts w:ascii="Arial Narrow" w:hAnsi="Arial Narrow"/>
                <w:sz w:val="24"/>
                <w:szCs w:val="24"/>
                <w:shd w:val="clear" w:color="auto" w:fill="FFFFFF"/>
                <w:lang w:val="es-ES"/>
              </w:rPr>
              <w:t xml:space="preserve">. </w:t>
            </w:r>
          </w:p>
          <w:p w14:paraId="7A571B9C" w14:textId="77777777" w:rsidR="00072956" w:rsidRPr="000B180A" w:rsidRDefault="00072956" w:rsidP="007F5995">
            <w:pPr>
              <w:pStyle w:val="Prrafodelista"/>
              <w:ind w:left="630"/>
              <w:rPr>
                <w:rFonts w:ascii="Arial Narrow" w:hAnsi="Arial Narrow"/>
                <w:sz w:val="24"/>
                <w:szCs w:val="24"/>
                <w:shd w:val="clear" w:color="auto" w:fill="FFFFFF"/>
                <w:lang w:val="es-ES"/>
              </w:rPr>
            </w:pPr>
          </w:p>
          <w:p w14:paraId="7ACB174B" w14:textId="77777777" w:rsidR="00072956" w:rsidRPr="000B180A" w:rsidRDefault="00072956" w:rsidP="007F5995">
            <w:pPr>
              <w:pStyle w:val="Prrafodelista"/>
              <w:ind w:left="630"/>
              <w:rPr>
                <w:rFonts w:ascii="Arial Narrow" w:hAnsi="Arial Narrow"/>
                <w:sz w:val="24"/>
                <w:szCs w:val="24"/>
                <w:shd w:val="clear" w:color="auto" w:fill="FFFFFF"/>
                <w:lang w:val="es-ES"/>
              </w:rPr>
            </w:pPr>
            <w:r w:rsidRPr="000B180A">
              <w:rPr>
                <w:rFonts w:ascii="Arial Narrow" w:hAnsi="Arial Narrow"/>
                <w:sz w:val="24"/>
                <w:szCs w:val="24"/>
                <w:shd w:val="clear" w:color="auto" w:fill="FFFFFF"/>
                <w:lang w:val="es-ES"/>
              </w:rPr>
              <w:t>De igual forma, para áreas identificadas como de anidación y maternidad (p. ej. Cuevas en Cuervo-Robayo et al. 2024) de especies migratorias de murciélagos se establece una distancia de 3 km que permita mantener su conservación (Voigt et al. 2024).</w:t>
            </w:r>
          </w:p>
          <w:p w14:paraId="5C49A08A" w14:textId="77777777" w:rsidR="00072956" w:rsidRPr="000B180A" w:rsidRDefault="00072956" w:rsidP="007F5995">
            <w:pPr>
              <w:pStyle w:val="Prrafodelista"/>
              <w:ind w:left="630"/>
              <w:rPr>
                <w:rFonts w:ascii="Arial Narrow" w:eastAsia="Times New Roman" w:hAnsi="Arial Narrow"/>
                <w:sz w:val="24"/>
                <w:szCs w:val="24"/>
                <w:shd w:val="clear" w:color="auto" w:fill="FFFFFF"/>
                <w:lang w:eastAsia="es-ES"/>
              </w:rPr>
            </w:pPr>
          </w:p>
          <w:p w14:paraId="0FA0B78F" w14:textId="77777777" w:rsidR="00072956" w:rsidRPr="000B180A" w:rsidRDefault="00072956" w:rsidP="007F5995">
            <w:pPr>
              <w:pStyle w:val="Prrafodelista"/>
              <w:ind w:left="630"/>
              <w:rPr>
                <w:rFonts w:ascii="Arial Narrow" w:hAnsi="Arial Narrow"/>
                <w:sz w:val="24"/>
                <w:szCs w:val="24"/>
              </w:rPr>
            </w:pPr>
            <w:r w:rsidRPr="000B180A">
              <w:rPr>
                <w:rFonts w:ascii="Arial Narrow" w:eastAsia="Times New Roman" w:hAnsi="Arial Narrow"/>
                <w:sz w:val="24"/>
                <w:szCs w:val="24"/>
                <w:shd w:val="clear" w:color="auto" w:fill="FFFFFF"/>
                <w:lang w:eastAsia="es-ES"/>
              </w:rPr>
              <w:t xml:space="preserve">Complementariamente,  mediante mesa interinstitucional de trabajo entre el </w:t>
            </w:r>
            <w:r w:rsidRPr="000B180A">
              <w:rPr>
                <w:rFonts w:ascii="Arial Narrow" w:hAnsi="Arial Narrow"/>
                <w:b/>
                <w:bCs/>
                <w:sz w:val="24"/>
                <w:szCs w:val="24"/>
              </w:rPr>
              <w:t>Ministerio de Ambiente y Desarrollo Sostenible</w:t>
            </w:r>
            <w:r w:rsidRPr="000B180A">
              <w:rPr>
                <w:rFonts w:ascii="Arial Narrow" w:hAnsi="Arial Narrow"/>
                <w:sz w:val="24"/>
                <w:szCs w:val="24"/>
              </w:rPr>
              <w:t xml:space="preserve">, el </w:t>
            </w:r>
            <w:r w:rsidRPr="000B180A">
              <w:rPr>
                <w:rFonts w:ascii="Arial Narrow" w:hAnsi="Arial Narrow"/>
                <w:b/>
                <w:bCs/>
                <w:sz w:val="24"/>
                <w:szCs w:val="24"/>
              </w:rPr>
              <w:t>Instituto de Investigación de Recursos Biológicos Alexander von Humboldt</w:t>
            </w:r>
            <w:r w:rsidRPr="000B180A">
              <w:rPr>
                <w:rFonts w:ascii="Arial Narrow" w:hAnsi="Arial Narrow"/>
                <w:sz w:val="24"/>
                <w:szCs w:val="24"/>
              </w:rPr>
              <w:t xml:space="preserve"> y </w:t>
            </w:r>
            <w:r w:rsidRPr="000B180A">
              <w:rPr>
                <w:rFonts w:ascii="Arial Narrow" w:hAnsi="Arial Narrow"/>
                <w:b/>
                <w:bCs/>
                <w:sz w:val="24"/>
                <w:szCs w:val="24"/>
              </w:rPr>
              <w:t>la Autoridad Nacional de Licencias Ambientales</w:t>
            </w:r>
            <w:r w:rsidRPr="000B180A">
              <w:rPr>
                <w:rFonts w:ascii="Arial Narrow" w:hAnsi="Arial Narrow"/>
                <w:sz w:val="24"/>
                <w:szCs w:val="24"/>
              </w:rPr>
              <w:t>, se identificaron zonas específicas que representan áreas de importancia para la fauna voladora de e</w:t>
            </w:r>
            <w:r w:rsidRPr="008A1BA7">
              <w:rPr>
                <w:rFonts w:ascii="Arial Narrow" w:hAnsi="Arial Narrow"/>
                <w:sz w:val="24"/>
                <w:szCs w:val="24"/>
              </w:rPr>
              <w:t>species migratorias y residentes de aves y murciélagos (dormideros, zonas de anidación, descanso, cuevas o colonias de reproducción) basados en la información existente científica y el conocimiento experto de cada entidad y publicaciones científicas, en la zona de La Guajira, donde se concentra el mayor potencial de generación:</w:t>
            </w:r>
          </w:p>
          <w:p w14:paraId="23AEB23B" w14:textId="77777777" w:rsidR="00072956" w:rsidRPr="000B180A" w:rsidRDefault="00072956" w:rsidP="007F5995">
            <w:pPr>
              <w:pStyle w:val="Prrafodelista"/>
              <w:ind w:left="630"/>
              <w:rPr>
                <w:rFonts w:ascii="Arial Narrow" w:hAnsi="Arial Narrow"/>
                <w:sz w:val="24"/>
                <w:szCs w:val="24"/>
              </w:rPr>
            </w:pPr>
          </w:p>
          <w:p w14:paraId="7FF84DA2" w14:textId="77777777" w:rsidR="00072956" w:rsidRPr="000B180A" w:rsidRDefault="00072956" w:rsidP="007F5995">
            <w:pPr>
              <w:pStyle w:val="Prrafodelista"/>
              <w:numPr>
                <w:ilvl w:val="2"/>
                <w:numId w:val="21"/>
              </w:numPr>
              <w:rPr>
                <w:rFonts w:ascii="Arial Narrow" w:hAnsi="Arial Narrow"/>
                <w:sz w:val="24"/>
                <w:szCs w:val="24"/>
              </w:rPr>
            </w:pPr>
            <w:r w:rsidRPr="000B180A">
              <w:rPr>
                <w:rFonts w:ascii="Arial Narrow" w:hAnsi="Arial Narrow"/>
                <w:sz w:val="24"/>
                <w:szCs w:val="24"/>
              </w:rPr>
              <w:t>En primera instancia, la mesa realizó un análisis de interpolación de densidad de Kernel, a partir de puntos de registro de especies de aves migratorias y residentes priorizadas, suavizando las densidades de forma circular a través de un radio de 30 m. Este ejercicio permitió identificar las siguientes áreas de mayor importancia:</w:t>
            </w:r>
          </w:p>
          <w:p w14:paraId="73C735A3" w14:textId="77777777" w:rsidR="00072956" w:rsidRPr="000B180A" w:rsidRDefault="00072956" w:rsidP="007F5995">
            <w:pPr>
              <w:pStyle w:val="Prrafodelista"/>
              <w:ind w:left="1335"/>
              <w:rPr>
                <w:rFonts w:ascii="Arial Narrow" w:hAnsi="Arial Narrow"/>
                <w:sz w:val="24"/>
                <w:szCs w:val="24"/>
              </w:rPr>
            </w:pPr>
          </w:p>
          <w:p w14:paraId="3C619CBC" w14:textId="77777777" w:rsidR="00072956" w:rsidRPr="000B180A" w:rsidRDefault="00072956" w:rsidP="007F5995">
            <w:pPr>
              <w:pStyle w:val="Prrafodelista"/>
              <w:ind w:left="1335"/>
              <w:jc w:val="center"/>
              <w:rPr>
                <w:rFonts w:ascii="Arial Narrow" w:hAnsi="Arial Narrow"/>
                <w:sz w:val="24"/>
                <w:szCs w:val="24"/>
              </w:rPr>
            </w:pPr>
            <w:r w:rsidRPr="000B180A">
              <w:rPr>
                <w:rFonts w:ascii="Arial Narrow" w:hAnsi="Arial Narrow"/>
                <w:sz w:val="24"/>
                <w:szCs w:val="24"/>
                <w:shd w:val="clear" w:color="auto" w:fill="FFFFFF"/>
              </w:rPr>
              <w:t xml:space="preserve">Figura </w:t>
            </w:r>
            <w:r w:rsidRPr="000B180A">
              <w:rPr>
                <w:rFonts w:ascii="Arial Narrow" w:hAnsi="Arial Narrow"/>
                <w:sz w:val="24"/>
                <w:szCs w:val="24"/>
                <w:shd w:val="clear" w:color="auto" w:fill="FFFFFF"/>
              </w:rPr>
              <w:fldChar w:fldCharType="begin"/>
            </w:r>
            <w:r w:rsidRPr="000B180A">
              <w:rPr>
                <w:rFonts w:ascii="Arial Narrow" w:hAnsi="Arial Narrow"/>
                <w:sz w:val="24"/>
                <w:szCs w:val="24"/>
                <w:shd w:val="clear" w:color="auto" w:fill="FFFFFF"/>
              </w:rPr>
              <w:instrText xml:space="preserve"> SEQ Figura \* ARABIC </w:instrText>
            </w:r>
            <w:r w:rsidRPr="000B180A">
              <w:rPr>
                <w:rFonts w:ascii="Arial Narrow" w:hAnsi="Arial Narrow"/>
                <w:sz w:val="24"/>
                <w:szCs w:val="24"/>
                <w:shd w:val="clear" w:color="auto" w:fill="FFFFFF"/>
              </w:rPr>
              <w:fldChar w:fldCharType="separate"/>
            </w:r>
            <w:r w:rsidRPr="000B180A">
              <w:rPr>
                <w:rFonts w:ascii="Arial Narrow" w:hAnsi="Arial Narrow"/>
                <w:noProof/>
                <w:sz w:val="24"/>
                <w:szCs w:val="24"/>
                <w:shd w:val="clear" w:color="auto" w:fill="FFFFFF"/>
              </w:rPr>
              <w:t>12</w:t>
            </w:r>
            <w:r w:rsidRPr="000B180A">
              <w:rPr>
                <w:rFonts w:ascii="Arial Narrow" w:hAnsi="Arial Narrow"/>
                <w:sz w:val="24"/>
                <w:szCs w:val="24"/>
                <w:shd w:val="clear" w:color="auto" w:fill="FFFFFF"/>
              </w:rPr>
              <w:fldChar w:fldCharType="end"/>
            </w:r>
            <w:r w:rsidRPr="000B180A">
              <w:rPr>
                <w:rFonts w:ascii="Arial Narrow" w:hAnsi="Arial Narrow"/>
                <w:sz w:val="24"/>
                <w:szCs w:val="24"/>
                <w:shd w:val="clear" w:color="auto" w:fill="FFFFFF"/>
              </w:rPr>
              <w:t xml:space="preserve">: </w:t>
            </w:r>
            <w:r w:rsidRPr="000B180A">
              <w:rPr>
                <w:rFonts w:ascii="Arial Narrow" w:hAnsi="Arial Narrow"/>
                <w:sz w:val="24"/>
                <w:szCs w:val="24"/>
              </w:rPr>
              <w:t>Interpolación de densidad de Kernel, a partir de puntos de registro de especies de aves migratorias y residentes priorizadas</w:t>
            </w:r>
          </w:p>
          <w:p w14:paraId="07C6AF24" w14:textId="77777777" w:rsidR="00072956" w:rsidRPr="000B180A" w:rsidRDefault="00072956" w:rsidP="007F5995">
            <w:pPr>
              <w:pStyle w:val="Prrafodelista"/>
              <w:ind w:left="1335"/>
              <w:jc w:val="center"/>
              <w:rPr>
                <w:rFonts w:ascii="Arial Narrow" w:hAnsi="Arial Narrow"/>
                <w:sz w:val="24"/>
                <w:szCs w:val="24"/>
              </w:rPr>
            </w:pPr>
            <w:r w:rsidRPr="000B180A">
              <w:rPr>
                <w:rFonts w:ascii="Arial Narrow" w:hAnsi="Arial Narrow"/>
                <w:noProof/>
                <w:sz w:val="24"/>
                <w:szCs w:val="24"/>
              </w:rPr>
              <w:drawing>
                <wp:inline distT="0" distB="0" distL="0" distR="0" wp14:anchorId="5AF1680C" wp14:editId="38E57019">
                  <wp:extent cx="4658685" cy="3600000"/>
                  <wp:effectExtent l="0" t="0" r="8890" b="635"/>
                  <wp:docPr id="1430676282" name="Imagen 9"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676282" name="Imagen 9" descr="Mapa&#10;&#10;El contenido generado por IA puede ser incorrect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58685" cy="3600000"/>
                          </a:xfrm>
                          <a:prstGeom prst="rect">
                            <a:avLst/>
                          </a:prstGeom>
                          <a:noFill/>
                          <a:ln>
                            <a:noFill/>
                          </a:ln>
                        </pic:spPr>
                      </pic:pic>
                    </a:graphicData>
                  </a:graphic>
                </wp:inline>
              </w:drawing>
            </w:r>
          </w:p>
          <w:p w14:paraId="6C39BF8F" w14:textId="77777777" w:rsidR="00072956" w:rsidRPr="000B180A" w:rsidRDefault="00072956" w:rsidP="007F5995">
            <w:pPr>
              <w:pStyle w:val="Prrafodelista"/>
              <w:ind w:left="1335"/>
              <w:jc w:val="center"/>
              <w:rPr>
                <w:rFonts w:ascii="Arial Narrow" w:hAnsi="Arial Narrow"/>
                <w:sz w:val="24"/>
                <w:szCs w:val="24"/>
              </w:rPr>
            </w:pPr>
            <w:r w:rsidRPr="000B180A">
              <w:rPr>
                <w:rFonts w:ascii="Arial Narrow" w:hAnsi="Arial Narrow"/>
                <w:sz w:val="24"/>
                <w:szCs w:val="24"/>
              </w:rPr>
              <w:t>Fuente: ANLA, MinAmbiente &amp; IAVH, 2025</w:t>
            </w:r>
          </w:p>
          <w:p w14:paraId="7E76B5B9" w14:textId="77777777" w:rsidR="00072956" w:rsidRPr="000B180A" w:rsidRDefault="00072956" w:rsidP="007F5995">
            <w:pPr>
              <w:shd w:val="clear" w:color="auto" w:fill="FFFFFF"/>
              <w:spacing w:before="100" w:beforeAutospacing="1"/>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Tabla 2. Especies de aves priorizadas para el primer análisis</w:t>
            </w:r>
          </w:p>
          <w:tbl>
            <w:tblPr>
              <w:tblW w:w="5360" w:type="dxa"/>
              <w:jc w:val="center"/>
              <w:tblLook w:val="04A0" w:firstRow="1" w:lastRow="0" w:firstColumn="1" w:lastColumn="0" w:noHBand="0" w:noVBand="1"/>
            </w:tblPr>
            <w:tblGrid>
              <w:gridCol w:w="2660"/>
              <w:gridCol w:w="2700"/>
            </w:tblGrid>
            <w:tr w:rsidR="00072956" w:rsidRPr="000B180A" w14:paraId="103968EA" w14:textId="77777777" w:rsidTr="007F5995">
              <w:trPr>
                <w:trHeight w:val="227"/>
                <w:jc w:val="center"/>
              </w:trPr>
              <w:tc>
                <w:tcPr>
                  <w:tcW w:w="2660" w:type="dxa"/>
                  <w:tcBorders>
                    <w:top w:val="single" w:sz="4" w:space="0" w:color="auto"/>
                    <w:left w:val="single" w:sz="4" w:space="0" w:color="auto"/>
                    <w:bottom w:val="single" w:sz="4" w:space="0" w:color="auto"/>
                    <w:right w:val="single" w:sz="4" w:space="0" w:color="auto"/>
                  </w:tcBorders>
                  <w:noWrap/>
                  <w:vAlign w:val="bottom"/>
                  <w:hideMark/>
                </w:tcPr>
                <w:p w14:paraId="2B268640" w14:textId="77777777" w:rsidR="00072956" w:rsidRPr="001E646E" w:rsidRDefault="00072956" w:rsidP="007F5995">
                  <w:pPr>
                    <w:jc w:val="center"/>
                    <w:rPr>
                      <w:rFonts w:ascii="Arial Narrow" w:hAnsi="Arial Narrow" w:cs="Arial"/>
                      <w:sz w:val="18"/>
                      <w:szCs w:val="18"/>
                      <w:lang w:val="es-CO" w:eastAsia="en-GB"/>
                    </w:rPr>
                  </w:pPr>
                  <w:r w:rsidRPr="000B180A">
                    <w:rPr>
                      <w:rFonts w:ascii="Arial Narrow" w:hAnsi="Arial Narrow" w:cs="Arial"/>
                      <w:sz w:val="18"/>
                      <w:szCs w:val="18"/>
                    </w:rPr>
                    <w:t>FAMILIA</w:t>
                  </w:r>
                </w:p>
              </w:tc>
              <w:tc>
                <w:tcPr>
                  <w:tcW w:w="2700" w:type="dxa"/>
                  <w:tcBorders>
                    <w:top w:val="single" w:sz="4" w:space="0" w:color="auto"/>
                    <w:left w:val="nil"/>
                    <w:bottom w:val="single" w:sz="4" w:space="0" w:color="auto"/>
                    <w:right w:val="single" w:sz="4" w:space="0" w:color="auto"/>
                  </w:tcBorders>
                  <w:noWrap/>
                  <w:vAlign w:val="bottom"/>
                  <w:hideMark/>
                </w:tcPr>
                <w:p w14:paraId="7FF90B74"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ESPECIE</w:t>
                  </w:r>
                </w:p>
              </w:tc>
            </w:tr>
            <w:tr w:rsidR="00072956" w:rsidRPr="000B180A" w14:paraId="23FC86CD" w14:textId="77777777" w:rsidTr="007F5995">
              <w:trPr>
                <w:trHeight w:val="227"/>
                <w:jc w:val="center"/>
              </w:trPr>
              <w:tc>
                <w:tcPr>
                  <w:tcW w:w="2660" w:type="dxa"/>
                  <w:vMerge w:val="restart"/>
                  <w:tcBorders>
                    <w:top w:val="nil"/>
                    <w:left w:val="single" w:sz="4" w:space="0" w:color="auto"/>
                    <w:bottom w:val="single" w:sz="4" w:space="0" w:color="000000"/>
                    <w:right w:val="single" w:sz="4" w:space="0" w:color="auto"/>
                  </w:tcBorders>
                  <w:noWrap/>
                  <w:vAlign w:val="center"/>
                  <w:hideMark/>
                </w:tcPr>
                <w:p w14:paraId="057A9195"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Accipitridae</w:t>
                  </w:r>
                </w:p>
              </w:tc>
              <w:tc>
                <w:tcPr>
                  <w:tcW w:w="2700" w:type="dxa"/>
                  <w:tcBorders>
                    <w:top w:val="nil"/>
                    <w:left w:val="nil"/>
                    <w:bottom w:val="single" w:sz="4" w:space="0" w:color="auto"/>
                    <w:right w:val="single" w:sz="4" w:space="0" w:color="auto"/>
                  </w:tcBorders>
                  <w:noWrap/>
                  <w:vAlign w:val="bottom"/>
                  <w:hideMark/>
                </w:tcPr>
                <w:p w14:paraId="4A2FB9ED"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Accipiter poliogaster</w:t>
                  </w:r>
                </w:p>
              </w:tc>
            </w:tr>
            <w:tr w:rsidR="00072956" w:rsidRPr="000B180A" w14:paraId="226CD971"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29CC27D0"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18201907"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Harpia harpyja</w:t>
                  </w:r>
                </w:p>
              </w:tc>
            </w:tr>
            <w:tr w:rsidR="00072956" w:rsidRPr="000B180A" w14:paraId="1A6EC8AA"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44DE8ADC"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2881E65A"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Harpyhaliaetus solitarius</w:t>
                  </w:r>
                </w:p>
              </w:tc>
            </w:tr>
            <w:tr w:rsidR="00072956" w:rsidRPr="000B180A" w14:paraId="7AE92ED8"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2714DD8D"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6684421D"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Morphnus guianensis</w:t>
                  </w:r>
                </w:p>
              </w:tc>
            </w:tr>
            <w:tr w:rsidR="00072956" w:rsidRPr="000B180A" w14:paraId="675F5009"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5EB70C47"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2F5EEAB8"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Spizaetus ornatus</w:t>
                  </w:r>
                </w:p>
              </w:tc>
            </w:tr>
            <w:tr w:rsidR="00072956" w:rsidRPr="000B180A" w14:paraId="12D3FA17" w14:textId="77777777" w:rsidTr="007F5995">
              <w:trPr>
                <w:trHeight w:val="227"/>
                <w:jc w:val="center"/>
              </w:trPr>
              <w:tc>
                <w:tcPr>
                  <w:tcW w:w="2660" w:type="dxa"/>
                  <w:tcBorders>
                    <w:top w:val="nil"/>
                    <w:left w:val="single" w:sz="4" w:space="0" w:color="auto"/>
                    <w:bottom w:val="nil"/>
                    <w:right w:val="single" w:sz="4" w:space="0" w:color="auto"/>
                  </w:tcBorders>
                  <w:noWrap/>
                  <w:vAlign w:val="bottom"/>
                  <w:hideMark/>
                </w:tcPr>
                <w:p w14:paraId="4E8E5624"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Apodidae</w:t>
                  </w:r>
                </w:p>
              </w:tc>
              <w:tc>
                <w:tcPr>
                  <w:tcW w:w="2700" w:type="dxa"/>
                  <w:tcBorders>
                    <w:top w:val="nil"/>
                    <w:left w:val="nil"/>
                    <w:bottom w:val="single" w:sz="4" w:space="0" w:color="auto"/>
                    <w:right w:val="single" w:sz="4" w:space="0" w:color="auto"/>
                  </w:tcBorders>
                  <w:noWrap/>
                  <w:vAlign w:val="bottom"/>
                  <w:hideMark/>
                </w:tcPr>
                <w:p w14:paraId="458B79FF"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Chaetura pelagica</w:t>
                  </w:r>
                </w:p>
              </w:tc>
            </w:tr>
            <w:tr w:rsidR="00072956" w:rsidRPr="000B180A" w14:paraId="1ED7082A" w14:textId="77777777" w:rsidTr="007F5995">
              <w:trPr>
                <w:trHeight w:val="227"/>
                <w:jc w:val="center"/>
              </w:trPr>
              <w:tc>
                <w:tcPr>
                  <w:tcW w:w="2660" w:type="dxa"/>
                  <w:tcBorders>
                    <w:top w:val="single" w:sz="4" w:space="0" w:color="auto"/>
                    <w:left w:val="single" w:sz="4" w:space="0" w:color="auto"/>
                    <w:bottom w:val="single" w:sz="4" w:space="0" w:color="auto"/>
                    <w:right w:val="single" w:sz="4" w:space="0" w:color="auto"/>
                  </w:tcBorders>
                  <w:noWrap/>
                  <w:vAlign w:val="bottom"/>
                  <w:hideMark/>
                </w:tcPr>
                <w:p w14:paraId="692DFEA6"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Caprimulgidae</w:t>
                  </w:r>
                </w:p>
              </w:tc>
              <w:tc>
                <w:tcPr>
                  <w:tcW w:w="2700" w:type="dxa"/>
                  <w:tcBorders>
                    <w:top w:val="nil"/>
                    <w:left w:val="nil"/>
                    <w:bottom w:val="single" w:sz="4" w:space="0" w:color="auto"/>
                    <w:right w:val="single" w:sz="4" w:space="0" w:color="auto"/>
                  </w:tcBorders>
                  <w:noWrap/>
                  <w:vAlign w:val="bottom"/>
                  <w:hideMark/>
                </w:tcPr>
                <w:p w14:paraId="248F0C49"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Antrostomus carolinensis</w:t>
                  </w:r>
                </w:p>
              </w:tc>
            </w:tr>
            <w:tr w:rsidR="00072956" w:rsidRPr="000B180A" w14:paraId="430A99AF" w14:textId="77777777" w:rsidTr="007F5995">
              <w:trPr>
                <w:trHeight w:val="227"/>
                <w:jc w:val="center"/>
              </w:trPr>
              <w:tc>
                <w:tcPr>
                  <w:tcW w:w="2660" w:type="dxa"/>
                  <w:tcBorders>
                    <w:top w:val="nil"/>
                    <w:left w:val="single" w:sz="4" w:space="0" w:color="auto"/>
                    <w:bottom w:val="single" w:sz="4" w:space="0" w:color="auto"/>
                    <w:right w:val="single" w:sz="4" w:space="0" w:color="auto"/>
                  </w:tcBorders>
                  <w:noWrap/>
                  <w:vAlign w:val="bottom"/>
                  <w:hideMark/>
                </w:tcPr>
                <w:p w14:paraId="3A60FD36"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Columbidae</w:t>
                  </w:r>
                </w:p>
              </w:tc>
              <w:tc>
                <w:tcPr>
                  <w:tcW w:w="2700" w:type="dxa"/>
                  <w:tcBorders>
                    <w:top w:val="nil"/>
                    <w:left w:val="nil"/>
                    <w:bottom w:val="single" w:sz="4" w:space="0" w:color="auto"/>
                    <w:right w:val="single" w:sz="4" w:space="0" w:color="auto"/>
                  </w:tcBorders>
                  <w:noWrap/>
                  <w:vAlign w:val="bottom"/>
                  <w:hideMark/>
                </w:tcPr>
                <w:p w14:paraId="35DEE52C"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Patagioenas leucocephala</w:t>
                  </w:r>
                </w:p>
              </w:tc>
            </w:tr>
            <w:tr w:rsidR="00072956" w:rsidRPr="000B180A" w14:paraId="7A2208FB" w14:textId="77777777" w:rsidTr="007F5995">
              <w:trPr>
                <w:trHeight w:val="227"/>
                <w:jc w:val="center"/>
              </w:trPr>
              <w:tc>
                <w:tcPr>
                  <w:tcW w:w="2660" w:type="dxa"/>
                  <w:tcBorders>
                    <w:top w:val="nil"/>
                    <w:left w:val="single" w:sz="4" w:space="0" w:color="auto"/>
                    <w:bottom w:val="single" w:sz="4" w:space="0" w:color="auto"/>
                    <w:right w:val="single" w:sz="4" w:space="0" w:color="auto"/>
                  </w:tcBorders>
                  <w:noWrap/>
                  <w:vAlign w:val="bottom"/>
                  <w:hideMark/>
                </w:tcPr>
                <w:p w14:paraId="08B69A1B"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Laridae</w:t>
                  </w:r>
                </w:p>
              </w:tc>
              <w:tc>
                <w:tcPr>
                  <w:tcW w:w="2700" w:type="dxa"/>
                  <w:tcBorders>
                    <w:top w:val="nil"/>
                    <w:left w:val="nil"/>
                    <w:bottom w:val="single" w:sz="4" w:space="0" w:color="auto"/>
                    <w:right w:val="single" w:sz="4" w:space="0" w:color="auto"/>
                  </w:tcBorders>
                  <w:noWrap/>
                  <w:vAlign w:val="bottom"/>
                  <w:hideMark/>
                </w:tcPr>
                <w:p w14:paraId="6042B4E1"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Thalasseus elegans</w:t>
                  </w:r>
                </w:p>
              </w:tc>
            </w:tr>
            <w:tr w:rsidR="00072956" w:rsidRPr="000B180A" w14:paraId="6FE6ABE0" w14:textId="77777777" w:rsidTr="007F5995">
              <w:trPr>
                <w:trHeight w:val="227"/>
                <w:jc w:val="center"/>
              </w:trPr>
              <w:tc>
                <w:tcPr>
                  <w:tcW w:w="2660" w:type="dxa"/>
                  <w:tcBorders>
                    <w:top w:val="nil"/>
                    <w:left w:val="single" w:sz="4" w:space="0" w:color="auto"/>
                    <w:bottom w:val="single" w:sz="4" w:space="0" w:color="auto"/>
                    <w:right w:val="single" w:sz="4" w:space="0" w:color="auto"/>
                  </w:tcBorders>
                  <w:noWrap/>
                  <w:vAlign w:val="bottom"/>
                  <w:hideMark/>
                </w:tcPr>
                <w:p w14:paraId="06BF7EF2"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Phoenicopteridae</w:t>
                  </w:r>
                </w:p>
              </w:tc>
              <w:tc>
                <w:tcPr>
                  <w:tcW w:w="2700" w:type="dxa"/>
                  <w:tcBorders>
                    <w:top w:val="nil"/>
                    <w:left w:val="nil"/>
                    <w:bottom w:val="single" w:sz="4" w:space="0" w:color="auto"/>
                    <w:right w:val="single" w:sz="4" w:space="0" w:color="auto"/>
                  </w:tcBorders>
                  <w:noWrap/>
                  <w:vAlign w:val="bottom"/>
                  <w:hideMark/>
                </w:tcPr>
                <w:p w14:paraId="7B75C3D5"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Phoenicopterus ruber</w:t>
                  </w:r>
                </w:p>
              </w:tc>
            </w:tr>
            <w:tr w:rsidR="00072956" w:rsidRPr="000B180A" w14:paraId="43326305" w14:textId="77777777" w:rsidTr="007F5995">
              <w:trPr>
                <w:trHeight w:val="227"/>
                <w:jc w:val="center"/>
              </w:trPr>
              <w:tc>
                <w:tcPr>
                  <w:tcW w:w="2660" w:type="dxa"/>
                  <w:vMerge w:val="restart"/>
                  <w:tcBorders>
                    <w:top w:val="nil"/>
                    <w:left w:val="single" w:sz="4" w:space="0" w:color="auto"/>
                    <w:bottom w:val="single" w:sz="4" w:space="0" w:color="000000"/>
                    <w:right w:val="single" w:sz="4" w:space="0" w:color="auto"/>
                  </w:tcBorders>
                  <w:noWrap/>
                  <w:vAlign w:val="center"/>
                  <w:hideMark/>
                </w:tcPr>
                <w:p w14:paraId="7F5CA6FC"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Scolopacidae</w:t>
                  </w:r>
                </w:p>
              </w:tc>
              <w:tc>
                <w:tcPr>
                  <w:tcW w:w="2700" w:type="dxa"/>
                  <w:tcBorders>
                    <w:top w:val="nil"/>
                    <w:left w:val="nil"/>
                    <w:bottom w:val="single" w:sz="4" w:space="0" w:color="auto"/>
                    <w:right w:val="single" w:sz="4" w:space="0" w:color="auto"/>
                  </w:tcBorders>
                  <w:noWrap/>
                  <w:vAlign w:val="bottom"/>
                  <w:hideMark/>
                </w:tcPr>
                <w:p w14:paraId="207F0012"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Arenaria interpres</w:t>
                  </w:r>
                </w:p>
              </w:tc>
            </w:tr>
            <w:tr w:rsidR="00072956" w:rsidRPr="000B180A" w14:paraId="473BD1A4"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7F0D7E4B"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43B30E63"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Calidris alpina</w:t>
                  </w:r>
                </w:p>
              </w:tc>
            </w:tr>
            <w:tr w:rsidR="00072956" w:rsidRPr="000B180A" w14:paraId="26C488AA"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5CE66D13"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0EF34C58"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Calidris canutus</w:t>
                  </w:r>
                </w:p>
              </w:tc>
            </w:tr>
            <w:tr w:rsidR="00072956" w:rsidRPr="000B180A" w14:paraId="143551C5"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5CBB9A2D"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2416A7EF"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Calidris fuscicollis</w:t>
                  </w:r>
                </w:p>
              </w:tc>
            </w:tr>
            <w:tr w:rsidR="00072956" w:rsidRPr="000B180A" w14:paraId="4DC26D60"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5C8EB327"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697BCF09"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Calidris pusilla</w:t>
                  </w:r>
                </w:p>
              </w:tc>
            </w:tr>
            <w:tr w:rsidR="00072956" w:rsidRPr="000B180A" w14:paraId="73BD7DD0"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36EAE54D"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6C6B8440"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Calidris subruficollis</w:t>
                  </w:r>
                </w:p>
              </w:tc>
            </w:tr>
            <w:tr w:rsidR="00072956" w:rsidRPr="000B180A" w14:paraId="2477D9BA"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47908A6D"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0F1B46CD"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Limnodromus griseus</w:t>
                  </w:r>
                </w:p>
              </w:tc>
            </w:tr>
            <w:tr w:rsidR="00072956" w:rsidRPr="000B180A" w14:paraId="2C2E64BD"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24E87157"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0450D600"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Limosa fedoa</w:t>
                  </w:r>
                </w:p>
              </w:tc>
            </w:tr>
            <w:tr w:rsidR="00072956" w:rsidRPr="000B180A" w14:paraId="0A9D8084"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0ADB7CFB"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21566641"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Limosa haemastica</w:t>
                  </w:r>
                </w:p>
              </w:tc>
            </w:tr>
            <w:tr w:rsidR="00072956" w:rsidRPr="000B180A" w14:paraId="2929A2E7"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57580492"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66B42CDA"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Tringa flavipes</w:t>
                  </w:r>
                </w:p>
              </w:tc>
            </w:tr>
            <w:tr w:rsidR="00072956" w:rsidRPr="000B180A" w14:paraId="29F4646E" w14:textId="77777777" w:rsidTr="007F5995">
              <w:trPr>
                <w:trHeight w:val="227"/>
                <w:jc w:val="center"/>
              </w:trPr>
              <w:tc>
                <w:tcPr>
                  <w:tcW w:w="2660" w:type="dxa"/>
                  <w:vMerge/>
                  <w:tcBorders>
                    <w:top w:val="nil"/>
                    <w:left w:val="single" w:sz="4" w:space="0" w:color="auto"/>
                    <w:bottom w:val="single" w:sz="4" w:space="0" w:color="000000"/>
                    <w:right w:val="single" w:sz="4" w:space="0" w:color="auto"/>
                  </w:tcBorders>
                  <w:vAlign w:val="center"/>
                  <w:hideMark/>
                </w:tcPr>
                <w:p w14:paraId="3D5B4D7D" w14:textId="77777777" w:rsidR="00072956" w:rsidRPr="000B180A" w:rsidRDefault="00072956" w:rsidP="007F5995">
                  <w:pPr>
                    <w:rPr>
                      <w:rFonts w:ascii="Arial Narrow" w:hAnsi="Arial Narrow" w:cs="Arial"/>
                      <w:sz w:val="18"/>
                      <w:szCs w:val="18"/>
                    </w:rPr>
                  </w:pPr>
                </w:p>
              </w:tc>
              <w:tc>
                <w:tcPr>
                  <w:tcW w:w="2700" w:type="dxa"/>
                  <w:tcBorders>
                    <w:top w:val="nil"/>
                    <w:left w:val="nil"/>
                    <w:bottom w:val="single" w:sz="4" w:space="0" w:color="auto"/>
                    <w:right w:val="single" w:sz="4" w:space="0" w:color="auto"/>
                  </w:tcBorders>
                  <w:noWrap/>
                  <w:vAlign w:val="bottom"/>
                  <w:hideMark/>
                </w:tcPr>
                <w:p w14:paraId="72B87884"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Tringa melanoleuca</w:t>
                  </w:r>
                </w:p>
              </w:tc>
            </w:tr>
          </w:tbl>
          <w:p w14:paraId="1FBD88D5" w14:textId="77777777" w:rsidR="00072956" w:rsidRPr="000B180A" w:rsidRDefault="00072956" w:rsidP="007F5995">
            <w:pPr>
              <w:pStyle w:val="Prrafodelista"/>
              <w:ind w:left="1440"/>
              <w:jc w:val="center"/>
              <w:rPr>
                <w:rFonts w:ascii="Arial Narrow" w:hAnsi="Arial Narrow"/>
                <w:sz w:val="24"/>
                <w:szCs w:val="24"/>
              </w:rPr>
            </w:pPr>
            <w:r w:rsidRPr="000B180A">
              <w:rPr>
                <w:rFonts w:ascii="Arial Narrow" w:hAnsi="Arial Narrow"/>
                <w:sz w:val="24"/>
                <w:szCs w:val="24"/>
              </w:rPr>
              <w:t>Fuente: ANLA, MinAmbiente &amp; IAVH, 2025</w:t>
            </w:r>
          </w:p>
          <w:p w14:paraId="4537280C" w14:textId="77777777" w:rsidR="00072956" w:rsidRPr="000B180A" w:rsidRDefault="00072956" w:rsidP="007F5995">
            <w:pPr>
              <w:pStyle w:val="Prrafodelista"/>
              <w:ind w:left="1440"/>
              <w:rPr>
                <w:rFonts w:ascii="Arial Narrow" w:hAnsi="Arial Narrow"/>
                <w:sz w:val="24"/>
                <w:szCs w:val="24"/>
              </w:rPr>
            </w:pPr>
          </w:p>
          <w:p w14:paraId="700837F0" w14:textId="77777777" w:rsidR="00072956" w:rsidRPr="000B180A" w:rsidRDefault="00072956" w:rsidP="007F5995">
            <w:pPr>
              <w:pStyle w:val="Prrafodelista"/>
              <w:numPr>
                <w:ilvl w:val="2"/>
                <w:numId w:val="21"/>
              </w:numPr>
              <w:rPr>
                <w:rFonts w:ascii="Arial Narrow" w:hAnsi="Arial Narrow"/>
                <w:sz w:val="24"/>
                <w:szCs w:val="24"/>
              </w:rPr>
            </w:pPr>
            <w:r w:rsidRPr="000B180A">
              <w:rPr>
                <w:rFonts w:ascii="Arial Narrow" w:hAnsi="Arial Narrow"/>
                <w:sz w:val="24"/>
                <w:szCs w:val="24"/>
              </w:rPr>
              <w:t>En segundo término, se amplió el número de especies de aves priorizadas basados en el documento de Morales-Rozo (2006), para estimar el número de registros por celdas de lado de un kilómetro cuadrado (km</w:t>
            </w:r>
            <w:r w:rsidRPr="000B180A">
              <w:rPr>
                <w:rFonts w:ascii="Arial Narrow" w:hAnsi="Arial Narrow"/>
                <w:sz w:val="24"/>
                <w:szCs w:val="24"/>
                <w:vertAlign w:val="superscript"/>
              </w:rPr>
              <w:t>2</w:t>
            </w:r>
            <w:r w:rsidRPr="000B180A">
              <w:rPr>
                <w:rFonts w:ascii="Arial Narrow" w:hAnsi="Arial Narrow"/>
                <w:sz w:val="24"/>
                <w:szCs w:val="24"/>
              </w:rPr>
              <w:t>). Los resultados de este análisis se muestran a continuación, en donde se pueden observar las celdas que presentan densidad de registros por km</w:t>
            </w:r>
            <w:r w:rsidRPr="000B180A">
              <w:rPr>
                <w:rFonts w:ascii="Arial Narrow" w:hAnsi="Arial Narrow"/>
                <w:sz w:val="24"/>
                <w:szCs w:val="24"/>
                <w:vertAlign w:val="superscript"/>
              </w:rPr>
              <w:t>2</w:t>
            </w:r>
            <w:r w:rsidRPr="000B180A">
              <w:rPr>
                <w:rFonts w:ascii="Arial Narrow" w:hAnsi="Arial Narrow"/>
                <w:sz w:val="24"/>
                <w:szCs w:val="24"/>
              </w:rPr>
              <w:t>:</w:t>
            </w:r>
          </w:p>
          <w:p w14:paraId="0656DB64" w14:textId="77777777" w:rsidR="00072956" w:rsidRPr="000B180A" w:rsidRDefault="00072956" w:rsidP="007F5995">
            <w:pPr>
              <w:pStyle w:val="Prrafodelista"/>
              <w:ind w:left="1440"/>
              <w:rPr>
                <w:rFonts w:ascii="Arial Narrow" w:hAnsi="Arial Narrow"/>
                <w:sz w:val="24"/>
                <w:szCs w:val="24"/>
              </w:rPr>
            </w:pPr>
          </w:p>
          <w:p w14:paraId="4D2B3FB4" w14:textId="77777777" w:rsidR="00072956" w:rsidRPr="000B180A" w:rsidRDefault="00072956" w:rsidP="007F5995">
            <w:pPr>
              <w:pStyle w:val="Prrafodelista"/>
              <w:ind w:left="1440"/>
              <w:jc w:val="center"/>
              <w:rPr>
                <w:rFonts w:ascii="Arial Narrow" w:hAnsi="Arial Narrow"/>
                <w:sz w:val="24"/>
                <w:szCs w:val="24"/>
              </w:rPr>
            </w:pPr>
            <w:r w:rsidRPr="000B180A">
              <w:rPr>
                <w:rFonts w:ascii="Arial Narrow" w:hAnsi="Arial Narrow"/>
                <w:sz w:val="24"/>
                <w:szCs w:val="24"/>
                <w:shd w:val="clear" w:color="auto" w:fill="FFFFFF"/>
              </w:rPr>
              <w:t xml:space="preserve">Figura </w:t>
            </w:r>
            <w:r w:rsidRPr="000B180A">
              <w:rPr>
                <w:rFonts w:ascii="Arial Narrow" w:hAnsi="Arial Narrow"/>
                <w:sz w:val="24"/>
                <w:szCs w:val="24"/>
                <w:shd w:val="clear" w:color="auto" w:fill="FFFFFF"/>
              </w:rPr>
              <w:fldChar w:fldCharType="begin"/>
            </w:r>
            <w:r w:rsidRPr="000B180A">
              <w:rPr>
                <w:rFonts w:ascii="Arial Narrow" w:hAnsi="Arial Narrow"/>
                <w:sz w:val="24"/>
                <w:szCs w:val="24"/>
                <w:shd w:val="clear" w:color="auto" w:fill="FFFFFF"/>
              </w:rPr>
              <w:instrText xml:space="preserve"> SEQ Figura \* ARABIC </w:instrText>
            </w:r>
            <w:r w:rsidRPr="000B180A">
              <w:rPr>
                <w:rFonts w:ascii="Arial Narrow" w:hAnsi="Arial Narrow"/>
                <w:sz w:val="24"/>
                <w:szCs w:val="24"/>
                <w:shd w:val="clear" w:color="auto" w:fill="FFFFFF"/>
              </w:rPr>
              <w:fldChar w:fldCharType="separate"/>
            </w:r>
            <w:r w:rsidRPr="000B180A">
              <w:rPr>
                <w:rFonts w:ascii="Arial Narrow" w:hAnsi="Arial Narrow"/>
                <w:noProof/>
                <w:sz w:val="24"/>
                <w:szCs w:val="24"/>
                <w:shd w:val="clear" w:color="auto" w:fill="FFFFFF"/>
              </w:rPr>
              <w:t>12</w:t>
            </w:r>
            <w:r w:rsidRPr="000B180A">
              <w:rPr>
                <w:rFonts w:ascii="Arial Narrow" w:hAnsi="Arial Narrow"/>
                <w:sz w:val="24"/>
                <w:szCs w:val="24"/>
                <w:shd w:val="clear" w:color="auto" w:fill="FFFFFF"/>
              </w:rPr>
              <w:fldChar w:fldCharType="end"/>
            </w:r>
            <w:r w:rsidRPr="000B180A">
              <w:rPr>
                <w:rFonts w:ascii="Arial Narrow" w:hAnsi="Arial Narrow"/>
                <w:sz w:val="24"/>
                <w:szCs w:val="24"/>
                <w:shd w:val="clear" w:color="auto" w:fill="FFFFFF"/>
              </w:rPr>
              <w:t xml:space="preserve">: </w:t>
            </w:r>
            <w:r w:rsidRPr="000B180A">
              <w:rPr>
                <w:rFonts w:ascii="Arial Narrow" w:hAnsi="Arial Narrow"/>
                <w:sz w:val="24"/>
                <w:szCs w:val="24"/>
              </w:rPr>
              <w:t>Numero de registros de aves priorizadas en celdas de un (1) km</w:t>
            </w:r>
            <w:r w:rsidRPr="000B180A">
              <w:rPr>
                <w:rFonts w:ascii="Arial Narrow" w:hAnsi="Arial Narrow"/>
                <w:sz w:val="24"/>
                <w:szCs w:val="24"/>
                <w:vertAlign w:val="superscript"/>
              </w:rPr>
              <w:t>2</w:t>
            </w:r>
          </w:p>
          <w:p w14:paraId="0F37B4F6" w14:textId="77777777" w:rsidR="00072956" w:rsidRPr="000B180A" w:rsidRDefault="00072956" w:rsidP="007F5995">
            <w:pPr>
              <w:pStyle w:val="Prrafodelista"/>
              <w:ind w:left="1440"/>
              <w:jc w:val="center"/>
              <w:rPr>
                <w:rFonts w:ascii="Arial Narrow" w:hAnsi="Arial Narrow"/>
                <w:sz w:val="24"/>
                <w:szCs w:val="24"/>
              </w:rPr>
            </w:pPr>
            <w:r w:rsidRPr="000B180A">
              <w:rPr>
                <w:rFonts w:ascii="Arial Narrow" w:hAnsi="Arial Narrow"/>
                <w:noProof/>
                <w:sz w:val="24"/>
                <w:szCs w:val="24"/>
              </w:rPr>
              <w:drawing>
                <wp:inline distT="0" distB="0" distL="0" distR="0" wp14:anchorId="576894A9" wp14:editId="550A31EB">
                  <wp:extent cx="4658685" cy="3600000"/>
                  <wp:effectExtent l="0" t="0" r="8890" b="635"/>
                  <wp:docPr id="133473320" name="Imagen 1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73320" name="Imagen 11" descr="Mapa&#10;&#10;El contenido generado por IA puede ser incorrect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58685" cy="3600000"/>
                          </a:xfrm>
                          <a:prstGeom prst="rect">
                            <a:avLst/>
                          </a:prstGeom>
                          <a:noFill/>
                          <a:ln>
                            <a:noFill/>
                          </a:ln>
                        </pic:spPr>
                      </pic:pic>
                    </a:graphicData>
                  </a:graphic>
                </wp:inline>
              </w:drawing>
            </w:r>
          </w:p>
          <w:p w14:paraId="6725E94D" w14:textId="77777777" w:rsidR="00072956" w:rsidRPr="000B180A" w:rsidRDefault="00072956" w:rsidP="007F5995">
            <w:pPr>
              <w:pStyle w:val="Prrafodelista"/>
              <w:ind w:left="1440"/>
              <w:jc w:val="center"/>
              <w:rPr>
                <w:rFonts w:ascii="Arial Narrow" w:hAnsi="Arial Narrow"/>
                <w:sz w:val="24"/>
                <w:szCs w:val="24"/>
              </w:rPr>
            </w:pPr>
            <w:r w:rsidRPr="000B180A">
              <w:rPr>
                <w:rFonts w:ascii="Arial Narrow" w:hAnsi="Arial Narrow"/>
                <w:sz w:val="24"/>
                <w:szCs w:val="24"/>
              </w:rPr>
              <w:t>Fuente: ANLA (2025)</w:t>
            </w:r>
          </w:p>
          <w:p w14:paraId="3474280F" w14:textId="77777777" w:rsidR="00072956" w:rsidRPr="000B180A" w:rsidRDefault="00072956" w:rsidP="007F5995">
            <w:pPr>
              <w:pStyle w:val="Prrafodelista"/>
              <w:ind w:left="1440"/>
              <w:jc w:val="center"/>
              <w:rPr>
                <w:rFonts w:ascii="Arial Narrow" w:hAnsi="Arial Narrow"/>
                <w:sz w:val="24"/>
                <w:szCs w:val="24"/>
              </w:rPr>
            </w:pPr>
          </w:p>
          <w:p w14:paraId="67318F4E" w14:textId="77777777" w:rsidR="00072956" w:rsidRPr="000B180A" w:rsidRDefault="00072956" w:rsidP="007F5995">
            <w:pPr>
              <w:shd w:val="clear" w:color="auto" w:fill="FFFFFF"/>
              <w:spacing w:before="100" w:beforeAutospacing="1"/>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Tabla 2. Especies de aves complementarias para el segundo análisis </w:t>
            </w:r>
          </w:p>
          <w:tbl>
            <w:tblPr>
              <w:tblW w:w="4620" w:type="dxa"/>
              <w:jc w:val="center"/>
              <w:tblLook w:val="04A0" w:firstRow="1" w:lastRow="0" w:firstColumn="1" w:lastColumn="0" w:noHBand="0" w:noVBand="1"/>
            </w:tblPr>
            <w:tblGrid>
              <w:gridCol w:w="1860"/>
              <w:gridCol w:w="2760"/>
            </w:tblGrid>
            <w:tr w:rsidR="00072956" w:rsidRPr="000B180A" w14:paraId="709A0174" w14:textId="77777777" w:rsidTr="007F5995">
              <w:trPr>
                <w:trHeight w:val="170"/>
                <w:jc w:val="center"/>
              </w:trPr>
              <w:tc>
                <w:tcPr>
                  <w:tcW w:w="1860" w:type="dxa"/>
                  <w:tcBorders>
                    <w:top w:val="single" w:sz="4" w:space="0" w:color="auto"/>
                    <w:left w:val="single" w:sz="4" w:space="0" w:color="auto"/>
                    <w:bottom w:val="single" w:sz="4" w:space="0" w:color="auto"/>
                    <w:right w:val="single" w:sz="4" w:space="0" w:color="auto"/>
                  </w:tcBorders>
                  <w:noWrap/>
                  <w:vAlign w:val="bottom"/>
                  <w:hideMark/>
                </w:tcPr>
                <w:p w14:paraId="73538497" w14:textId="77777777" w:rsidR="00072956" w:rsidRPr="001E646E" w:rsidRDefault="00072956" w:rsidP="007F5995">
                  <w:pPr>
                    <w:jc w:val="center"/>
                    <w:rPr>
                      <w:rFonts w:ascii="Arial Narrow" w:hAnsi="Arial Narrow" w:cs="Arial"/>
                      <w:sz w:val="18"/>
                      <w:szCs w:val="18"/>
                      <w:lang w:val="es-CO" w:eastAsia="en-GB"/>
                    </w:rPr>
                  </w:pPr>
                  <w:r w:rsidRPr="000B180A">
                    <w:rPr>
                      <w:rFonts w:ascii="Arial Narrow" w:hAnsi="Arial Narrow" w:cs="Arial"/>
                      <w:sz w:val="18"/>
                      <w:szCs w:val="18"/>
                    </w:rPr>
                    <w:t>FAMILIA</w:t>
                  </w:r>
                </w:p>
              </w:tc>
              <w:tc>
                <w:tcPr>
                  <w:tcW w:w="2760" w:type="dxa"/>
                  <w:tcBorders>
                    <w:top w:val="single" w:sz="4" w:space="0" w:color="auto"/>
                    <w:left w:val="nil"/>
                    <w:bottom w:val="single" w:sz="4" w:space="0" w:color="auto"/>
                    <w:right w:val="single" w:sz="4" w:space="0" w:color="auto"/>
                  </w:tcBorders>
                  <w:noWrap/>
                  <w:vAlign w:val="bottom"/>
                  <w:hideMark/>
                </w:tcPr>
                <w:p w14:paraId="66128C37"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ESPECIE</w:t>
                  </w:r>
                </w:p>
              </w:tc>
            </w:tr>
            <w:tr w:rsidR="00072956" w:rsidRPr="000B180A" w14:paraId="7602139A" w14:textId="77777777" w:rsidTr="007F5995">
              <w:trPr>
                <w:trHeight w:val="170"/>
                <w:jc w:val="center"/>
              </w:trPr>
              <w:tc>
                <w:tcPr>
                  <w:tcW w:w="1860" w:type="dxa"/>
                  <w:vMerge w:val="restart"/>
                  <w:tcBorders>
                    <w:top w:val="nil"/>
                    <w:left w:val="single" w:sz="4" w:space="0" w:color="auto"/>
                    <w:bottom w:val="single" w:sz="4" w:space="0" w:color="000000"/>
                    <w:right w:val="single" w:sz="4" w:space="0" w:color="auto"/>
                  </w:tcBorders>
                  <w:noWrap/>
                  <w:vAlign w:val="center"/>
                  <w:hideMark/>
                </w:tcPr>
                <w:p w14:paraId="5F36B96C"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Anatidae</w:t>
                  </w:r>
                </w:p>
              </w:tc>
              <w:tc>
                <w:tcPr>
                  <w:tcW w:w="2760" w:type="dxa"/>
                  <w:tcBorders>
                    <w:top w:val="nil"/>
                    <w:left w:val="nil"/>
                    <w:bottom w:val="single" w:sz="4" w:space="0" w:color="auto"/>
                    <w:right w:val="single" w:sz="4" w:space="0" w:color="auto"/>
                  </w:tcBorders>
                  <w:noWrap/>
                  <w:vAlign w:val="center"/>
                  <w:hideMark/>
                </w:tcPr>
                <w:p w14:paraId="51744EDB"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Anas bahamensis</w:t>
                  </w:r>
                </w:p>
              </w:tc>
            </w:tr>
            <w:tr w:rsidR="00072956" w:rsidRPr="000B180A" w14:paraId="45D3F3BC"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48B6F84D"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2E607778"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Aythya affinis</w:t>
                  </w:r>
                </w:p>
              </w:tc>
            </w:tr>
            <w:tr w:rsidR="00072956" w:rsidRPr="000B180A" w14:paraId="30794842"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6F3A5586"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2BEFFAE7"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Mareca americana</w:t>
                  </w:r>
                </w:p>
              </w:tc>
            </w:tr>
            <w:tr w:rsidR="00072956" w:rsidRPr="000B180A" w14:paraId="2B1AF856"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37D5EBBC"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24C16A62"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Spatula clypeata</w:t>
                  </w:r>
                </w:p>
              </w:tc>
            </w:tr>
            <w:tr w:rsidR="00072956" w:rsidRPr="000B180A" w14:paraId="3FC3D91A" w14:textId="77777777" w:rsidTr="007F5995">
              <w:trPr>
                <w:trHeight w:val="170"/>
                <w:jc w:val="center"/>
              </w:trPr>
              <w:tc>
                <w:tcPr>
                  <w:tcW w:w="1860" w:type="dxa"/>
                  <w:vMerge w:val="restart"/>
                  <w:tcBorders>
                    <w:top w:val="nil"/>
                    <w:left w:val="single" w:sz="4" w:space="0" w:color="auto"/>
                    <w:bottom w:val="single" w:sz="4" w:space="0" w:color="000000"/>
                    <w:right w:val="single" w:sz="4" w:space="0" w:color="auto"/>
                  </w:tcBorders>
                  <w:noWrap/>
                  <w:vAlign w:val="center"/>
                  <w:hideMark/>
                </w:tcPr>
                <w:p w14:paraId="44B5C0B3"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Ardeidae</w:t>
                  </w:r>
                </w:p>
              </w:tc>
              <w:tc>
                <w:tcPr>
                  <w:tcW w:w="2760" w:type="dxa"/>
                  <w:tcBorders>
                    <w:top w:val="nil"/>
                    <w:left w:val="nil"/>
                    <w:bottom w:val="single" w:sz="4" w:space="0" w:color="auto"/>
                    <w:right w:val="single" w:sz="4" w:space="0" w:color="auto"/>
                  </w:tcBorders>
                  <w:noWrap/>
                  <w:vAlign w:val="center"/>
                  <w:hideMark/>
                </w:tcPr>
                <w:p w14:paraId="0BAE7B7B"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Ardea herodias</w:t>
                  </w:r>
                </w:p>
              </w:tc>
            </w:tr>
            <w:tr w:rsidR="00072956" w:rsidRPr="000B180A" w14:paraId="3ECC8EE5"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576C95DB"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7BBDE379"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Cochlearius cochlearius</w:t>
                  </w:r>
                </w:p>
              </w:tc>
            </w:tr>
            <w:tr w:rsidR="00072956" w:rsidRPr="000B180A" w14:paraId="29552968"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4892BD6F"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407A27C9"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Egretta rufescens</w:t>
                  </w:r>
                </w:p>
              </w:tc>
            </w:tr>
            <w:tr w:rsidR="00072956" w:rsidRPr="000B180A" w14:paraId="7B3DFDE6"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43223706"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Cardinalidae</w:t>
                  </w:r>
                </w:p>
              </w:tc>
              <w:tc>
                <w:tcPr>
                  <w:tcW w:w="2760" w:type="dxa"/>
                  <w:tcBorders>
                    <w:top w:val="nil"/>
                    <w:left w:val="nil"/>
                    <w:bottom w:val="single" w:sz="4" w:space="0" w:color="auto"/>
                    <w:right w:val="single" w:sz="4" w:space="0" w:color="auto"/>
                  </w:tcBorders>
                  <w:noWrap/>
                  <w:vAlign w:val="center"/>
                  <w:hideMark/>
                </w:tcPr>
                <w:p w14:paraId="12A5BC85"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Cardinalis phoeniceus</w:t>
                  </w:r>
                </w:p>
              </w:tc>
            </w:tr>
            <w:tr w:rsidR="00072956" w:rsidRPr="000B180A" w14:paraId="6794B407" w14:textId="77777777" w:rsidTr="007F5995">
              <w:trPr>
                <w:trHeight w:val="170"/>
                <w:jc w:val="center"/>
              </w:trPr>
              <w:tc>
                <w:tcPr>
                  <w:tcW w:w="1860" w:type="dxa"/>
                  <w:vMerge w:val="restart"/>
                  <w:tcBorders>
                    <w:top w:val="nil"/>
                    <w:left w:val="single" w:sz="4" w:space="0" w:color="auto"/>
                    <w:bottom w:val="single" w:sz="4" w:space="0" w:color="000000"/>
                    <w:right w:val="single" w:sz="4" w:space="0" w:color="auto"/>
                  </w:tcBorders>
                  <w:noWrap/>
                  <w:vAlign w:val="center"/>
                  <w:hideMark/>
                </w:tcPr>
                <w:p w14:paraId="14425A9E"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Charadriidae</w:t>
                  </w:r>
                </w:p>
              </w:tc>
              <w:tc>
                <w:tcPr>
                  <w:tcW w:w="2760" w:type="dxa"/>
                  <w:tcBorders>
                    <w:top w:val="nil"/>
                    <w:left w:val="nil"/>
                    <w:bottom w:val="single" w:sz="4" w:space="0" w:color="auto"/>
                    <w:right w:val="single" w:sz="4" w:space="0" w:color="auto"/>
                  </w:tcBorders>
                  <w:noWrap/>
                  <w:vAlign w:val="center"/>
                  <w:hideMark/>
                </w:tcPr>
                <w:p w14:paraId="509B0ED4"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Charadrius collaris</w:t>
                  </w:r>
                </w:p>
              </w:tc>
            </w:tr>
            <w:tr w:rsidR="00072956" w:rsidRPr="000B180A" w14:paraId="399969A6"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4ECB68A7"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6C7AAF06"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Charadrius wilsonia</w:t>
                  </w:r>
                </w:p>
              </w:tc>
            </w:tr>
            <w:tr w:rsidR="00072956" w:rsidRPr="000B180A" w14:paraId="3A73C9D3"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4D76D182"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625037A6"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Pluvialis squatarola</w:t>
                  </w:r>
                </w:p>
              </w:tc>
            </w:tr>
            <w:tr w:rsidR="00072956" w:rsidRPr="000B180A" w14:paraId="77BA2549"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07127A6C"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Cracidae</w:t>
                  </w:r>
                </w:p>
              </w:tc>
              <w:tc>
                <w:tcPr>
                  <w:tcW w:w="2760" w:type="dxa"/>
                  <w:tcBorders>
                    <w:top w:val="nil"/>
                    <w:left w:val="nil"/>
                    <w:bottom w:val="single" w:sz="4" w:space="0" w:color="auto"/>
                    <w:right w:val="single" w:sz="4" w:space="0" w:color="auto"/>
                  </w:tcBorders>
                  <w:noWrap/>
                  <w:vAlign w:val="center"/>
                  <w:hideMark/>
                </w:tcPr>
                <w:p w14:paraId="6AEF41BF"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Ortalis garrula</w:t>
                  </w:r>
                </w:p>
              </w:tc>
            </w:tr>
            <w:tr w:rsidR="00072956" w:rsidRPr="000B180A" w14:paraId="2EE8D35C"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3B3546C0"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Cuculidae</w:t>
                  </w:r>
                </w:p>
              </w:tc>
              <w:tc>
                <w:tcPr>
                  <w:tcW w:w="2760" w:type="dxa"/>
                  <w:tcBorders>
                    <w:top w:val="nil"/>
                    <w:left w:val="nil"/>
                    <w:bottom w:val="single" w:sz="4" w:space="0" w:color="auto"/>
                    <w:right w:val="single" w:sz="4" w:space="0" w:color="auto"/>
                  </w:tcBorders>
                  <w:noWrap/>
                  <w:vAlign w:val="center"/>
                  <w:hideMark/>
                </w:tcPr>
                <w:p w14:paraId="05E7F684"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Coccyzus pumilus</w:t>
                  </w:r>
                </w:p>
              </w:tc>
            </w:tr>
            <w:tr w:rsidR="00072956" w:rsidRPr="000B180A" w14:paraId="7D1C0A52"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35014D1C"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Furnariidae</w:t>
                  </w:r>
                </w:p>
              </w:tc>
              <w:tc>
                <w:tcPr>
                  <w:tcW w:w="2760" w:type="dxa"/>
                  <w:tcBorders>
                    <w:top w:val="nil"/>
                    <w:left w:val="nil"/>
                    <w:bottom w:val="single" w:sz="4" w:space="0" w:color="auto"/>
                    <w:right w:val="single" w:sz="4" w:space="0" w:color="auto"/>
                  </w:tcBorders>
                  <w:noWrap/>
                  <w:vAlign w:val="center"/>
                  <w:hideMark/>
                </w:tcPr>
                <w:p w14:paraId="0DF7F91A"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Synallaxis candei</w:t>
                  </w:r>
                </w:p>
              </w:tc>
            </w:tr>
            <w:tr w:rsidR="00072956" w:rsidRPr="000B180A" w14:paraId="1DD49738"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37C4EE9D"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Hirundinidae</w:t>
                  </w:r>
                </w:p>
              </w:tc>
              <w:tc>
                <w:tcPr>
                  <w:tcW w:w="2760" w:type="dxa"/>
                  <w:tcBorders>
                    <w:top w:val="nil"/>
                    <w:left w:val="nil"/>
                    <w:bottom w:val="single" w:sz="4" w:space="0" w:color="auto"/>
                    <w:right w:val="single" w:sz="4" w:space="0" w:color="auto"/>
                  </w:tcBorders>
                  <w:noWrap/>
                  <w:vAlign w:val="center"/>
                  <w:hideMark/>
                </w:tcPr>
                <w:p w14:paraId="1902DC92"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Hirundo rustica</w:t>
                  </w:r>
                </w:p>
              </w:tc>
            </w:tr>
            <w:tr w:rsidR="00072956" w:rsidRPr="000B180A" w14:paraId="73D9CB9D" w14:textId="77777777" w:rsidTr="007F5995">
              <w:trPr>
                <w:trHeight w:val="170"/>
                <w:jc w:val="center"/>
              </w:trPr>
              <w:tc>
                <w:tcPr>
                  <w:tcW w:w="1860" w:type="dxa"/>
                  <w:vMerge w:val="restart"/>
                  <w:tcBorders>
                    <w:top w:val="nil"/>
                    <w:left w:val="single" w:sz="4" w:space="0" w:color="auto"/>
                    <w:bottom w:val="single" w:sz="4" w:space="0" w:color="000000"/>
                    <w:right w:val="single" w:sz="4" w:space="0" w:color="auto"/>
                  </w:tcBorders>
                  <w:noWrap/>
                  <w:vAlign w:val="center"/>
                  <w:hideMark/>
                </w:tcPr>
                <w:p w14:paraId="7FBA1270"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Laridae</w:t>
                  </w:r>
                </w:p>
              </w:tc>
              <w:tc>
                <w:tcPr>
                  <w:tcW w:w="2760" w:type="dxa"/>
                  <w:tcBorders>
                    <w:top w:val="nil"/>
                    <w:left w:val="nil"/>
                    <w:bottom w:val="single" w:sz="4" w:space="0" w:color="auto"/>
                    <w:right w:val="single" w:sz="4" w:space="0" w:color="auto"/>
                  </w:tcBorders>
                  <w:noWrap/>
                  <w:vAlign w:val="center"/>
                  <w:hideMark/>
                </w:tcPr>
                <w:p w14:paraId="20623D63"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Leucophaeus atricilla</w:t>
                  </w:r>
                </w:p>
              </w:tc>
            </w:tr>
            <w:tr w:rsidR="00072956" w:rsidRPr="000B180A" w14:paraId="602803AD"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05653F46"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18391003"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Thalasseus maximus</w:t>
                  </w:r>
                </w:p>
              </w:tc>
            </w:tr>
            <w:tr w:rsidR="00072956" w:rsidRPr="000B180A" w14:paraId="364427EB"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7A21F3B6"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Pandionidae</w:t>
                  </w:r>
                </w:p>
              </w:tc>
              <w:tc>
                <w:tcPr>
                  <w:tcW w:w="2760" w:type="dxa"/>
                  <w:tcBorders>
                    <w:top w:val="nil"/>
                    <w:left w:val="nil"/>
                    <w:bottom w:val="single" w:sz="4" w:space="0" w:color="auto"/>
                    <w:right w:val="single" w:sz="4" w:space="0" w:color="auto"/>
                  </w:tcBorders>
                  <w:noWrap/>
                  <w:vAlign w:val="center"/>
                  <w:hideMark/>
                </w:tcPr>
                <w:p w14:paraId="038F9497"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Pandion haliaetus</w:t>
                  </w:r>
                </w:p>
              </w:tc>
            </w:tr>
            <w:tr w:rsidR="00072956" w:rsidRPr="000B180A" w14:paraId="50944783"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6FBC2BA6"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Passerellidae</w:t>
                  </w:r>
                </w:p>
              </w:tc>
              <w:tc>
                <w:tcPr>
                  <w:tcW w:w="2760" w:type="dxa"/>
                  <w:tcBorders>
                    <w:top w:val="nil"/>
                    <w:left w:val="nil"/>
                    <w:bottom w:val="single" w:sz="4" w:space="0" w:color="auto"/>
                    <w:right w:val="single" w:sz="4" w:space="0" w:color="auto"/>
                  </w:tcBorders>
                  <w:noWrap/>
                  <w:vAlign w:val="center"/>
                  <w:hideMark/>
                </w:tcPr>
                <w:p w14:paraId="20E371DF"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Arremonops tocuyensis</w:t>
                  </w:r>
                </w:p>
              </w:tc>
            </w:tr>
            <w:tr w:rsidR="00072956" w:rsidRPr="000B180A" w14:paraId="308FE8E1"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63883BB6"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Phalacrocoracidae</w:t>
                  </w:r>
                </w:p>
              </w:tc>
              <w:tc>
                <w:tcPr>
                  <w:tcW w:w="2760" w:type="dxa"/>
                  <w:tcBorders>
                    <w:top w:val="nil"/>
                    <w:left w:val="nil"/>
                    <w:bottom w:val="single" w:sz="4" w:space="0" w:color="auto"/>
                    <w:right w:val="single" w:sz="4" w:space="0" w:color="auto"/>
                  </w:tcBorders>
                  <w:noWrap/>
                  <w:vAlign w:val="center"/>
                  <w:hideMark/>
                </w:tcPr>
                <w:p w14:paraId="7C67AE1F"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Phalacrocorax brasilianus</w:t>
                  </w:r>
                </w:p>
              </w:tc>
            </w:tr>
            <w:tr w:rsidR="00072956" w:rsidRPr="000B180A" w14:paraId="4E6F6500"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1BE5BEE8"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Picidae</w:t>
                  </w:r>
                </w:p>
              </w:tc>
              <w:tc>
                <w:tcPr>
                  <w:tcW w:w="2760" w:type="dxa"/>
                  <w:tcBorders>
                    <w:top w:val="nil"/>
                    <w:left w:val="nil"/>
                    <w:bottom w:val="single" w:sz="4" w:space="0" w:color="auto"/>
                    <w:right w:val="single" w:sz="4" w:space="0" w:color="auto"/>
                  </w:tcBorders>
                  <w:noWrap/>
                  <w:vAlign w:val="center"/>
                  <w:hideMark/>
                </w:tcPr>
                <w:p w14:paraId="57D9827A"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Picumnus cinnamomeus</w:t>
                  </w:r>
                </w:p>
              </w:tc>
            </w:tr>
            <w:tr w:rsidR="00072956" w:rsidRPr="000B180A" w14:paraId="45520854" w14:textId="77777777" w:rsidTr="007F5995">
              <w:trPr>
                <w:trHeight w:val="170"/>
                <w:jc w:val="center"/>
              </w:trPr>
              <w:tc>
                <w:tcPr>
                  <w:tcW w:w="1860" w:type="dxa"/>
                  <w:vMerge w:val="restart"/>
                  <w:tcBorders>
                    <w:top w:val="nil"/>
                    <w:left w:val="single" w:sz="4" w:space="0" w:color="auto"/>
                    <w:bottom w:val="single" w:sz="4" w:space="0" w:color="000000"/>
                    <w:right w:val="single" w:sz="4" w:space="0" w:color="auto"/>
                  </w:tcBorders>
                  <w:noWrap/>
                  <w:vAlign w:val="center"/>
                  <w:hideMark/>
                </w:tcPr>
                <w:p w14:paraId="2282934F"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Scolopacidae</w:t>
                  </w:r>
                </w:p>
              </w:tc>
              <w:tc>
                <w:tcPr>
                  <w:tcW w:w="2760" w:type="dxa"/>
                  <w:tcBorders>
                    <w:top w:val="nil"/>
                    <w:left w:val="nil"/>
                    <w:bottom w:val="single" w:sz="4" w:space="0" w:color="auto"/>
                    <w:right w:val="single" w:sz="4" w:space="0" w:color="auto"/>
                  </w:tcBorders>
                  <w:noWrap/>
                  <w:vAlign w:val="center"/>
                  <w:hideMark/>
                </w:tcPr>
                <w:p w14:paraId="0659FD2B"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Actitis macularius</w:t>
                  </w:r>
                </w:p>
              </w:tc>
            </w:tr>
            <w:tr w:rsidR="00072956" w:rsidRPr="000B180A" w14:paraId="1871EA7A"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771650B5"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2E2339EC"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Calidris alba</w:t>
                  </w:r>
                </w:p>
              </w:tc>
            </w:tr>
            <w:tr w:rsidR="00072956" w:rsidRPr="000B180A" w14:paraId="5609ECCB"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653D18B2"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73E93E5A"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Calidris minutilla</w:t>
                  </w:r>
                </w:p>
              </w:tc>
            </w:tr>
            <w:tr w:rsidR="00072956" w:rsidRPr="000B180A" w14:paraId="35448E47"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55CE0960"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5C4A9BB6"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Numenius phaeopus</w:t>
                  </w:r>
                </w:p>
              </w:tc>
            </w:tr>
            <w:tr w:rsidR="00072956" w:rsidRPr="000B180A" w14:paraId="29BCC325"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2213089F"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4F3E7289"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Phalaropus tricolor</w:t>
                  </w:r>
                </w:p>
              </w:tc>
            </w:tr>
            <w:tr w:rsidR="00072956" w:rsidRPr="000B180A" w14:paraId="52D3AEBC"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49971FF5"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45B1D8B7"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Tringa solitaria</w:t>
                  </w:r>
                </w:p>
              </w:tc>
            </w:tr>
            <w:tr w:rsidR="00072956" w:rsidRPr="000B180A" w14:paraId="6894D906"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1DE33C5D"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Stercorariidae</w:t>
                  </w:r>
                </w:p>
              </w:tc>
              <w:tc>
                <w:tcPr>
                  <w:tcW w:w="2760" w:type="dxa"/>
                  <w:tcBorders>
                    <w:top w:val="nil"/>
                    <w:left w:val="nil"/>
                    <w:bottom w:val="single" w:sz="4" w:space="0" w:color="auto"/>
                    <w:right w:val="single" w:sz="4" w:space="0" w:color="auto"/>
                  </w:tcBorders>
                  <w:noWrap/>
                  <w:vAlign w:val="center"/>
                  <w:hideMark/>
                </w:tcPr>
                <w:p w14:paraId="318F7C00"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Stercorarius pomarinus</w:t>
                  </w:r>
                </w:p>
              </w:tc>
            </w:tr>
            <w:tr w:rsidR="00072956" w:rsidRPr="000B180A" w14:paraId="04E11E21"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3156B0E5"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Threskiornithidae</w:t>
                  </w:r>
                </w:p>
              </w:tc>
              <w:tc>
                <w:tcPr>
                  <w:tcW w:w="2760" w:type="dxa"/>
                  <w:tcBorders>
                    <w:top w:val="nil"/>
                    <w:left w:val="nil"/>
                    <w:bottom w:val="single" w:sz="4" w:space="0" w:color="auto"/>
                    <w:right w:val="single" w:sz="4" w:space="0" w:color="auto"/>
                  </w:tcBorders>
                  <w:noWrap/>
                  <w:vAlign w:val="center"/>
                  <w:hideMark/>
                </w:tcPr>
                <w:p w14:paraId="65CD0261"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Platalea ajaja</w:t>
                  </w:r>
                </w:p>
              </w:tc>
            </w:tr>
            <w:tr w:rsidR="00072956" w:rsidRPr="000B180A" w14:paraId="62F2CFD4" w14:textId="77777777" w:rsidTr="007F5995">
              <w:trPr>
                <w:trHeight w:val="170"/>
                <w:jc w:val="center"/>
              </w:trPr>
              <w:tc>
                <w:tcPr>
                  <w:tcW w:w="1860" w:type="dxa"/>
                  <w:vMerge w:val="restart"/>
                  <w:tcBorders>
                    <w:top w:val="nil"/>
                    <w:left w:val="single" w:sz="4" w:space="0" w:color="auto"/>
                    <w:bottom w:val="single" w:sz="4" w:space="0" w:color="000000"/>
                    <w:right w:val="single" w:sz="4" w:space="0" w:color="auto"/>
                  </w:tcBorders>
                  <w:noWrap/>
                  <w:vAlign w:val="center"/>
                  <w:hideMark/>
                </w:tcPr>
                <w:p w14:paraId="4B4D9820"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Trochilidae</w:t>
                  </w:r>
                </w:p>
              </w:tc>
              <w:tc>
                <w:tcPr>
                  <w:tcW w:w="2760" w:type="dxa"/>
                  <w:tcBorders>
                    <w:top w:val="nil"/>
                    <w:left w:val="nil"/>
                    <w:bottom w:val="single" w:sz="4" w:space="0" w:color="auto"/>
                    <w:right w:val="single" w:sz="4" w:space="0" w:color="auto"/>
                  </w:tcBorders>
                  <w:noWrap/>
                  <w:vAlign w:val="center"/>
                  <w:hideMark/>
                </w:tcPr>
                <w:p w14:paraId="7AD1F00B"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Chrysuronia lilliae</w:t>
                  </w:r>
                </w:p>
              </w:tc>
            </w:tr>
            <w:tr w:rsidR="00072956" w:rsidRPr="000B180A" w14:paraId="30827525" w14:textId="77777777" w:rsidTr="007F5995">
              <w:trPr>
                <w:trHeight w:val="170"/>
                <w:jc w:val="center"/>
              </w:trPr>
              <w:tc>
                <w:tcPr>
                  <w:tcW w:w="1860" w:type="dxa"/>
                  <w:vMerge/>
                  <w:tcBorders>
                    <w:top w:val="nil"/>
                    <w:left w:val="single" w:sz="4" w:space="0" w:color="auto"/>
                    <w:bottom w:val="single" w:sz="4" w:space="0" w:color="000000"/>
                    <w:right w:val="single" w:sz="4" w:space="0" w:color="auto"/>
                  </w:tcBorders>
                  <w:vAlign w:val="center"/>
                  <w:hideMark/>
                </w:tcPr>
                <w:p w14:paraId="181BDF58" w14:textId="77777777" w:rsidR="00072956" w:rsidRPr="000B180A" w:rsidRDefault="00072956" w:rsidP="007F5995">
                  <w:pPr>
                    <w:rPr>
                      <w:rFonts w:ascii="Arial Narrow" w:hAnsi="Arial Narrow" w:cs="Arial"/>
                      <w:sz w:val="18"/>
                      <w:szCs w:val="18"/>
                    </w:rPr>
                  </w:pPr>
                </w:p>
              </w:tc>
              <w:tc>
                <w:tcPr>
                  <w:tcW w:w="2760" w:type="dxa"/>
                  <w:tcBorders>
                    <w:top w:val="nil"/>
                    <w:left w:val="nil"/>
                    <w:bottom w:val="single" w:sz="4" w:space="0" w:color="auto"/>
                    <w:right w:val="single" w:sz="4" w:space="0" w:color="auto"/>
                  </w:tcBorders>
                  <w:noWrap/>
                  <w:vAlign w:val="center"/>
                  <w:hideMark/>
                </w:tcPr>
                <w:p w14:paraId="0053F8F5"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Leucippus fallax</w:t>
                  </w:r>
                </w:p>
              </w:tc>
            </w:tr>
            <w:tr w:rsidR="00072956" w:rsidRPr="000B180A" w14:paraId="45230314" w14:textId="77777777" w:rsidTr="007F5995">
              <w:trPr>
                <w:trHeight w:val="170"/>
                <w:jc w:val="center"/>
              </w:trPr>
              <w:tc>
                <w:tcPr>
                  <w:tcW w:w="1860" w:type="dxa"/>
                  <w:tcBorders>
                    <w:top w:val="nil"/>
                    <w:left w:val="single" w:sz="4" w:space="0" w:color="auto"/>
                    <w:bottom w:val="single" w:sz="4" w:space="0" w:color="auto"/>
                    <w:right w:val="single" w:sz="4" w:space="0" w:color="auto"/>
                  </w:tcBorders>
                  <w:noWrap/>
                  <w:vAlign w:val="center"/>
                  <w:hideMark/>
                </w:tcPr>
                <w:p w14:paraId="17D4D161" w14:textId="77777777" w:rsidR="00072956" w:rsidRPr="000B180A" w:rsidRDefault="00072956" w:rsidP="007F5995">
                  <w:pPr>
                    <w:jc w:val="center"/>
                    <w:rPr>
                      <w:rFonts w:ascii="Arial Narrow" w:hAnsi="Arial Narrow" w:cs="Arial"/>
                      <w:sz w:val="18"/>
                      <w:szCs w:val="18"/>
                    </w:rPr>
                  </w:pPr>
                  <w:r w:rsidRPr="000B180A">
                    <w:rPr>
                      <w:rFonts w:ascii="Arial Narrow" w:hAnsi="Arial Narrow" w:cs="Arial"/>
                      <w:sz w:val="18"/>
                      <w:szCs w:val="18"/>
                    </w:rPr>
                    <w:t>Tyrannidae</w:t>
                  </w:r>
                </w:p>
              </w:tc>
              <w:tc>
                <w:tcPr>
                  <w:tcW w:w="2760" w:type="dxa"/>
                  <w:tcBorders>
                    <w:top w:val="nil"/>
                    <w:left w:val="nil"/>
                    <w:bottom w:val="single" w:sz="4" w:space="0" w:color="auto"/>
                    <w:right w:val="single" w:sz="4" w:space="0" w:color="auto"/>
                  </w:tcBorders>
                  <w:noWrap/>
                  <w:vAlign w:val="center"/>
                  <w:hideMark/>
                </w:tcPr>
                <w:p w14:paraId="5A713C4C" w14:textId="77777777" w:rsidR="00072956" w:rsidRPr="000B180A" w:rsidRDefault="00072956" w:rsidP="007F5995">
                  <w:pPr>
                    <w:rPr>
                      <w:rFonts w:ascii="Arial Narrow" w:hAnsi="Arial Narrow" w:cs="Arial"/>
                      <w:i/>
                      <w:iCs/>
                      <w:sz w:val="18"/>
                      <w:szCs w:val="18"/>
                    </w:rPr>
                  </w:pPr>
                  <w:r w:rsidRPr="000B180A">
                    <w:rPr>
                      <w:rFonts w:ascii="Arial Narrow" w:hAnsi="Arial Narrow" w:cs="Arial"/>
                      <w:i/>
                      <w:iCs/>
                      <w:sz w:val="18"/>
                      <w:szCs w:val="18"/>
                    </w:rPr>
                    <w:t>Inezia tenuirostris</w:t>
                  </w:r>
                </w:p>
              </w:tc>
            </w:tr>
          </w:tbl>
          <w:p w14:paraId="6B39FD71" w14:textId="77777777" w:rsidR="00072956" w:rsidRPr="000B180A" w:rsidRDefault="00072956" w:rsidP="007F5995">
            <w:pPr>
              <w:jc w:val="center"/>
              <w:rPr>
                <w:rFonts w:ascii="Arial Narrow" w:hAnsi="Arial Narrow"/>
                <w:sz w:val="24"/>
                <w:szCs w:val="24"/>
              </w:rPr>
            </w:pPr>
            <w:r w:rsidRPr="000B180A">
              <w:rPr>
                <w:rFonts w:ascii="Arial Narrow" w:hAnsi="Arial Narrow"/>
                <w:sz w:val="24"/>
                <w:szCs w:val="24"/>
              </w:rPr>
              <w:t>Fuente: ANLA (2025)</w:t>
            </w:r>
          </w:p>
          <w:p w14:paraId="2ABCB676" w14:textId="77777777" w:rsidR="00072956" w:rsidRPr="000B180A" w:rsidRDefault="00072956" w:rsidP="007F5995">
            <w:pPr>
              <w:pStyle w:val="Prrafodelista"/>
              <w:ind w:left="1440"/>
              <w:jc w:val="center"/>
              <w:rPr>
                <w:rFonts w:ascii="Arial Narrow" w:hAnsi="Arial Narrow"/>
                <w:sz w:val="24"/>
                <w:szCs w:val="24"/>
              </w:rPr>
            </w:pPr>
          </w:p>
          <w:p w14:paraId="24B0A19D" w14:textId="77777777" w:rsidR="00072956" w:rsidRPr="000B180A" w:rsidRDefault="00072956" w:rsidP="007F5995">
            <w:pPr>
              <w:pStyle w:val="Prrafodelista"/>
              <w:ind w:left="1440"/>
              <w:jc w:val="center"/>
              <w:rPr>
                <w:rFonts w:ascii="Arial Narrow" w:hAnsi="Arial Narrow"/>
                <w:sz w:val="24"/>
                <w:szCs w:val="24"/>
              </w:rPr>
            </w:pPr>
          </w:p>
          <w:p w14:paraId="2734C839" w14:textId="77777777" w:rsidR="00072956" w:rsidRPr="000B180A" w:rsidRDefault="00072956" w:rsidP="007F5995">
            <w:pPr>
              <w:pStyle w:val="Prrafodelista"/>
              <w:numPr>
                <w:ilvl w:val="2"/>
                <w:numId w:val="21"/>
              </w:numPr>
              <w:rPr>
                <w:rFonts w:ascii="Arial Narrow" w:hAnsi="Arial Narrow"/>
                <w:sz w:val="24"/>
                <w:szCs w:val="24"/>
              </w:rPr>
            </w:pPr>
            <w:r w:rsidRPr="000B180A">
              <w:rPr>
                <w:rFonts w:ascii="Arial Narrow" w:hAnsi="Arial Narrow"/>
                <w:sz w:val="24"/>
                <w:szCs w:val="24"/>
              </w:rPr>
              <w:t xml:space="preserve">Adicionalmente, la mesa realizó un análisis basado en la información provista por eBird y el </w:t>
            </w:r>
            <w:r w:rsidRPr="000B180A">
              <w:rPr>
                <w:rFonts w:ascii="Arial Narrow" w:hAnsi="Arial Narrow"/>
                <w:sz w:val="24"/>
                <w:szCs w:val="24"/>
                <w:lang w:val="es-ES"/>
              </w:rPr>
              <w:t xml:space="preserve">Cornell Lab of Ornithology, </w:t>
            </w:r>
            <w:r w:rsidRPr="000B180A">
              <w:rPr>
                <w:rFonts w:ascii="Arial Narrow" w:hAnsi="Arial Narrow"/>
                <w:sz w:val="24"/>
                <w:szCs w:val="24"/>
              </w:rPr>
              <w:t>que incluye análisis temporales desde el año 2009 a 2023 y modela la abundancia relativa por especie para cada temporada en el año, incluyendo temporadas reproductiva, no reproductiva, pre-reproductiva y post-reproductiva, en celdas de 3km</w:t>
            </w:r>
            <w:r w:rsidRPr="000B180A">
              <w:rPr>
                <w:rFonts w:ascii="Arial Narrow" w:hAnsi="Arial Narrow"/>
                <w:sz w:val="24"/>
                <w:szCs w:val="24"/>
                <w:vertAlign w:val="superscript"/>
              </w:rPr>
              <w:t>2</w:t>
            </w:r>
            <w:r w:rsidRPr="000B180A">
              <w:rPr>
                <w:rFonts w:ascii="Arial Narrow" w:hAnsi="Arial Narrow"/>
                <w:sz w:val="24"/>
                <w:szCs w:val="24"/>
              </w:rPr>
              <w:t xml:space="preserve">. La importancia de esta información es que no solo se basa en la densidad consolidad de los registros, sino que tiene en cuenta la tendencia proyectada temporalmente, como se ilustra a continuación para la especie </w:t>
            </w:r>
            <w:r w:rsidRPr="000B180A">
              <w:rPr>
                <w:rFonts w:ascii="Arial Narrow" w:hAnsi="Arial Narrow"/>
                <w:i/>
                <w:iCs/>
                <w:sz w:val="24"/>
                <w:szCs w:val="24"/>
              </w:rPr>
              <w:t>Limnodromus griseus</w:t>
            </w:r>
            <w:r w:rsidRPr="000B180A">
              <w:rPr>
                <w:rFonts w:ascii="Arial Narrow" w:hAnsi="Arial Narrow"/>
                <w:sz w:val="24"/>
                <w:szCs w:val="24"/>
              </w:rPr>
              <w:t xml:space="preserve">, un ave playera migratoria presente en La Guajira: </w:t>
            </w:r>
          </w:p>
          <w:p w14:paraId="2EF1F16C" w14:textId="77777777" w:rsidR="00072956" w:rsidRPr="000B180A" w:rsidRDefault="00072956" w:rsidP="007F5995">
            <w:pPr>
              <w:pStyle w:val="Prrafodelista"/>
              <w:ind w:left="1440"/>
              <w:rPr>
                <w:rFonts w:ascii="Arial Narrow" w:hAnsi="Arial Narrow"/>
                <w:sz w:val="24"/>
                <w:szCs w:val="24"/>
              </w:rPr>
            </w:pPr>
          </w:p>
          <w:p w14:paraId="12C7975A" w14:textId="77777777" w:rsidR="00072956" w:rsidRPr="000B180A" w:rsidRDefault="00072956" w:rsidP="007F5995">
            <w:pPr>
              <w:pStyle w:val="Prrafodelista"/>
              <w:ind w:left="1440"/>
              <w:jc w:val="center"/>
              <w:rPr>
                <w:rFonts w:ascii="Arial Narrow" w:hAnsi="Arial Narrow"/>
                <w:sz w:val="24"/>
                <w:szCs w:val="24"/>
              </w:rPr>
            </w:pPr>
            <w:r w:rsidRPr="000B180A">
              <w:rPr>
                <w:rFonts w:ascii="Arial Narrow" w:hAnsi="Arial Narrow"/>
                <w:sz w:val="24"/>
                <w:szCs w:val="24"/>
                <w:shd w:val="clear" w:color="auto" w:fill="FFFFFF"/>
              </w:rPr>
              <w:t xml:space="preserve">Figura </w:t>
            </w:r>
            <w:r w:rsidRPr="000B180A">
              <w:rPr>
                <w:rFonts w:ascii="Arial Narrow" w:hAnsi="Arial Narrow"/>
                <w:sz w:val="24"/>
                <w:szCs w:val="24"/>
                <w:shd w:val="clear" w:color="auto" w:fill="FFFFFF"/>
              </w:rPr>
              <w:fldChar w:fldCharType="begin"/>
            </w:r>
            <w:r w:rsidRPr="000B180A">
              <w:rPr>
                <w:rFonts w:ascii="Arial Narrow" w:hAnsi="Arial Narrow"/>
                <w:sz w:val="24"/>
                <w:szCs w:val="24"/>
                <w:shd w:val="clear" w:color="auto" w:fill="FFFFFF"/>
              </w:rPr>
              <w:instrText xml:space="preserve"> SEQ Figura \* ARABIC </w:instrText>
            </w:r>
            <w:r w:rsidRPr="000B180A">
              <w:rPr>
                <w:rFonts w:ascii="Arial Narrow" w:hAnsi="Arial Narrow"/>
                <w:sz w:val="24"/>
                <w:szCs w:val="24"/>
                <w:shd w:val="clear" w:color="auto" w:fill="FFFFFF"/>
              </w:rPr>
              <w:fldChar w:fldCharType="separate"/>
            </w:r>
            <w:r w:rsidRPr="000B180A">
              <w:rPr>
                <w:rFonts w:ascii="Arial Narrow" w:hAnsi="Arial Narrow"/>
                <w:noProof/>
                <w:sz w:val="24"/>
                <w:szCs w:val="24"/>
                <w:shd w:val="clear" w:color="auto" w:fill="FFFFFF"/>
              </w:rPr>
              <w:t>14</w:t>
            </w:r>
            <w:r w:rsidRPr="000B180A">
              <w:rPr>
                <w:rFonts w:ascii="Arial Narrow" w:hAnsi="Arial Narrow"/>
                <w:sz w:val="24"/>
                <w:szCs w:val="24"/>
                <w:shd w:val="clear" w:color="auto" w:fill="FFFFFF"/>
              </w:rPr>
              <w:fldChar w:fldCharType="end"/>
            </w:r>
            <w:r w:rsidRPr="000B180A">
              <w:rPr>
                <w:rFonts w:ascii="Arial Narrow" w:hAnsi="Arial Narrow"/>
                <w:sz w:val="24"/>
                <w:szCs w:val="24"/>
                <w:shd w:val="clear" w:color="auto" w:fill="FFFFFF"/>
              </w:rPr>
              <w:t xml:space="preserve">: Ilustración de consulta en </w:t>
            </w:r>
            <w:r w:rsidRPr="000B180A">
              <w:rPr>
                <w:rFonts w:ascii="Arial Narrow" w:hAnsi="Arial Narrow"/>
                <w:sz w:val="24"/>
                <w:szCs w:val="24"/>
              </w:rPr>
              <w:t xml:space="preserve">eBird de la especie </w:t>
            </w:r>
            <w:r w:rsidRPr="000B180A">
              <w:rPr>
                <w:rFonts w:ascii="Arial Narrow" w:hAnsi="Arial Narrow"/>
                <w:i/>
                <w:iCs/>
                <w:sz w:val="24"/>
                <w:szCs w:val="24"/>
              </w:rPr>
              <w:t>Limnodromus griseus</w:t>
            </w:r>
          </w:p>
          <w:p w14:paraId="0E060661" w14:textId="77777777" w:rsidR="00072956" w:rsidRPr="000B180A" w:rsidRDefault="00072956" w:rsidP="007F5995">
            <w:pPr>
              <w:pStyle w:val="Prrafodelista"/>
              <w:jc w:val="center"/>
              <w:rPr>
                <w:rFonts w:ascii="Arial Narrow" w:eastAsia="Times New Roman" w:hAnsi="Arial Narrow"/>
                <w:sz w:val="24"/>
                <w:szCs w:val="24"/>
                <w:shd w:val="clear" w:color="auto" w:fill="FFFFFF"/>
                <w:lang w:eastAsia="es-ES"/>
              </w:rPr>
            </w:pPr>
            <w:r w:rsidRPr="000B180A">
              <w:rPr>
                <w:noProof/>
              </w:rPr>
              <w:drawing>
                <wp:inline distT="0" distB="0" distL="0" distR="0" wp14:anchorId="67863F7F" wp14:editId="0329DF1D">
                  <wp:extent cx="5697997" cy="2788418"/>
                  <wp:effectExtent l="0" t="0" r="4445" b="5715"/>
                  <wp:docPr id="630766797" name="Picture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766797" name="Picture 2" descr="Mapa&#10;&#10;El contenido generado por IA puede ser incorrecto."/>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03801" cy="2791258"/>
                          </a:xfrm>
                          <a:prstGeom prst="rect">
                            <a:avLst/>
                          </a:prstGeom>
                        </pic:spPr>
                      </pic:pic>
                    </a:graphicData>
                  </a:graphic>
                </wp:inline>
              </w:drawing>
            </w:r>
          </w:p>
          <w:p w14:paraId="182F70F0" w14:textId="77777777" w:rsidR="00072956" w:rsidRPr="000B180A" w:rsidRDefault="00072956" w:rsidP="007F5995">
            <w:pPr>
              <w:pStyle w:val="Prrafodelista"/>
              <w:jc w:val="center"/>
              <w:rPr>
                <w:rFonts w:ascii="Arial Narrow" w:hAnsi="Arial Narrow"/>
                <w:sz w:val="24"/>
                <w:szCs w:val="24"/>
                <w:lang w:val="en-US"/>
              </w:rPr>
            </w:pPr>
            <w:r w:rsidRPr="000B180A">
              <w:rPr>
                <w:rFonts w:ascii="Arial Narrow" w:eastAsia="Times New Roman" w:hAnsi="Arial Narrow"/>
                <w:sz w:val="24"/>
                <w:szCs w:val="24"/>
                <w:lang w:val="en-US" w:eastAsia="es-ES"/>
              </w:rPr>
              <w:t xml:space="preserve">Fuente: </w:t>
            </w:r>
            <w:r w:rsidRPr="000B180A">
              <w:rPr>
                <w:rFonts w:ascii="Arial Narrow" w:hAnsi="Arial Narrow"/>
                <w:sz w:val="24"/>
                <w:szCs w:val="24"/>
                <w:lang w:val="en-US"/>
              </w:rPr>
              <w:t>eBird &amp; Cornell Lab of Ornithology, consultado en 2025</w:t>
            </w:r>
          </w:p>
          <w:p w14:paraId="6F0C556A" w14:textId="77777777" w:rsidR="00072956" w:rsidRPr="000B180A" w:rsidRDefault="00072956" w:rsidP="007F5995">
            <w:pPr>
              <w:pStyle w:val="Prrafodelista"/>
              <w:rPr>
                <w:rFonts w:ascii="Arial Narrow" w:eastAsia="Times New Roman" w:hAnsi="Arial Narrow"/>
                <w:sz w:val="24"/>
                <w:szCs w:val="24"/>
                <w:shd w:val="clear" w:color="auto" w:fill="FFFFFF"/>
                <w:lang w:val="en-US" w:eastAsia="es-ES"/>
              </w:rPr>
            </w:pPr>
          </w:p>
          <w:p w14:paraId="4735C67B" w14:textId="77777777" w:rsidR="00072956" w:rsidRPr="000B180A" w:rsidRDefault="00072956" w:rsidP="007F5995">
            <w:pPr>
              <w:pStyle w:val="Prrafodelista"/>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Con el consolidado de la información espacial para varias especies, se estimaron las áreas con superposición de mayor tendencia de abundancia relativa para todas ellas. Llama la atención que, dentro de las zonas identificadas, se presentan áreas protegidas como el santuario de flora y fauna Los Flamencos, así como la zona de protección y desarrollo de los recursos naturales renovables y del medio ambiente Bahía Honda-Hondita.</w:t>
            </w:r>
          </w:p>
          <w:p w14:paraId="750C4A00" w14:textId="77777777" w:rsidR="00072956" w:rsidRPr="000B180A" w:rsidRDefault="00072956" w:rsidP="007F5995">
            <w:pPr>
              <w:pStyle w:val="Prrafodelista"/>
              <w:rPr>
                <w:rFonts w:ascii="Arial Narrow" w:eastAsia="Times New Roman" w:hAnsi="Arial Narrow"/>
                <w:sz w:val="24"/>
                <w:szCs w:val="24"/>
                <w:shd w:val="clear" w:color="auto" w:fill="FFFFFF"/>
                <w:lang w:eastAsia="es-ES"/>
              </w:rPr>
            </w:pPr>
          </w:p>
          <w:p w14:paraId="737FE2B9" w14:textId="77777777" w:rsidR="00072956" w:rsidRPr="000B180A" w:rsidRDefault="00072956" w:rsidP="007F5995">
            <w:pPr>
              <w:pStyle w:val="Prrafodelista"/>
              <w:ind w:left="1440"/>
              <w:jc w:val="center"/>
              <w:rPr>
                <w:rFonts w:ascii="Arial Narrow" w:hAnsi="Arial Narrow"/>
                <w:sz w:val="24"/>
                <w:szCs w:val="24"/>
              </w:rPr>
            </w:pPr>
            <w:r w:rsidRPr="000B180A">
              <w:rPr>
                <w:rFonts w:ascii="Arial Narrow" w:hAnsi="Arial Narrow"/>
                <w:sz w:val="24"/>
                <w:szCs w:val="24"/>
                <w:shd w:val="clear" w:color="auto" w:fill="FFFFFF"/>
              </w:rPr>
              <w:t xml:space="preserve">Figura </w:t>
            </w:r>
            <w:r w:rsidRPr="000B180A">
              <w:rPr>
                <w:rFonts w:ascii="Arial Narrow" w:hAnsi="Arial Narrow"/>
                <w:sz w:val="24"/>
                <w:szCs w:val="24"/>
                <w:shd w:val="clear" w:color="auto" w:fill="FFFFFF"/>
              </w:rPr>
              <w:fldChar w:fldCharType="begin"/>
            </w:r>
            <w:r w:rsidRPr="000B180A">
              <w:rPr>
                <w:rFonts w:ascii="Arial Narrow" w:hAnsi="Arial Narrow"/>
                <w:sz w:val="24"/>
                <w:szCs w:val="24"/>
                <w:shd w:val="clear" w:color="auto" w:fill="FFFFFF"/>
              </w:rPr>
              <w:instrText xml:space="preserve"> SEQ Figura \* ARABIC </w:instrText>
            </w:r>
            <w:r w:rsidRPr="000B180A">
              <w:rPr>
                <w:rFonts w:ascii="Arial Narrow" w:hAnsi="Arial Narrow"/>
                <w:sz w:val="24"/>
                <w:szCs w:val="24"/>
                <w:shd w:val="clear" w:color="auto" w:fill="FFFFFF"/>
              </w:rPr>
              <w:fldChar w:fldCharType="separate"/>
            </w:r>
            <w:r w:rsidRPr="000B180A">
              <w:rPr>
                <w:rFonts w:ascii="Arial Narrow" w:hAnsi="Arial Narrow"/>
                <w:noProof/>
                <w:sz w:val="24"/>
                <w:szCs w:val="24"/>
                <w:shd w:val="clear" w:color="auto" w:fill="FFFFFF"/>
              </w:rPr>
              <w:t>15</w:t>
            </w:r>
            <w:r w:rsidRPr="000B180A">
              <w:rPr>
                <w:rFonts w:ascii="Arial Narrow" w:hAnsi="Arial Narrow"/>
                <w:sz w:val="24"/>
                <w:szCs w:val="24"/>
                <w:shd w:val="clear" w:color="auto" w:fill="FFFFFF"/>
              </w:rPr>
              <w:fldChar w:fldCharType="end"/>
            </w:r>
            <w:r w:rsidRPr="000B180A">
              <w:rPr>
                <w:rFonts w:ascii="Arial Narrow" w:hAnsi="Arial Narrow"/>
                <w:sz w:val="24"/>
                <w:szCs w:val="24"/>
                <w:shd w:val="clear" w:color="auto" w:fill="FFFFFF"/>
              </w:rPr>
              <w:t xml:space="preserve">: </w:t>
            </w:r>
            <w:r w:rsidRPr="000B180A">
              <w:rPr>
                <w:rFonts w:ascii="Arial Narrow" w:hAnsi="Arial Narrow"/>
                <w:sz w:val="24"/>
                <w:szCs w:val="24"/>
              </w:rPr>
              <w:t>Abundancia relativa de aves priorizadas en celdas de 3 km</w:t>
            </w:r>
            <w:r w:rsidRPr="000B180A">
              <w:rPr>
                <w:rFonts w:ascii="Arial Narrow" w:hAnsi="Arial Narrow"/>
                <w:sz w:val="24"/>
                <w:szCs w:val="24"/>
                <w:vertAlign w:val="superscript"/>
              </w:rPr>
              <w:t>2</w:t>
            </w:r>
          </w:p>
          <w:p w14:paraId="0C29D5CF" w14:textId="77777777" w:rsidR="00072956" w:rsidRPr="000B180A" w:rsidRDefault="00072956" w:rsidP="007F5995">
            <w:pPr>
              <w:pStyle w:val="Prrafodelista"/>
              <w:jc w:val="center"/>
            </w:pPr>
          </w:p>
          <w:p w14:paraId="3BFC30C1" w14:textId="77777777" w:rsidR="00072956" w:rsidRPr="000B180A" w:rsidRDefault="00072956" w:rsidP="007F5995">
            <w:pPr>
              <w:pStyle w:val="Prrafodelista"/>
              <w:ind w:left="1416" w:hanging="696"/>
              <w:jc w:val="center"/>
              <w:rPr>
                <w:rFonts w:ascii="Arial Narrow" w:hAnsi="Arial Narrow"/>
                <w:sz w:val="24"/>
                <w:szCs w:val="24"/>
                <w:shd w:val="clear" w:color="auto" w:fill="FFFFFF"/>
              </w:rPr>
            </w:pPr>
            <w:r w:rsidRPr="000B180A">
              <w:rPr>
                <w:rFonts w:ascii="Arial Narrow" w:hAnsi="Arial Narrow"/>
                <w:noProof/>
                <w:sz w:val="24"/>
                <w:szCs w:val="24"/>
                <w:shd w:val="clear" w:color="auto" w:fill="FFFFFF"/>
              </w:rPr>
              <w:drawing>
                <wp:inline distT="0" distB="0" distL="0" distR="0" wp14:anchorId="1C69FF32" wp14:editId="78610DBC">
                  <wp:extent cx="4658685" cy="3600000"/>
                  <wp:effectExtent l="0" t="0" r="8890" b="635"/>
                  <wp:docPr id="2069443274" name="Imagen 1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443274" name="Imagen 13" descr="Mapa&#10;&#10;El contenido generado por IA puede ser incorrect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58685" cy="3600000"/>
                          </a:xfrm>
                          <a:prstGeom prst="rect">
                            <a:avLst/>
                          </a:prstGeom>
                          <a:noFill/>
                          <a:ln>
                            <a:noFill/>
                          </a:ln>
                        </pic:spPr>
                      </pic:pic>
                    </a:graphicData>
                  </a:graphic>
                </wp:inline>
              </w:drawing>
            </w:r>
          </w:p>
          <w:p w14:paraId="54E72BB0" w14:textId="77777777" w:rsidR="00072956" w:rsidRPr="000B180A" w:rsidRDefault="00072956" w:rsidP="007F5995">
            <w:pPr>
              <w:pStyle w:val="Prrafodelista"/>
              <w:ind w:left="708"/>
              <w:jc w:val="center"/>
              <w:rPr>
                <w:rFonts w:ascii="Arial Narrow" w:hAnsi="Arial Narrow"/>
                <w:sz w:val="24"/>
                <w:szCs w:val="24"/>
              </w:rPr>
            </w:pPr>
            <w:r w:rsidRPr="000B180A">
              <w:rPr>
                <w:rFonts w:ascii="Arial Narrow" w:hAnsi="Arial Narrow"/>
                <w:sz w:val="24"/>
                <w:szCs w:val="24"/>
              </w:rPr>
              <w:t>Fuente: ANLA, MinAmbiente &amp; IAVH adaptado de eBird &amp; Cornell Lab of Ornithology, 2025</w:t>
            </w:r>
          </w:p>
          <w:p w14:paraId="4383D508" w14:textId="77777777" w:rsidR="00072956" w:rsidRPr="000B180A" w:rsidRDefault="00072956" w:rsidP="007F5995">
            <w:pPr>
              <w:pStyle w:val="Prrafodelista"/>
              <w:rPr>
                <w:rFonts w:ascii="Arial Narrow" w:eastAsia="Times New Roman" w:hAnsi="Arial Narrow"/>
                <w:sz w:val="24"/>
                <w:szCs w:val="24"/>
                <w:shd w:val="clear" w:color="auto" w:fill="FFFFFF"/>
                <w:lang w:eastAsia="es-ES"/>
              </w:rPr>
            </w:pPr>
          </w:p>
          <w:p w14:paraId="3390626F" w14:textId="77777777" w:rsidR="00072956" w:rsidRPr="008A1BA7" w:rsidRDefault="00072956" w:rsidP="007F5995">
            <w:pPr>
              <w:pStyle w:val="Prrafodelista"/>
              <w:numPr>
                <w:ilvl w:val="0"/>
                <w:numId w:val="39"/>
              </w:numPr>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 xml:space="preserve">Finalmente, se consolidaron los resultados de la información analizada en los pasos previos, y se identificaron áreas en común. Teniendo en cuenta la diferencia de escalas de cada análisis, se decidió primero identificar las áreas protegidas coincidentes con mayor importancia para las aves según cada análisis y para ellas garantizar un buffer mínimo de 3 km alrededor. De igual forma </w:t>
            </w:r>
            <w:r w:rsidRPr="008A1BA7">
              <w:rPr>
                <w:rFonts w:ascii="Arial Narrow" w:eastAsia="Times New Roman" w:hAnsi="Arial Narrow"/>
                <w:sz w:val="24"/>
                <w:szCs w:val="24"/>
                <w:shd w:val="clear" w:color="auto" w:fill="FFFFFF"/>
                <w:lang w:eastAsia="es-ES"/>
              </w:rPr>
              <w:t>para las demás áreas coincidentes entre los tres análisis sobre línea de costa se incluyó una distancia de 3 km como área de exclusión para los proyectos. A esto se sumó el punto de maternidad de murciélagos mencionado previamente con un buffer de 3 km. Vale aclarar, que si bien en algunos casos se presentaron zonas con alta densidad de registros por km</w:t>
            </w:r>
            <w:r w:rsidRPr="008A1BA7">
              <w:rPr>
                <w:rFonts w:ascii="Arial Narrow" w:eastAsia="Times New Roman" w:hAnsi="Arial Narrow"/>
                <w:sz w:val="24"/>
                <w:szCs w:val="24"/>
                <w:shd w:val="clear" w:color="auto" w:fill="FFFFFF"/>
                <w:vertAlign w:val="superscript"/>
                <w:lang w:eastAsia="es-ES"/>
              </w:rPr>
              <w:t>2</w:t>
            </w:r>
            <w:r w:rsidRPr="008A1BA7">
              <w:rPr>
                <w:rFonts w:ascii="Arial Narrow" w:eastAsia="Times New Roman" w:hAnsi="Arial Narrow"/>
                <w:sz w:val="24"/>
                <w:szCs w:val="24"/>
                <w:shd w:val="clear" w:color="auto" w:fill="FFFFFF"/>
                <w:lang w:eastAsia="es-ES"/>
              </w:rPr>
              <w:t xml:space="preserve"> o con alta tendencia de abundancia relativa, estas no fueran incluidas como zonas de exclusión al considerarse que coincidían con las áreas de influencia y de intervención de proyectos ya licenciados, por lo cual su muestreo estaba sesgado por las obligaciones de caracterización de dichos expedientes.</w:t>
            </w:r>
          </w:p>
          <w:p w14:paraId="451CFD96" w14:textId="77777777" w:rsidR="00072956" w:rsidRPr="000B180A" w:rsidRDefault="00072956" w:rsidP="007F5995">
            <w:pPr>
              <w:pStyle w:val="Prrafodelista"/>
              <w:ind w:left="1068"/>
              <w:rPr>
                <w:rFonts w:ascii="Arial Narrow" w:eastAsia="Times New Roman" w:hAnsi="Arial Narrow"/>
                <w:sz w:val="24"/>
                <w:szCs w:val="24"/>
                <w:shd w:val="clear" w:color="auto" w:fill="FFFFFF"/>
                <w:lang w:eastAsia="es-ES"/>
              </w:rPr>
            </w:pPr>
          </w:p>
          <w:p w14:paraId="0439455A" w14:textId="77777777" w:rsidR="00072956" w:rsidRPr="000B180A" w:rsidRDefault="00072956" w:rsidP="007F5995">
            <w:pPr>
              <w:pStyle w:val="Prrafodelista"/>
              <w:ind w:left="1068"/>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El</w:t>
            </w:r>
            <w:r w:rsidRPr="000B180A">
              <w:rPr>
                <w:rFonts w:ascii="Arial Narrow" w:eastAsia="Times New Roman" w:hAnsi="Arial Narrow"/>
                <w:sz w:val="24"/>
                <w:szCs w:val="24"/>
                <w:lang w:eastAsia="es-ES"/>
              </w:rPr>
              <w:t xml:space="preserve"> resultado final de áreas de exclusión se muestra a continuación:</w:t>
            </w:r>
          </w:p>
          <w:p w14:paraId="242649B7" w14:textId="77777777" w:rsidR="00072956" w:rsidRPr="000B180A" w:rsidRDefault="00072956" w:rsidP="007F5995">
            <w:pPr>
              <w:pStyle w:val="Prrafodelista"/>
              <w:ind w:left="1068"/>
              <w:rPr>
                <w:rFonts w:ascii="Arial Narrow" w:eastAsia="Times New Roman" w:hAnsi="Arial Narrow"/>
                <w:sz w:val="24"/>
                <w:szCs w:val="24"/>
                <w:shd w:val="clear" w:color="auto" w:fill="FFFFFF"/>
                <w:lang w:eastAsia="es-ES"/>
              </w:rPr>
            </w:pPr>
          </w:p>
          <w:p w14:paraId="6BE6B7E9" w14:textId="77777777" w:rsidR="00072956" w:rsidRPr="000B180A" w:rsidRDefault="00072956" w:rsidP="007F5995">
            <w:pPr>
              <w:jc w:val="center"/>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Figura </w:t>
            </w:r>
            <w:r w:rsidRPr="000B180A">
              <w:rPr>
                <w:rFonts w:ascii="Arial Narrow" w:hAnsi="Arial Narrow"/>
                <w:sz w:val="24"/>
                <w:szCs w:val="24"/>
                <w:shd w:val="clear" w:color="auto" w:fill="FFFFFF"/>
              </w:rPr>
              <w:fldChar w:fldCharType="begin"/>
            </w:r>
            <w:r w:rsidRPr="000B180A">
              <w:rPr>
                <w:rFonts w:ascii="Arial Narrow" w:hAnsi="Arial Narrow"/>
                <w:sz w:val="24"/>
                <w:szCs w:val="24"/>
                <w:shd w:val="clear" w:color="auto" w:fill="FFFFFF"/>
              </w:rPr>
              <w:instrText xml:space="preserve"> SEQ Figura \* ARABIC </w:instrText>
            </w:r>
            <w:r w:rsidRPr="000B180A">
              <w:rPr>
                <w:rFonts w:ascii="Arial Narrow" w:hAnsi="Arial Narrow"/>
                <w:sz w:val="24"/>
                <w:szCs w:val="24"/>
                <w:shd w:val="clear" w:color="auto" w:fill="FFFFFF"/>
              </w:rPr>
              <w:fldChar w:fldCharType="separate"/>
            </w:r>
            <w:r w:rsidRPr="000B180A">
              <w:rPr>
                <w:rFonts w:ascii="Arial Narrow" w:hAnsi="Arial Narrow"/>
                <w:noProof/>
                <w:sz w:val="24"/>
                <w:szCs w:val="24"/>
                <w:shd w:val="clear" w:color="auto" w:fill="FFFFFF"/>
              </w:rPr>
              <w:t>16</w:t>
            </w:r>
            <w:r w:rsidRPr="000B180A">
              <w:rPr>
                <w:rFonts w:ascii="Arial Narrow" w:hAnsi="Arial Narrow"/>
                <w:sz w:val="24"/>
                <w:szCs w:val="24"/>
                <w:shd w:val="clear" w:color="auto" w:fill="FFFFFF"/>
              </w:rPr>
              <w:fldChar w:fldCharType="end"/>
            </w:r>
            <w:r w:rsidRPr="000B180A">
              <w:rPr>
                <w:rFonts w:ascii="Arial Narrow" w:hAnsi="Arial Narrow"/>
                <w:sz w:val="24"/>
                <w:szCs w:val="24"/>
                <w:shd w:val="clear" w:color="auto" w:fill="FFFFFF"/>
              </w:rPr>
              <w:t>: Consolidación de análisis</w:t>
            </w:r>
          </w:p>
          <w:p w14:paraId="0D2A5BF6" w14:textId="77777777" w:rsidR="00072956" w:rsidRPr="000B180A" w:rsidRDefault="00072956" w:rsidP="007F5995">
            <w:pPr>
              <w:jc w:val="center"/>
            </w:pPr>
            <w:r w:rsidRPr="000B180A">
              <w:rPr>
                <w:noProof/>
              </w:rPr>
              <w:drawing>
                <wp:inline distT="0" distB="0" distL="0" distR="0" wp14:anchorId="42A4E498" wp14:editId="3E58D9F7">
                  <wp:extent cx="5586886" cy="4320000"/>
                  <wp:effectExtent l="0" t="0" r="0" b="4445"/>
                  <wp:docPr id="935686593" name="drawing"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86593" name="drawing" descr="Mapa&#10;&#10;El contenido generado por IA puede ser incorrecto."/>
                          <pic:cNvPicPr/>
                        </pic:nvPicPr>
                        <pic:blipFill>
                          <a:blip r:embed="rId25">
                            <a:extLst>
                              <a:ext uri="{28A0092B-C50C-407E-A947-70E740481C1C}">
                                <a14:useLocalDpi xmlns:a14="http://schemas.microsoft.com/office/drawing/2010/main"/>
                              </a:ext>
                            </a:extLst>
                          </a:blip>
                          <a:stretch>
                            <a:fillRect/>
                          </a:stretch>
                        </pic:blipFill>
                        <pic:spPr>
                          <a:xfrm>
                            <a:off x="0" y="0"/>
                            <a:ext cx="5586886" cy="4320000"/>
                          </a:xfrm>
                          <a:prstGeom prst="rect">
                            <a:avLst/>
                          </a:prstGeom>
                        </pic:spPr>
                      </pic:pic>
                    </a:graphicData>
                  </a:graphic>
                </wp:inline>
              </w:drawing>
            </w:r>
          </w:p>
          <w:p w14:paraId="2D1698A7" w14:textId="77777777" w:rsidR="00072956" w:rsidRPr="000B180A" w:rsidRDefault="00072956" w:rsidP="007F5995">
            <w:pPr>
              <w:jc w:val="center"/>
              <w:rPr>
                <w:rFonts w:ascii="Arial Narrow" w:hAnsi="Arial Narrow"/>
                <w:sz w:val="24"/>
                <w:szCs w:val="24"/>
              </w:rPr>
            </w:pPr>
            <w:r w:rsidRPr="000B180A">
              <w:rPr>
                <w:rFonts w:ascii="Arial Narrow" w:hAnsi="Arial Narrow"/>
                <w:sz w:val="24"/>
                <w:szCs w:val="24"/>
              </w:rPr>
              <w:t>Fuente: ANLA, MinAmbiente &amp; IAVH, 2025</w:t>
            </w:r>
          </w:p>
          <w:p w14:paraId="56EAFF8E" w14:textId="77777777" w:rsidR="00072956" w:rsidRPr="000B180A" w:rsidRDefault="00072956" w:rsidP="007F5995">
            <w:pPr>
              <w:jc w:val="center"/>
              <w:rPr>
                <w:rFonts w:ascii="Arial Narrow" w:hAnsi="Arial Narrow"/>
                <w:sz w:val="24"/>
                <w:szCs w:val="24"/>
                <w:shd w:val="clear" w:color="auto" w:fill="FFFFFF"/>
              </w:rPr>
            </w:pPr>
          </w:p>
          <w:p w14:paraId="105ACFF8" w14:textId="77777777" w:rsidR="00072956" w:rsidRPr="000B180A" w:rsidRDefault="00072956" w:rsidP="007F5995">
            <w:pPr>
              <w:jc w:val="center"/>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Figura </w:t>
            </w:r>
            <w:r w:rsidRPr="000B180A">
              <w:rPr>
                <w:rFonts w:ascii="Arial Narrow" w:hAnsi="Arial Narrow"/>
                <w:sz w:val="24"/>
                <w:szCs w:val="24"/>
                <w:shd w:val="clear" w:color="auto" w:fill="FFFFFF"/>
              </w:rPr>
              <w:fldChar w:fldCharType="begin"/>
            </w:r>
            <w:r w:rsidRPr="000B180A">
              <w:rPr>
                <w:rFonts w:ascii="Arial Narrow" w:hAnsi="Arial Narrow"/>
                <w:sz w:val="24"/>
                <w:szCs w:val="24"/>
                <w:shd w:val="clear" w:color="auto" w:fill="FFFFFF"/>
              </w:rPr>
              <w:instrText xml:space="preserve"> SEQ Figura \* ARABIC </w:instrText>
            </w:r>
            <w:r w:rsidRPr="000B180A">
              <w:rPr>
                <w:rFonts w:ascii="Arial Narrow" w:hAnsi="Arial Narrow"/>
                <w:sz w:val="24"/>
                <w:szCs w:val="24"/>
                <w:shd w:val="clear" w:color="auto" w:fill="FFFFFF"/>
              </w:rPr>
              <w:fldChar w:fldCharType="separate"/>
            </w:r>
            <w:r w:rsidRPr="000B180A">
              <w:rPr>
                <w:rFonts w:ascii="Arial Narrow" w:hAnsi="Arial Narrow"/>
                <w:noProof/>
                <w:sz w:val="24"/>
                <w:szCs w:val="24"/>
                <w:shd w:val="clear" w:color="auto" w:fill="FFFFFF"/>
              </w:rPr>
              <w:t>17</w:t>
            </w:r>
            <w:r w:rsidRPr="000B180A">
              <w:rPr>
                <w:rFonts w:ascii="Arial Narrow" w:hAnsi="Arial Narrow"/>
                <w:sz w:val="24"/>
                <w:szCs w:val="24"/>
                <w:shd w:val="clear" w:color="auto" w:fill="FFFFFF"/>
              </w:rPr>
              <w:fldChar w:fldCharType="end"/>
            </w:r>
            <w:r w:rsidRPr="000B180A">
              <w:rPr>
                <w:rFonts w:ascii="Arial Narrow" w:hAnsi="Arial Narrow"/>
                <w:sz w:val="24"/>
                <w:szCs w:val="24"/>
                <w:shd w:val="clear" w:color="auto" w:fill="FFFFFF"/>
              </w:rPr>
              <w:t>: Áreas de Exclusión: Áreas de importancia para la fauna voladora de especies migratorias y residentes de aves y murciélagos (dormideros, zonas de anidación, descanso o colonias de reproducción)</w:t>
            </w:r>
          </w:p>
          <w:p w14:paraId="06E9075B" w14:textId="77777777" w:rsidR="00072956" w:rsidRPr="000B180A" w:rsidRDefault="00072956" w:rsidP="007F5995">
            <w:pPr>
              <w:jc w:val="center"/>
              <w:rPr>
                <w:lang w:val="es-CO"/>
              </w:rPr>
            </w:pPr>
            <w:r w:rsidRPr="000B180A">
              <w:rPr>
                <w:noProof/>
                <w:lang w:val="es-CO"/>
              </w:rPr>
              <w:drawing>
                <wp:inline distT="0" distB="0" distL="0" distR="0" wp14:anchorId="6D63CA1A" wp14:editId="71AE9C17">
                  <wp:extent cx="5590422" cy="4320000"/>
                  <wp:effectExtent l="0" t="0" r="0" b="4445"/>
                  <wp:docPr id="214759387" name="Imagen 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59387" name="Imagen 3" descr="Mapa&#10;&#10;El contenido generado por IA puede ser incorrecto."/>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90422" cy="4320000"/>
                          </a:xfrm>
                          <a:prstGeom prst="rect">
                            <a:avLst/>
                          </a:prstGeom>
                          <a:noFill/>
                          <a:ln>
                            <a:noFill/>
                          </a:ln>
                        </pic:spPr>
                      </pic:pic>
                    </a:graphicData>
                  </a:graphic>
                </wp:inline>
              </w:drawing>
            </w:r>
          </w:p>
          <w:p w14:paraId="34CBF29E" w14:textId="77777777" w:rsidR="00072956" w:rsidRPr="000B180A" w:rsidRDefault="00072956" w:rsidP="007F5995">
            <w:pPr>
              <w:jc w:val="center"/>
              <w:rPr>
                <w:rFonts w:ascii="Arial Narrow" w:hAnsi="Arial Narrow"/>
                <w:sz w:val="24"/>
                <w:szCs w:val="24"/>
              </w:rPr>
            </w:pPr>
            <w:r w:rsidRPr="000B180A">
              <w:rPr>
                <w:rFonts w:ascii="Arial Narrow" w:hAnsi="Arial Narrow"/>
                <w:sz w:val="24"/>
                <w:szCs w:val="24"/>
              </w:rPr>
              <w:t>Fuente: ANLA, MinAmbiente &amp; IAVH, 2025</w:t>
            </w:r>
          </w:p>
          <w:p w14:paraId="0F2778F5"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78581582"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Desde el punto de vista jurídico, los criterios anteriores se fundamentan en:</w:t>
            </w:r>
          </w:p>
          <w:p w14:paraId="663E1981"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77655EAC"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El principio de precaución ambiental consagrado en el artículo 1º de la Ley 99 de 1993.</w:t>
            </w:r>
          </w:p>
          <w:p w14:paraId="06EDF382"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71A381FD"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El artículo 204 de la Ley 1450 de 2011, que faculta al Ministerio de Ambiente para definir condiciones para actividades de bajo impacto ambiental.</w:t>
            </w:r>
          </w:p>
          <w:p w14:paraId="28BEB6DB"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3779B16C"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Las obligaciones internacionales asumidas por Colombia en el marco del Convenio sobre la Diversidad Biológica, la Convención de Bonn (sobre especies migratorias) y el Memorando de Entendimiento sobre la Conservación de los Murciélagos en América Latina.</w:t>
            </w:r>
          </w:p>
          <w:p w14:paraId="5298491C"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En conjunto, este criterio busca:</w:t>
            </w:r>
          </w:p>
          <w:p w14:paraId="37399EF3"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389399B5" w14:textId="77777777" w:rsidR="00072956" w:rsidRPr="000B180A" w:rsidRDefault="00072956" w:rsidP="007F5995">
            <w:pPr>
              <w:pStyle w:val="Prrafodelista"/>
              <w:numPr>
                <w:ilvl w:val="0"/>
                <w:numId w:val="32"/>
              </w:numPr>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Prevenir impactos significativos e irreversibles sobre especies sensibles.</w:t>
            </w:r>
          </w:p>
          <w:p w14:paraId="117C8EE5"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7282AE5F" w14:textId="77777777" w:rsidR="00072956" w:rsidRPr="000B180A" w:rsidRDefault="00072956" w:rsidP="007F5995">
            <w:pPr>
              <w:pStyle w:val="Prrafodelista"/>
              <w:numPr>
                <w:ilvl w:val="0"/>
                <w:numId w:val="32"/>
              </w:numPr>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Mantener la funcionalidad ecológica de corredores migratorios y hábitats prioritarios.</w:t>
            </w:r>
          </w:p>
          <w:p w14:paraId="1A6861C8"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317C0575" w14:textId="77777777" w:rsidR="00072956" w:rsidRPr="000B180A" w:rsidRDefault="00072956" w:rsidP="007F5995">
            <w:pPr>
              <w:pStyle w:val="Prrafodelista"/>
              <w:numPr>
                <w:ilvl w:val="0"/>
                <w:numId w:val="32"/>
              </w:numPr>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Disminuir el riesgo de conflictos socioambientales derivados de la pérdida de biodiversidad.</w:t>
            </w:r>
          </w:p>
          <w:p w14:paraId="7DEA1E23"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19930D3E" w14:textId="77777777" w:rsidR="00072956" w:rsidRPr="000B180A" w:rsidRDefault="00072956" w:rsidP="007F5995">
            <w:pPr>
              <w:pStyle w:val="Prrafodelista"/>
              <w:numPr>
                <w:ilvl w:val="0"/>
                <w:numId w:val="32"/>
              </w:numPr>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Asegurar que los proyectos eólicos efectivamente cumplan con los estándares de bajo impacto ambiental que los habilitan a optar por procesos diferenciados de evaluación ambiental, como la LAEólica.</w:t>
            </w:r>
          </w:p>
          <w:p w14:paraId="396FC5FC"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100B32CF" w14:textId="77777777" w:rsidR="00072956" w:rsidRPr="000B180A" w:rsidRDefault="00072956" w:rsidP="007F5995">
            <w:pPr>
              <w:pStyle w:val="Prrafodelista"/>
              <w:numPr>
                <w:ilvl w:val="0"/>
                <w:numId w:val="8"/>
              </w:numPr>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En relación con el recurso hídrico superficial y subterráneo</w:t>
            </w:r>
          </w:p>
          <w:p w14:paraId="18A8F602" w14:textId="77777777" w:rsidR="00072956" w:rsidRPr="000B180A" w:rsidRDefault="00072956" w:rsidP="007F5995">
            <w:pPr>
              <w:pStyle w:val="Prrafodelista"/>
              <w:shd w:val="clear" w:color="auto" w:fill="FFFFFF"/>
              <w:spacing w:before="100" w:beforeAutospacing="1" w:after="100" w:afterAutospacing="1"/>
              <w:ind w:left="860"/>
              <w:rPr>
                <w:rFonts w:ascii="Arial Narrow" w:eastAsia="Times New Roman" w:hAnsi="Arial Narrow"/>
                <w:sz w:val="24"/>
                <w:szCs w:val="24"/>
                <w:shd w:val="clear" w:color="auto" w:fill="FFFFFF"/>
                <w:lang w:eastAsia="es-ES"/>
              </w:rPr>
            </w:pPr>
          </w:p>
          <w:p w14:paraId="24F27728"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El recurso hídrico constituye uno de los componentes más sensibles y estratégicos del medio ambiente, tanto en su expresión superficial (ríos, quebradas, humedales, manantiales, nacederos) como subterránea (acuíferos, aguas confinadas y libres). La protección de estos cuerpos de agua es prioritaria no solo por su valor intrínseco, sino también por su función en el abastecimiento poblacional, el equilibrio ecológico, la producción agrícola, y el sostenimiento de otros servicios ecosistémicos clave.</w:t>
            </w:r>
          </w:p>
          <w:p w14:paraId="04D1F780"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0610A54C"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En consecuencia, el criterio de exclusión propuesto establece que no se considerarán como zonas que, conforme a los requisitos establecidos en el decreto, no generan afectaciones significativas sobre el medio ambiente, al no ubicarse ni intervenir en condiciones territoriales o ecosistémicas especialmente sensibles. aquellas áreas relacionadas con el recurso hídrico superficial y subterráneo, según los siguientes elementos:</w:t>
            </w:r>
          </w:p>
          <w:p w14:paraId="47A20623" w14:textId="77777777" w:rsidR="00072956" w:rsidRPr="000B180A" w:rsidRDefault="00072956" w:rsidP="007F5995">
            <w:pPr>
              <w:pStyle w:val="Prrafodelista"/>
              <w:shd w:val="clear" w:color="auto" w:fill="FFFFFF"/>
              <w:spacing w:before="100" w:beforeAutospacing="1" w:after="100" w:afterAutospacing="1"/>
              <w:rPr>
                <w:rFonts w:ascii="Arial Narrow" w:eastAsia="Times New Roman" w:hAnsi="Arial Narrow"/>
                <w:sz w:val="24"/>
                <w:szCs w:val="24"/>
                <w:shd w:val="clear" w:color="auto" w:fill="FFFFFF"/>
                <w:lang w:eastAsia="es-ES"/>
              </w:rPr>
            </w:pPr>
          </w:p>
          <w:p w14:paraId="2DD24907" w14:textId="77777777" w:rsidR="00072956" w:rsidRPr="000B180A" w:rsidRDefault="00072956" w:rsidP="007F5995">
            <w:pPr>
              <w:pStyle w:val="Prrafodelista"/>
              <w:numPr>
                <w:ilvl w:val="0"/>
                <w:numId w:val="6"/>
              </w:numPr>
              <w:shd w:val="clear" w:color="auto" w:fill="FFFFFF"/>
              <w:spacing w:after="100" w:afterAutospacing="1"/>
              <w:ind w:left="500" w:hang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Rondas hídricas</w:t>
            </w:r>
          </w:p>
          <w:p w14:paraId="774862FD" w14:textId="77777777" w:rsidR="00072956" w:rsidRPr="000B180A" w:rsidRDefault="00072956" w:rsidP="007F5995">
            <w:pPr>
              <w:ind w:left="500" w:hang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No obstante, se permite la intervención de rondas hídricas para el desarrollo de infraestructura lineal que sea indispensable para el proyecto. En este evento, se deberá solicitar el permiso para la ocupación en el marco del Estudio de Impacto Ambiental (EIA).</w:t>
            </w:r>
          </w:p>
          <w:p w14:paraId="2F0A6EC2" w14:textId="77777777" w:rsidR="00072956" w:rsidRPr="000B180A" w:rsidRDefault="00072956" w:rsidP="007F5995">
            <w:pPr>
              <w:ind w:left="500" w:hanging="1"/>
              <w:rPr>
                <w:rFonts w:ascii="Arial Narrow" w:hAnsi="Arial Narrow" w:cs="Arial"/>
                <w:sz w:val="24"/>
                <w:szCs w:val="24"/>
                <w:shd w:val="clear" w:color="auto" w:fill="FFFFFF"/>
                <w:lang w:val="es-CO"/>
              </w:rPr>
            </w:pPr>
          </w:p>
          <w:p w14:paraId="3E47E337" w14:textId="77777777" w:rsidR="00072956" w:rsidRPr="000B180A" w:rsidRDefault="00072956" w:rsidP="007F5995">
            <w:pPr>
              <w:ind w:left="500" w:hang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Las rondas hídricas son franjas de protección ambiental obligatoria que bordean los cuerpos de agua, establecidas con el fin de preservar su integridad ecológica, garantizar la recarga hídrica, evitar la contaminación y mitigar riesgos por inundaciones o desbordamientos. De acuerdo con el Artículo 206 del Código Nacional de Recursos Naturales Renovables (Decreto 2811 de 1974) y el Decreto 1076 de 2015, estas zonas deben mantenerse libres de ocupación permanente y de actividades que puedan poner en riesgo el cuerpo de agua.</w:t>
            </w:r>
          </w:p>
          <w:p w14:paraId="66E48D8B" w14:textId="77777777" w:rsidR="00072956" w:rsidRPr="000B180A" w:rsidRDefault="00072956" w:rsidP="007F5995">
            <w:pPr>
              <w:ind w:left="500" w:hanging="1"/>
              <w:jc w:val="both"/>
              <w:rPr>
                <w:rFonts w:ascii="Arial Narrow" w:hAnsi="Arial Narrow" w:cs="Arial"/>
                <w:sz w:val="24"/>
                <w:szCs w:val="24"/>
                <w:shd w:val="clear" w:color="auto" w:fill="FFFFFF"/>
                <w:lang w:val="es-CO"/>
              </w:rPr>
            </w:pPr>
          </w:p>
          <w:p w14:paraId="69170228" w14:textId="77777777" w:rsidR="00072956" w:rsidRPr="000B180A" w:rsidRDefault="00072956" w:rsidP="007F5995">
            <w:pPr>
              <w:ind w:left="500" w:hang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No obstante, se introduce una excepción justificada para permitir, únicamente bajo condiciones específicas, la ocupación de rondas hídricas para infraestructura lineal que sea esencial para la construcción y operación del proyecto, como caminos internos, accesos, redes de conexión eléctrica o conductos. Esta ocupación deberá:</w:t>
            </w:r>
          </w:p>
          <w:p w14:paraId="32BAB19E" w14:textId="77777777" w:rsidR="00072956" w:rsidRPr="000B180A" w:rsidRDefault="00072956" w:rsidP="007F5995">
            <w:pPr>
              <w:ind w:left="500" w:hanging="1"/>
              <w:jc w:val="both"/>
              <w:rPr>
                <w:rFonts w:ascii="Arial Narrow" w:hAnsi="Arial Narrow" w:cs="Arial"/>
                <w:sz w:val="24"/>
                <w:szCs w:val="24"/>
                <w:shd w:val="clear" w:color="auto" w:fill="FFFFFF"/>
                <w:lang w:val="es-CO"/>
              </w:rPr>
            </w:pPr>
          </w:p>
          <w:p w14:paraId="3F3CC241" w14:textId="77777777" w:rsidR="00072956" w:rsidRPr="000B180A" w:rsidRDefault="00072956" w:rsidP="007F5995">
            <w:pPr>
              <w:numPr>
                <w:ilvl w:val="0"/>
                <w:numId w:val="7"/>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Ser indispensable para el desarrollo del proyecto,</w:t>
            </w:r>
          </w:p>
          <w:p w14:paraId="18F518DF" w14:textId="77777777" w:rsidR="00072956" w:rsidRPr="000B180A" w:rsidRDefault="00072956" w:rsidP="007F5995">
            <w:pPr>
              <w:ind w:left="500" w:hanging="1"/>
              <w:jc w:val="both"/>
              <w:rPr>
                <w:rFonts w:ascii="Arial Narrow" w:hAnsi="Arial Narrow" w:cs="Arial"/>
                <w:sz w:val="24"/>
                <w:szCs w:val="24"/>
                <w:shd w:val="clear" w:color="auto" w:fill="FFFFFF"/>
                <w:lang w:val="es-CO"/>
              </w:rPr>
            </w:pPr>
          </w:p>
          <w:p w14:paraId="0DC7F403" w14:textId="77777777" w:rsidR="00072956" w:rsidRPr="000B180A" w:rsidRDefault="00072956" w:rsidP="007F5995">
            <w:pPr>
              <w:numPr>
                <w:ilvl w:val="0"/>
                <w:numId w:val="7"/>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Justificarse técnica y ambientalmente en el Estudio de Impacto Ambiental (EIA), y</w:t>
            </w:r>
          </w:p>
          <w:p w14:paraId="4AE8D821" w14:textId="77777777" w:rsidR="00072956" w:rsidRPr="000B180A" w:rsidRDefault="00072956" w:rsidP="007F5995">
            <w:pPr>
              <w:ind w:left="500" w:hanging="1"/>
              <w:jc w:val="both"/>
              <w:rPr>
                <w:rFonts w:ascii="Arial Narrow" w:hAnsi="Arial Narrow" w:cs="Arial"/>
                <w:sz w:val="24"/>
                <w:szCs w:val="24"/>
                <w:shd w:val="clear" w:color="auto" w:fill="FFFFFF"/>
                <w:lang w:val="es-CO"/>
              </w:rPr>
            </w:pPr>
          </w:p>
          <w:p w14:paraId="61B836F0" w14:textId="77777777" w:rsidR="00072956" w:rsidRPr="000B180A" w:rsidRDefault="00072956" w:rsidP="007F5995">
            <w:pPr>
              <w:numPr>
                <w:ilvl w:val="0"/>
                <w:numId w:val="7"/>
              </w:num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Contar con el permiso de ocupación de cauce o ronda hídrica, conforme al trámite previsto en la normativa ambiental.</w:t>
            </w:r>
          </w:p>
          <w:p w14:paraId="732083EE" w14:textId="77777777" w:rsidR="00072956" w:rsidRPr="000B180A" w:rsidRDefault="00072956" w:rsidP="007F5995">
            <w:pPr>
              <w:ind w:left="500" w:hanging="1"/>
              <w:jc w:val="both"/>
              <w:rPr>
                <w:rFonts w:ascii="Arial Narrow" w:hAnsi="Arial Narrow" w:cs="Arial"/>
                <w:sz w:val="24"/>
                <w:szCs w:val="24"/>
                <w:shd w:val="clear" w:color="auto" w:fill="FFFFFF"/>
                <w:lang w:val="es-CO"/>
              </w:rPr>
            </w:pPr>
          </w:p>
          <w:p w14:paraId="41722D22" w14:textId="77777777" w:rsidR="00072956" w:rsidRPr="000B180A" w:rsidRDefault="00072956" w:rsidP="007F5995">
            <w:pPr>
              <w:ind w:left="500" w:hang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Esta excepción está respaldada por la jurisprudencia ambiental y por el principio de razonabilidad técnica, el cual reconoce que ciertos elementos del proyecto pueden cruzar cuerpos de agua sin implicar una afectación significativa, siempre que se gestionen de forma controlada y con los permisos respectivos.</w:t>
            </w:r>
          </w:p>
          <w:p w14:paraId="543A4BF0" w14:textId="77777777" w:rsidR="00072956" w:rsidRPr="000B180A" w:rsidRDefault="00072956" w:rsidP="007F5995">
            <w:pPr>
              <w:pStyle w:val="Prrafodelista"/>
              <w:numPr>
                <w:ilvl w:val="0"/>
                <w:numId w:val="6"/>
              </w:numPr>
              <w:shd w:val="clear" w:color="auto" w:fill="FFFFFF"/>
              <w:spacing w:before="100" w:beforeAutospacing="1" w:after="100" w:afterAutospacing="1"/>
              <w:ind w:left="500" w:hang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Áreas marino–costeras, considerando como límite mareas máximas.</w:t>
            </w:r>
          </w:p>
          <w:p w14:paraId="5B80272E"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p>
          <w:p w14:paraId="5E6BE640"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Las áreas marino–costeras son espacios ecológicos altamente dinámicos y biodiversos que cumplen funciones esenciales como la amortiguación de oleajes, la recarga de acuíferos costeros, y el hábitat de especies marinas y terrestres. Se considera como límite de exclusión la línea de mareas máximas, entendida como la extensión más alta que alcanza el mar durante los ciclos de marea.</w:t>
            </w:r>
          </w:p>
          <w:p w14:paraId="6C6D1D95"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p>
          <w:p w14:paraId="3114D265"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Esta delimitación garantiza la protección de los ecosistemas de playas, dunas, manglares y humedales costeros, en cumplimiento de los principios establecidos en la Ley 1450 de 2011, el Decreto 1120 de 2013, y el Protocolo de Ordenamiento Marino Costero adoptado por el Ministerio de Ambiente y Desarrollo Sostenible (MADS).</w:t>
            </w:r>
          </w:p>
          <w:p w14:paraId="06D82A83"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p>
          <w:p w14:paraId="2DE39173" w14:textId="77777777" w:rsidR="00072956" w:rsidRPr="000B180A" w:rsidRDefault="00072956" w:rsidP="007F5995">
            <w:pPr>
              <w:pStyle w:val="Prrafodelista"/>
              <w:numPr>
                <w:ilvl w:val="0"/>
                <w:numId w:val="6"/>
              </w:numPr>
              <w:shd w:val="clear" w:color="auto" w:fill="FFFFFF"/>
              <w:spacing w:before="100" w:beforeAutospacing="1" w:after="100" w:afterAutospacing="1"/>
              <w:ind w:left="500" w:hang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Rondas de protección de nacederos y manantiales, definidas conforme a lo establecido en el artículo 206 del Decreto 2811 de 1974, el artículo 2.2.3.1.1.2 del Decreto 1076 de 2015 o la normativa que los modifique o sustituya.</w:t>
            </w:r>
          </w:p>
          <w:p w14:paraId="0E4FA28D"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Los nacederos y manantiales constituyen puntos clave de descarga del recurso hídrico subterráneo hacia la superficie. Son esenciales para la recarga de microcuencas, el abastecimiento de comunidades rurales, y el mantenimiento de humedales y corredores ecológicos. Su protección ha sido definida expresamente en el: Artículo 206 del Decreto 2811 de 1974, Artículo 2.2.3.1.1.2 del Decreto 1076 de 2015, Y demás normativas que los modifiquen o sustituyan.</w:t>
            </w:r>
          </w:p>
          <w:p w14:paraId="201BB06D"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Según estas disposiciones, debe establecerse una franja de protección de mínimo 100 metros a partir del punto de emanación, en la cual se restringe cualquier tipo de intervención que altere su caudal, calidad o estructura. Las actividades no se permiten en zona costera debido a su alta sensibilidad hidrológica y su vulnerabilidad frente a cambios en el uso del suelo.</w:t>
            </w:r>
          </w:p>
          <w:p w14:paraId="614BF7B9" w14:textId="77777777" w:rsidR="00072956" w:rsidRPr="000B180A" w:rsidRDefault="00072956" w:rsidP="007F5995">
            <w:pPr>
              <w:pStyle w:val="Prrafodelista"/>
              <w:shd w:val="clear" w:color="auto" w:fill="FFFFFF"/>
              <w:spacing w:before="100" w:beforeAutospacing="1" w:after="100" w:afterAutospacing="1"/>
              <w:ind w:left="500"/>
              <w:rPr>
                <w:rFonts w:ascii="Arial Narrow" w:eastAsia="Times New Roman" w:hAnsi="Arial Narrow"/>
                <w:sz w:val="24"/>
                <w:szCs w:val="24"/>
                <w:shd w:val="clear" w:color="auto" w:fill="FFFFFF"/>
                <w:lang w:eastAsia="es-ES"/>
              </w:rPr>
            </w:pPr>
          </w:p>
          <w:p w14:paraId="3A6B61E7" w14:textId="77777777" w:rsidR="00072956" w:rsidRPr="000B180A" w:rsidRDefault="00072956" w:rsidP="007F5995">
            <w:pPr>
              <w:pStyle w:val="Prrafodelista"/>
              <w:numPr>
                <w:ilvl w:val="0"/>
                <w:numId w:val="8"/>
              </w:numPr>
              <w:shd w:val="clear" w:color="auto" w:fill="FFFFFF"/>
              <w:spacing w:before="100" w:beforeAutospacing="1" w:after="100" w:afterAutospacing="1"/>
              <w:ind w:left="500" w:hanging="1"/>
              <w:rPr>
                <w:rFonts w:ascii="Arial Narrow" w:eastAsia="Times New Roman" w:hAnsi="Arial Narrow"/>
                <w:sz w:val="24"/>
                <w:szCs w:val="24"/>
                <w:shd w:val="clear" w:color="auto" w:fill="FFFFFF"/>
                <w:lang w:eastAsia="es-ES"/>
              </w:rPr>
            </w:pPr>
            <w:r w:rsidRPr="000B180A">
              <w:rPr>
                <w:rFonts w:ascii="Arial Narrow" w:eastAsia="Times New Roman" w:hAnsi="Arial Narrow"/>
                <w:sz w:val="24"/>
                <w:szCs w:val="24"/>
                <w:shd w:val="clear" w:color="auto" w:fill="FFFFFF"/>
                <w:lang w:eastAsia="es-ES"/>
              </w:rPr>
              <w:t>En relación con impactos acumulativos</w:t>
            </w:r>
          </w:p>
          <w:p w14:paraId="4497B1C3" w14:textId="77777777" w:rsidR="00072956" w:rsidRPr="000B180A" w:rsidRDefault="00072956" w:rsidP="007F5995">
            <w:pPr>
              <w:ind w:left="500" w:hanging="1"/>
              <w:jc w:val="both"/>
              <w:rPr>
                <w:rFonts w:ascii="Arial Narrow" w:hAnsi="Arial Narrow"/>
                <w:sz w:val="24"/>
                <w:szCs w:val="24"/>
              </w:rPr>
            </w:pPr>
            <w:r w:rsidRPr="000B180A">
              <w:rPr>
                <w:rFonts w:ascii="Arial Narrow" w:hAnsi="Arial Narrow"/>
                <w:sz w:val="24"/>
                <w:szCs w:val="24"/>
              </w:rPr>
              <w:t xml:space="preserve">El </w:t>
            </w:r>
            <w:r w:rsidRPr="000B180A">
              <w:rPr>
                <w:rFonts w:ascii="Arial Narrow" w:hAnsi="Arial Narrow" w:cs="Arial"/>
                <w:sz w:val="24"/>
                <w:szCs w:val="24"/>
                <w:shd w:val="clear" w:color="auto" w:fill="FFFFFF"/>
                <w:lang w:val="es-CO"/>
              </w:rPr>
              <w:t>proyecto</w:t>
            </w:r>
            <w:r w:rsidRPr="000B180A">
              <w:rPr>
                <w:rFonts w:ascii="Arial Narrow" w:hAnsi="Arial Narrow"/>
                <w:sz w:val="24"/>
                <w:szCs w:val="24"/>
              </w:rPr>
              <w:t xml:space="preserve"> deberá ubicarse a una distancia mínima equivalente a diez veces (10D) la altura total de la turbina —medida desde el suelo hasta la punta superior del aspa en su posición más alta— respecto a los límites de otros parques eólicos existentes, en operación, en construcción o con licencia ambiental vigente. Mantener una distancia considerable entre los aerogeneradores permite establecer áreas de descanso para la fauna voladora, así como corredores de paso “stepping stones”, teniendo en cuenta que si bien, las áreas protegidas pueden funcionar como áreas núcleo de hábitat fara la fauna -incluyendo aves y murciélagos-, su habilidad para conservar las especies es limitada al presentarse aislados, por lo cual es necesario mantener áreas que permitan la conectividad entre estas áreas protegidas (</w:t>
            </w:r>
            <w:r w:rsidRPr="000B180A">
              <w:rPr>
                <w:rFonts w:ascii="Arial Narrow" w:hAnsi="Arial Narrow"/>
                <w:sz w:val="24"/>
                <w:szCs w:val="24"/>
                <w:shd w:val="clear" w:color="auto" w:fill="FFFFFF"/>
              </w:rPr>
              <w:t>Linero-Triana et al. 2023)</w:t>
            </w:r>
            <w:r w:rsidRPr="000B180A">
              <w:rPr>
                <w:rFonts w:ascii="Arial Narrow" w:hAnsi="Arial Narrow"/>
                <w:sz w:val="24"/>
                <w:szCs w:val="24"/>
              </w:rPr>
              <w:t xml:space="preserve">. </w:t>
            </w:r>
          </w:p>
          <w:p w14:paraId="0A8B4D53" w14:textId="77777777" w:rsidR="00072956" w:rsidRPr="000B180A" w:rsidRDefault="00072956" w:rsidP="007F5995">
            <w:pPr>
              <w:ind w:left="500" w:hanging="1"/>
              <w:jc w:val="both"/>
            </w:pPr>
          </w:p>
          <w:p w14:paraId="1D222792" w14:textId="77777777" w:rsidR="00072956" w:rsidRPr="000B180A" w:rsidRDefault="00072956" w:rsidP="007F5995">
            <w:pPr>
              <w:ind w:left="500" w:hanging="1"/>
              <w:jc w:val="both"/>
              <w:rPr>
                <w:rFonts w:ascii="Arial Narrow" w:hAnsi="Arial Narrow"/>
                <w:sz w:val="24"/>
                <w:szCs w:val="24"/>
                <w:shd w:val="clear" w:color="auto" w:fill="FFFFFF"/>
              </w:rPr>
            </w:pPr>
            <w:r w:rsidRPr="000B180A">
              <w:rPr>
                <w:rFonts w:ascii="Arial Narrow" w:hAnsi="Arial Narrow"/>
                <w:sz w:val="24"/>
                <w:szCs w:val="24"/>
                <w:shd w:val="clear" w:color="auto" w:fill="FFFFFF"/>
              </w:rPr>
              <w:t>De acuerdo con Lenhert et al. (2014), es necesario incluir distancias mínimas a áreas de descanso de murciélagos como medidas de manejo relevantes en la planeación de parques eólicos, para lo cual en Alemania se presentan distancias de 1 km en relación con sitios de descanso. De igual forma, con respecto a las aves, el el Working Group of German State Bird Conservancies (Länderarbeitsgemeinschaft der Vogelschutzwarten LAG, VSW 2015), recomienda igualmente como distancias de descanso para aves rapaces y de tamaño mediano una distancia de 1 km o la relación de 10 veces la altura máxima de las turbinas. En este sentido, el establecer una distancia mínima que permita áreas de descanso en el movimiento de fauna voladora entre parques eólicos se hace necesario, y se adopta un valor de 10 veces la altura máxima de los aerogeneradores, lo cual iría en línea con lo planteado desde el espaciamiento óptimo desde el punto de vista técnico-operativo en función de la variable de viento, en donde se recomienda asimismo la misma relación de distancia entre parques eólicos (Meyers&amp; Meneveau 2012).</w:t>
            </w:r>
          </w:p>
          <w:p w14:paraId="4254CB47" w14:textId="77777777" w:rsidR="00072956" w:rsidRPr="000B180A" w:rsidRDefault="00072956" w:rsidP="007F5995">
            <w:pPr>
              <w:ind w:left="500" w:hanging="1"/>
              <w:jc w:val="both"/>
              <w:rPr>
                <w:rFonts w:ascii="Arial Narrow" w:hAnsi="Arial Narrow" w:cs="Arial"/>
                <w:sz w:val="24"/>
                <w:szCs w:val="24"/>
                <w:shd w:val="clear" w:color="auto" w:fill="FFFFFF"/>
                <w:lang w:val="es-CO"/>
              </w:rPr>
            </w:pPr>
          </w:p>
          <w:p w14:paraId="4A074852" w14:textId="77777777" w:rsidR="00072956" w:rsidRPr="000B180A" w:rsidRDefault="00072956" w:rsidP="007F5995">
            <w:pPr>
              <w:ind w:left="500" w:hanging="1"/>
              <w:jc w:val="both"/>
              <w:rPr>
                <w:rFonts w:ascii="Arial Narrow" w:hAnsi="Arial Narrow" w:cs="Arial"/>
                <w:sz w:val="24"/>
                <w:szCs w:val="24"/>
                <w:shd w:val="clear" w:color="auto" w:fill="FFFFFF"/>
                <w:lang w:val="es-CO"/>
              </w:rPr>
            </w:pPr>
          </w:p>
          <w:p w14:paraId="146E505A" w14:textId="77777777" w:rsidR="00072956" w:rsidRPr="000B180A" w:rsidRDefault="00072956" w:rsidP="007F5995">
            <w:pPr>
              <w:jc w:val="both"/>
              <w:rPr>
                <w:rFonts w:ascii="Arial Narrow" w:hAnsi="Arial Narrow" w:cs="Arial"/>
                <w:b/>
                <w:bCs/>
                <w:sz w:val="24"/>
                <w:szCs w:val="24"/>
                <w:shd w:val="clear" w:color="auto" w:fill="FFFFFF"/>
                <w:lang w:val="es-CO"/>
              </w:rPr>
            </w:pPr>
            <w:r w:rsidRPr="000B180A">
              <w:rPr>
                <w:rFonts w:ascii="Arial Narrow" w:hAnsi="Arial Narrow" w:cs="Arial"/>
                <w:b/>
                <w:bCs/>
                <w:sz w:val="24"/>
                <w:szCs w:val="24"/>
                <w:shd w:val="clear" w:color="auto" w:fill="FFFFFF"/>
                <w:lang w:val="es-CO"/>
              </w:rPr>
              <w:t xml:space="preserve">Criterios tecnológicos y de diseño  </w:t>
            </w:r>
          </w:p>
          <w:p w14:paraId="670D4903" w14:textId="77777777" w:rsidR="00072956" w:rsidRPr="000B180A" w:rsidRDefault="00072956" w:rsidP="007F5995">
            <w:pPr>
              <w:ind w:left="500" w:hanging="1"/>
              <w:jc w:val="both"/>
              <w:rPr>
                <w:rFonts w:ascii="Arial Narrow" w:hAnsi="Arial Narrow" w:cs="Arial"/>
                <w:sz w:val="24"/>
                <w:szCs w:val="24"/>
                <w:shd w:val="clear" w:color="auto" w:fill="FFFFFF"/>
                <w:lang w:val="es-CO"/>
              </w:rPr>
            </w:pPr>
          </w:p>
          <w:p w14:paraId="03B6DA66" w14:textId="51B4740A" w:rsidR="00072956" w:rsidRPr="000B180A" w:rsidRDefault="00072956" w:rsidP="007F5995">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Ahora bien, los proyectos interesados en optar por la Licencia Ambiental Eólica </w:t>
            </w:r>
            <w:r w:rsidR="006031F1">
              <w:rPr>
                <w:rFonts w:ascii="Arial Narrow" w:hAnsi="Arial Narrow" w:cs="Arial"/>
                <w:sz w:val="24"/>
                <w:szCs w:val="24"/>
                <w:shd w:val="clear" w:color="auto" w:fill="FFFFFF"/>
                <w:lang w:val="es-CO"/>
              </w:rPr>
              <w:t xml:space="preserve">con Diseño Optimizado </w:t>
            </w:r>
            <w:r w:rsidRPr="000B180A">
              <w:rPr>
                <w:rFonts w:ascii="Arial Narrow" w:hAnsi="Arial Narrow" w:cs="Arial"/>
                <w:sz w:val="24"/>
                <w:szCs w:val="24"/>
                <w:shd w:val="clear" w:color="auto" w:fill="FFFFFF"/>
                <w:lang w:val="es-CO"/>
              </w:rPr>
              <w:t>(LAEólica) deberán incorporar los siguientes criterios tecnológicos y de diseño, con el objetivo de garantizar un bajo impacto ambiental asociado a los impactos identificados:</w:t>
            </w:r>
          </w:p>
          <w:p w14:paraId="18E53A86" w14:textId="77777777" w:rsidR="00072956" w:rsidRPr="000B180A" w:rsidRDefault="00072956" w:rsidP="007F5995">
            <w:pPr>
              <w:jc w:val="both"/>
              <w:rPr>
                <w:rFonts w:ascii="Arial Narrow" w:hAnsi="Arial Narrow" w:cs="Arial"/>
                <w:sz w:val="24"/>
                <w:szCs w:val="24"/>
                <w:shd w:val="clear" w:color="auto" w:fill="FFFFFF"/>
                <w:lang w:val="es-CO"/>
              </w:rPr>
            </w:pPr>
          </w:p>
          <w:p w14:paraId="2D02D463" w14:textId="0C3733B2" w:rsidR="00072956" w:rsidRPr="00233CB3" w:rsidRDefault="00072956" w:rsidP="00233CB3">
            <w:pPr>
              <w:rPr>
                <w:rFonts w:ascii="Arial Narrow" w:hAnsi="Arial Narrow"/>
                <w:b/>
                <w:bCs/>
                <w:sz w:val="24"/>
                <w:szCs w:val="24"/>
                <w:u w:val="single"/>
                <w:shd w:val="clear" w:color="auto" w:fill="FFFFFF"/>
              </w:rPr>
            </w:pPr>
            <w:r w:rsidRPr="00233CB3">
              <w:rPr>
                <w:rFonts w:ascii="Arial Narrow" w:hAnsi="Arial Narrow"/>
                <w:b/>
                <w:bCs/>
                <w:sz w:val="24"/>
                <w:szCs w:val="24"/>
                <w:u w:val="single"/>
                <w:shd w:val="clear" w:color="auto" w:fill="FFFFFF"/>
              </w:rPr>
              <w:t>Sistemas automatizados de detección y respuesta, como radar, visión computarizada o cámaras térmicas, integrados a mecanismos de parada inteligente de turbinas en presencia de fauna voladora.</w:t>
            </w:r>
          </w:p>
          <w:p w14:paraId="609AAC29"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28CB84B3"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expansión de la energía eólica como fuente renovable ha generado beneficios significativos en la reducción de emisiones de gases de efecto invernadero. Sin embargo, diversos estudios han documentado impactos ambientales asociados, particularmente en la mortalidad de aves y murciélagos por colisiones con aerogeneradores. Esta afectación ha sido reconocida por organismos internacionales y es motivo de creciente atención en la evaluación ambiental de proyectos eólicos. En este contexto, uno de los mecanismos más eficaces para mitigar estos impactos es la implementación de sistemas automatizados de detección y respuesta, que permiten monitorear en tiempo real la presencia de fauna voladora en zonas de riesgo y activar medidas de parada inteligente de las turbinas cuando se detecta peligro de colisión. Esta medida se basa en evidencia empírica sólida y responde a los principios de prevención y precaución ambiental establecidos en la legislación nacional e internacional.</w:t>
            </w:r>
          </w:p>
          <w:p w14:paraId="22AE9EC5"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200DB9F2"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Las colisiones con aerogeneradores representan una causa significativa de mortalidad para aves, en especial aquellas que vuelan a media o gran altura, y para murciélagos, cuya ecolocalización es menos efectiva frente a grandes estructuras en movimiento como las aspas de las turbinas. Investigaciones como las de Arnett et al. (2011) y Smallwood (2013) estiman que, tan solo en Estados Unidos, las turbinas eólicas causan cientos de miles de muertes de aves y más de 800.000 muertes de murciélagos cada año. Estas cifras aumentan en zonas cercanas a corredores migratorios o hábitats críticos, donde la concentración de especies y su exposición al riesgo es mayor.</w:t>
            </w:r>
          </w:p>
          <w:p w14:paraId="49A32C3D"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13E50A43"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innovación tecnológica ha permitido el desarrollo de sistemas automatizados que integran diferentes tipos de sensores, incluyendo radares especializados en detección de aves, cámaras térmicas de alta resolución, visión por computadora basada en algoritmos de inteligencia artificial y detectores de ultrasonido para murciélagos. Estos sistemas permiten la identificación oportuna de fauna en riesgo y están conectados a software de gestión que activa de manera automática la parada o ralentización de las turbinas cuando se detecta presencia en áreas críticas de colisión. Esta tecnología tiene la ventaja de ser altamente específica en su activación, lo que permite un equilibrio entre la operación energética y la conservación logrando que los proyectos tengan un bajo impacto ambiental.</w:t>
            </w:r>
          </w:p>
          <w:p w14:paraId="54C7679B"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00DE9927"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evidencia empírica que respalda la efectividad de estas medidas es sólida. Por ejemplo, May et al. (2015) reportaron que el uso de turbinas equipadas con radar y mecanismos de parada automática puede reducir las colisiones de aves hasta en un 82 %. Adicionalmente, en un experimento realizado en Noruega, May et al. (2020) evidenciaron que pintar de negro una de las aspas de la turbina para mejorar la visibilidad redujo la mortalidad de aves rapaces en un 70 %, lo que confirma la utilidad de estrategias tecnológicas activas o pasivas de mitigación.</w:t>
            </w:r>
          </w:p>
          <w:p w14:paraId="76A61999"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5D30F7C5"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Una revisión más reciente de tecnologías emergentes realizada por Bennett et al. (2022) concluye que los sistemas de detección en tiempo real combinados con mecanismos de curtailment (parada temporal de turbinas) adaptativo son actualmente las medidas más costo-efectivas disponibles. Estas soluciones permiten reducciones de mortalidad cercanas al 80 %, mientras que las pérdidas de generación energética se mantienen por debajo del 1 % anual. Es decir, son medidas que, además de ser efectivas desde el punto de vista ambiental, no comprometen significativamente la rentabilidad del proyecto energético.</w:t>
            </w:r>
          </w:p>
          <w:p w14:paraId="3A9E293E"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60A0FFD8"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Desde una perspectiva normativa, la implementación de estas tecnologías se alinea con el principio de precaución ambiental consagrado en el artículo 1 de la Ley 99 de 1993, así como con el principio de sostenibilidad contemplado en la Ley 1715 de 2014 sobre energías renovables. También responde a los compromisos internacionales asumidos por Colombia, como los establecidos en la Convención sobre la Conservación de Especies Migratorias de Animales Silvestres (CMS) y la Directiva de Aves de la Unión Europea (2009/147/CE), que promueven el uso de tecnologías de mitigación en infraestructuras energéticas para proteger la biodiversidad.</w:t>
            </w:r>
          </w:p>
          <w:p w14:paraId="1B83F6E2"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30A307C8"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Internacionalmente, países como Noruega, Alemania, España, Reino Unido y Estados Unidos ya han incorporado estos requerimientos en sus normativas o guías técnicas para el licenciamiento ambiental de proyectos eólicos. Por ejemplo, el U.S. Fish and Wildlife Service promueve activamente el uso de tecnologías automatizadas de detección y respuesta como parte de las mejores prácticas en el diseño y operación de parques eólicos. En el caso colombiano, su aplicación resulta especialmente pertinente en zonas de alta riqueza avifaunística o influencia de rutas migratorias, como la región Caribe o el corredor nororiental, donde se han identificado especies vulnerables al impacto eólico según datos del Instituto Humboldt y el Sistema de Información sobre Biodiversidad de Colombia (SIB Colombia).</w:t>
            </w:r>
          </w:p>
          <w:p w14:paraId="796E48A9"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16E686C4"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conclusión, la exigencia de incorporar sistemas automatizados de detección y parada inteligente en los proyectos de generación eólica no solo es técnica y operacionalmente viable, sino también necesaria para asegurar una transición energética justa, responsable y sostenible. La medida está respaldada por amplia evidencia científica, presenta beneficios ambientales tangibles, implica un bajo costo relativo de implementación, y se alinea con las obligaciones normativas de protección de la biodiversidad. Por tanto, su adopción dentro del marco del licenciamiento ambiental se configura como una herramienta clave para la compatibilidad entre el desarrollo de energías renovables y la conservación de la fauna silvestre.</w:t>
            </w:r>
          </w:p>
          <w:p w14:paraId="24CCBAFC"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5AE2C2D9" w14:textId="77777777" w:rsidR="006031F1" w:rsidRPr="00233CB3" w:rsidRDefault="00072956" w:rsidP="00233CB3">
            <w:pPr>
              <w:jc w:val="both"/>
              <w:rPr>
                <w:rFonts w:ascii="Arial Narrow" w:hAnsi="Arial Narrow"/>
                <w:sz w:val="24"/>
                <w:szCs w:val="24"/>
                <w:u w:val="single"/>
                <w:shd w:val="clear" w:color="auto" w:fill="FFFFFF"/>
              </w:rPr>
            </w:pPr>
            <w:r w:rsidRPr="00233CB3">
              <w:rPr>
                <w:rFonts w:ascii="Arial Narrow" w:hAnsi="Arial Narrow"/>
                <w:b/>
                <w:bCs/>
                <w:sz w:val="24"/>
                <w:szCs w:val="24"/>
                <w:u w:val="single"/>
                <w:shd w:val="clear" w:color="auto" w:fill="FFFFFF"/>
              </w:rPr>
              <w:t>Tecnologías de modulación de la velocidad de corte nocturna (cut-in speed) para prevenir el barotrauma en murciélagos, aplicables en aquellos casos en donde exista presencia registrada, evidencia técnica o estudios que indiquen actividad significativa de este tipo de fauna en el área de implementación del proyecto</w:t>
            </w:r>
            <w:r w:rsidRPr="00233CB3">
              <w:rPr>
                <w:rFonts w:ascii="Arial Narrow" w:hAnsi="Arial Narrow"/>
                <w:sz w:val="24"/>
                <w:szCs w:val="24"/>
                <w:u w:val="single"/>
                <w:shd w:val="clear" w:color="auto" w:fill="FFFFFF"/>
              </w:rPr>
              <w:t xml:space="preserve">. </w:t>
            </w:r>
          </w:p>
          <w:p w14:paraId="75DA2E70" w14:textId="77777777" w:rsidR="006031F1" w:rsidRDefault="006031F1" w:rsidP="006031F1">
            <w:pPr>
              <w:rPr>
                <w:rFonts w:ascii="Arial Narrow" w:hAnsi="Arial Narrow"/>
                <w:sz w:val="24"/>
                <w:szCs w:val="24"/>
                <w:shd w:val="clear" w:color="auto" w:fill="FFFFFF"/>
              </w:rPr>
            </w:pPr>
          </w:p>
          <w:p w14:paraId="5D2E2EB6" w14:textId="1AEFA002" w:rsidR="00072956" w:rsidRPr="00233CB3" w:rsidRDefault="00072956" w:rsidP="00233CB3">
            <w:pPr>
              <w:rPr>
                <w:rFonts w:ascii="Arial Narrow" w:hAnsi="Arial Narrow"/>
                <w:sz w:val="24"/>
                <w:szCs w:val="24"/>
                <w:shd w:val="clear" w:color="auto" w:fill="FFFFFF"/>
              </w:rPr>
            </w:pPr>
            <w:r w:rsidRPr="00233CB3">
              <w:rPr>
                <w:rFonts w:ascii="Arial Narrow" w:hAnsi="Arial Narrow"/>
                <w:sz w:val="24"/>
                <w:szCs w:val="24"/>
                <w:shd w:val="clear" w:color="auto" w:fill="FFFFFF"/>
              </w:rPr>
              <w:t>Esta medida debe estar orientada a reducir la mortalidad de murciélagos durante las horas de mayor actividad (usualmente nocturnas y en condiciones de baja velocidad de viento), ajustando la operación de las turbinas para que no entren en funcionamiento bajo ciertos umbrales previamente definidos.</w:t>
            </w:r>
          </w:p>
          <w:p w14:paraId="4FC2DBCD" w14:textId="77777777" w:rsidR="00072956" w:rsidRPr="000B180A" w:rsidRDefault="00072956" w:rsidP="00233CB3">
            <w:pPr>
              <w:pStyle w:val="Prrafodelista"/>
              <w:ind w:left="1428"/>
              <w:rPr>
                <w:rFonts w:ascii="Arial Narrow" w:eastAsia="Times New Roman" w:hAnsi="Arial Narrow"/>
                <w:sz w:val="24"/>
                <w:szCs w:val="24"/>
                <w:shd w:val="clear" w:color="auto" w:fill="FFFFFF"/>
                <w:lang w:eastAsia="es-ES"/>
              </w:rPr>
            </w:pPr>
          </w:p>
          <w:p w14:paraId="5203AEB5" w14:textId="407F6E57" w:rsidR="00072956" w:rsidRPr="00ED6069" w:rsidRDefault="00072956" w:rsidP="00ED6069">
            <w:pPr>
              <w:jc w:val="both"/>
              <w:rPr>
                <w:rFonts w:ascii="Arial Narrow" w:hAnsi="Arial Narrow" w:cs="Arial"/>
                <w:sz w:val="24"/>
                <w:szCs w:val="24"/>
                <w:shd w:val="clear" w:color="auto" w:fill="FFFFFF"/>
              </w:rPr>
            </w:pPr>
            <w:r w:rsidRPr="000B180A">
              <w:rPr>
                <w:rFonts w:ascii="Arial Narrow" w:hAnsi="Arial Narrow" w:cs="Arial"/>
                <w:sz w:val="24"/>
                <w:szCs w:val="24"/>
                <w:shd w:val="clear" w:color="auto" w:fill="FFFFFF"/>
                <w:lang w:val="es-CO"/>
              </w:rPr>
              <w:t xml:space="preserve">El desarrollo de proyectos de energía eólica, si bien representa un avance clave en la transición energética, no está exento de impactos sobre la biodiversidad. Uno de los efectos negativos más relevantes es la </w:t>
            </w:r>
            <w:r w:rsidRPr="000B180A">
              <w:rPr>
                <w:rFonts w:ascii="Arial Narrow" w:hAnsi="Arial Narrow" w:cs="Arial"/>
                <w:b/>
                <w:bCs/>
                <w:sz w:val="24"/>
                <w:szCs w:val="24"/>
                <w:shd w:val="clear" w:color="auto" w:fill="FFFFFF"/>
                <w:lang w:val="es-CO"/>
              </w:rPr>
              <w:t>mortalidad de murciélagos</w:t>
            </w:r>
            <w:r w:rsidRPr="000B180A">
              <w:rPr>
                <w:rFonts w:ascii="Arial Narrow" w:hAnsi="Arial Narrow" w:cs="Arial"/>
                <w:sz w:val="24"/>
                <w:szCs w:val="24"/>
                <w:shd w:val="clear" w:color="auto" w:fill="FFFFFF"/>
                <w:lang w:val="es-CO"/>
              </w:rPr>
              <w:t xml:space="preserve"> por interacción con aerogeneradores, la cual puede deberse tanto a colisiones directas como a un fenómeno menos visible pero igualmente letal: el </w:t>
            </w:r>
            <w:r w:rsidRPr="000B180A">
              <w:rPr>
                <w:rFonts w:ascii="Arial Narrow" w:hAnsi="Arial Narrow" w:cs="Arial"/>
                <w:b/>
                <w:bCs/>
                <w:sz w:val="24"/>
                <w:szCs w:val="24"/>
                <w:shd w:val="clear" w:color="auto" w:fill="FFFFFF"/>
                <w:lang w:val="es-CO"/>
              </w:rPr>
              <w:t>barotrauma</w:t>
            </w:r>
            <w:r w:rsidRPr="000B180A">
              <w:rPr>
                <w:rFonts w:ascii="Arial Narrow" w:hAnsi="Arial Narrow" w:cs="Arial"/>
                <w:sz w:val="24"/>
                <w:szCs w:val="24"/>
                <w:shd w:val="clear" w:color="auto" w:fill="FFFFFF"/>
                <w:lang w:val="es-CO"/>
              </w:rPr>
              <w:t xml:space="preserve">. Esta condición se produce cuando los murciélagos vuelan cerca de las palas de las turbinas en movimiento y experimentan un </w:t>
            </w:r>
            <w:r w:rsidRPr="000B180A">
              <w:rPr>
                <w:rFonts w:ascii="Arial Narrow" w:hAnsi="Arial Narrow" w:cs="Arial"/>
                <w:b/>
                <w:bCs/>
                <w:sz w:val="24"/>
                <w:szCs w:val="24"/>
                <w:shd w:val="clear" w:color="auto" w:fill="FFFFFF"/>
                <w:lang w:val="es-CO"/>
              </w:rPr>
              <w:t>cambio brusco en la presión atmosférica</w:t>
            </w:r>
            <w:r w:rsidRPr="000B180A">
              <w:rPr>
                <w:rFonts w:ascii="Arial Narrow" w:hAnsi="Arial Narrow" w:cs="Arial"/>
                <w:sz w:val="24"/>
                <w:szCs w:val="24"/>
                <w:shd w:val="clear" w:color="auto" w:fill="FFFFFF"/>
                <w:lang w:val="es-CO"/>
              </w:rPr>
              <w:t>, lo que puede generar daños internos en órganos vitales, particularmente en los pulmones, sin que haya contacto físico con la estructura del aerogenerador.</w:t>
            </w:r>
            <w:r w:rsidR="0048555B">
              <w:rPr>
                <w:rFonts w:ascii="Arial Narrow" w:hAnsi="Arial Narrow" w:cs="Arial"/>
                <w:sz w:val="24"/>
                <w:szCs w:val="24"/>
                <w:shd w:val="clear" w:color="auto" w:fill="FFFFFF"/>
                <w:lang w:val="es-CO"/>
              </w:rPr>
              <w:t xml:space="preserve"> </w:t>
            </w:r>
            <w:r w:rsidRPr="000B180A">
              <w:rPr>
                <w:rFonts w:ascii="Arial Narrow" w:hAnsi="Arial Narrow" w:cs="Arial"/>
                <w:sz w:val="24"/>
                <w:szCs w:val="24"/>
                <w:shd w:val="clear" w:color="auto" w:fill="FFFFFF"/>
                <w:lang w:val="es-CO"/>
              </w:rPr>
              <w:t xml:space="preserve">Diversos estudios han documentado el barotrauma como una de las principales causas de muerte en murciélagos asociados a parques eólicos. Baerwald et al. (2008), en un estudio pionero realizado en Canadá, encontraron que </w:t>
            </w:r>
            <w:r w:rsidRPr="000B180A">
              <w:rPr>
                <w:rFonts w:ascii="Arial Narrow" w:hAnsi="Arial Narrow" w:cs="Arial"/>
                <w:b/>
                <w:bCs/>
                <w:sz w:val="24"/>
                <w:szCs w:val="24"/>
                <w:shd w:val="clear" w:color="auto" w:fill="FFFFFF"/>
                <w:lang w:val="es-CO"/>
              </w:rPr>
              <w:t>el 90% de los murciélagos muertos en sitios eólicos presentaban signos de barotrauma y no de colisión directa</w:t>
            </w:r>
            <w:r w:rsidRPr="000B180A">
              <w:rPr>
                <w:rFonts w:ascii="Arial Narrow" w:hAnsi="Arial Narrow" w:cs="Arial"/>
                <w:sz w:val="24"/>
                <w:szCs w:val="24"/>
                <w:shd w:val="clear" w:color="auto" w:fill="FFFFFF"/>
                <w:lang w:val="es-CO"/>
              </w:rPr>
              <w:t xml:space="preserve">. Este hallazgo transformó el enfoque de mitigación en proyectos eólicos, orientándolo hacia </w:t>
            </w:r>
            <w:r w:rsidRPr="000B180A">
              <w:rPr>
                <w:rFonts w:ascii="Arial Narrow" w:hAnsi="Arial Narrow" w:cs="Arial"/>
                <w:b/>
                <w:bCs/>
                <w:sz w:val="24"/>
                <w:szCs w:val="24"/>
                <w:shd w:val="clear" w:color="auto" w:fill="FFFFFF"/>
                <w:lang w:val="es-CO"/>
              </w:rPr>
              <w:t>la modificación del régimen operativo de las turbinas</w:t>
            </w:r>
            <w:r w:rsidRPr="000B180A">
              <w:rPr>
                <w:rFonts w:ascii="Arial Narrow" w:hAnsi="Arial Narrow" w:cs="Arial"/>
                <w:sz w:val="24"/>
                <w:szCs w:val="24"/>
                <w:shd w:val="clear" w:color="auto" w:fill="FFFFFF"/>
                <w:lang w:val="es-CO"/>
              </w:rPr>
              <w:t xml:space="preserve"> como mecanismo preventivo</w:t>
            </w:r>
            <w:r w:rsidR="0048555B">
              <w:rPr>
                <w:rFonts w:ascii="Arial Narrow" w:hAnsi="Arial Narrow" w:cs="Arial"/>
                <w:sz w:val="24"/>
                <w:szCs w:val="24"/>
                <w:shd w:val="clear" w:color="auto" w:fill="FFFFFF"/>
                <w:lang w:val="es-CO"/>
              </w:rPr>
              <w:t>, lo cual, se busca integrar en el presente decreto.</w:t>
            </w:r>
          </w:p>
          <w:p w14:paraId="6D78C91B" w14:textId="77777777" w:rsidR="0048555B" w:rsidRPr="000B180A" w:rsidRDefault="0048555B" w:rsidP="00ED6069">
            <w:pPr>
              <w:ind w:left="708"/>
              <w:jc w:val="both"/>
              <w:rPr>
                <w:rFonts w:ascii="Arial Narrow" w:hAnsi="Arial Narrow" w:cs="Arial"/>
                <w:sz w:val="24"/>
                <w:szCs w:val="24"/>
                <w:shd w:val="clear" w:color="auto" w:fill="FFFFFF"/>
                <w:lang w:val="es-CO"/>
              </w:rPr>
            </w:pPr>
          </w:p>
          <w:p w14:paraId="72524133" w14:textId="77777777" w:rsidR="00072956" w:rsidRPr="000B180A" w:rsidRDefault="00072956" w:rsidP="00ED6069">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Uno de los métodos más eficaces y ampliamente documentados para mitigar este tipo de impacto es la </w:t>
            </w:r>
            <w:r w:rsidRPr="000B180A">
              <w:rPr>
                <w:rFonts w:ascii="Arial Narrow" w:hAnsi="Arial Narrow" w:cs="Arial"/>
                <w:b/>
                <w:bCs/>
                <w:sz w:val="24"/>
                <w:szCs w:val="24"/>
                <w:shd w:val="clear" w:color="auto" w:fill="FFFFFF"/>
                <w:lang w:val="es-CO"/>
              </w:rPr>
              <w:t>modulación del umbral de velocidad de corte nocturna</w:t>
            </w:r>
            <w:r w:rsidRPr="000B180A">
              <w:rPr>
                <w:rFonts w:ascii="Arial Narrow" w:hAnsi="Arial Narrow" w:cs="Arial"/>
                <w:sz w:val="24"/>
                <w:szCs w:val="24"/>
                <w:shd w:val="clear" w:color="auto" w:fill="FFFFFF"/>
                <w:lang w:val="es-CO"/>
              </w:rPr>
              <w:t xml:space="preserve"> (cut-in speed). Este consiste en aumentar temporalmente la velocidad mínima del viento a la cual las turbinas comienzan a generar energía, especialmente durante las horas de mayor actividad de los murciélagos (usualmente nocturnas y en condiciones de viento bajo). Los murciélagos tienden a estar más activos en noches cálidas, sin lluvia y con vientos suaves (por debajo de 6 m/s), que son también las condiciones en las que el barotrauma ocurre con mayor frecuencia. En estos casos, al elevar el umbral de arranque de las turbinas, se evita su funcionamiento cuando los murciélagos están presentes, </w:t>
            </w:r>
            <w:r w:rsidRPr="000B180A">
              <w:rPr>
                <w:rFonts w:ascii="Arial Narrow" w:hAnsi="Arial Narrow" w:cs="Arial"/>
                <w:b/>
                <w:bCs/>
                <w:sz w:val="24"/>
                <w:szCs w:val="24"/>
                <w:shd w:val="clear" w:color="auto" w:fill="FFFFFF"/>
                <w:lang w:val="es-CO"/>
              </w:rPr>
              <w:t>reduciendo significativamente la mortalidad</w:t>
            </w:r>
            <w:r w:rsidRPr="000B180A">
              <w:rPr>
                <w:rFonts w:ascii="Arial Narrow" w:hAnsi="Arial Narrow" w:cs="Arial"/>
                <w:sz w:val="24"/>
                <w:szCs w:val="24"/>
                <w:shd w:val="clear" w:color="auto" w:fill="FFFFFF"/>
                <w:lang w:val="es-CO"/>
              </w:rPr>
              <w:t>.</w:t>
            </w:r>
          </w:p>
          <w:p w14:paraId="2391498D" w14:textId="77777777" w:rsidR="000851C0" w:rsidRDefault="000851C0" w:rsidP="00ED6069">
            <w:pPr>
              <w:ind w:left="1428"/>
              <w:jc w:val="both"/>
              <w:rPr>
                <w:rFonts w:ascii="Arial Narrow" w:hAnsi="Arial Narrow" w:cs="Arial"/>
                <w:sz w:val="24"/>
                <w:szCs w:val="24"/>
                <w:shd w:val="clear" w:color="auto" w:fill="FFFFFF"/>
                <w:lang w:val="es-CO"/>
              </w:rPr>
            </w:pPr>
          </w:p>
          <w:p w14:paraId="589C38F6" w14:textId="4E0B538E" w:rsidR="00072956" w:rsidRPr="000B180A" w:rsidRDefault="00072956" w:rsidP="00ED6069">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La eficacia de esta medida ha sido ampliamente evaluada. Arnett et al. (2011), en un estudio desarrollado en Estados Unidos, demostraron que incrementar la cut-in speed de 3.5 m/s a 5.0 o 6.5 m/s redujo la mortalidad de murciélagos entre un </w:t>
            </w:r>
            <w:r w:rsidRPr="000B180A">
              <w:rPr>
                <w:rFonts w:ascii="Arial Narrow" w:hAnsi="Arial Narrow" w:cs="Arial"/>
                <w:b/>
                <w:bCs/>
                <w:sz w:val="24"/>
                <w:szCs w:val="24"/>
                <w:shd w:val="clear" w:color="auto" w:fill="FFFFFF"/>
                <w:lang w:val="es-CO"/>
              </w:rPr>
              <w:t>44% y un 93%</w:t>
            </w:r>
            <w:r w:rsidRPr="000B180A">
              <w:rPr>
                <w:rFonts w:ascii="Arial Narrow" w:hAnsi="Arial Narrow" w:cs="Arial"/>
                <w:sz w:val="24"/>
                <w:szCs w:val="24"/>
                <w:shd w:val="clear" w:color="auto" w:fill="FFFFFF"/>
                <w:lang w:val="es-CO"/>
              </w:rPr>
              <w:t xml:space="preserve">, dependiendo del sitio y de la configuración del ajuste. Estudios similares han confirmado resultados consistentes en otras regiones, como Alemania (Behr et al., 2017) y Escocia, donde se han establecido lineamientos específicos para regular este tipo de mitigación operativa como parte del licenciamiento ambiental. La medida ha sido reconocida por el </w:t>
            </w:r>
            <w:r w:rsidRPr="000B180A">
              <w:rPr>
                <w:rFonts w:ascii="Arial Narrow" w:hAnsi="Arial Narrow" w:cs="Arial"/>
                <w:b/>
                <w:bCs/>
                <w:sz w:val="24"/>
                <w:szCs w:val="24"/>
                <w:shd w:val="clear" w:color="auto" w:fill="FFFFFF"/>
                <w:lang w:val="es-CO"/>
              </w:rPr>
              <w:t>U.S. Fish and Wildlife Service</w:t>
            </w:r>
            <w:r w:rsidRPr="000B180A">
              <w:rPr>
                <w:rFonts w:ascii="Arial Narrow" w:hAnsi="Arial Narrow" w:cs="Arial"/>
                <w:sz w:val="24"/>
                <w:szCs w:val="24"/>
                <w:shd w:val="clear" w:color="auto" w:fill="FFFFFF"/>
                <w:lang w:val="es-CO"/>
              </w:rPr>
              <w:t xml:space="preserve"> y la </w:t>
            </w:r>
            <w:r w:rsidRPr="000B180A">
              <w:rPr>
                <w:rFonts w:ascii="Arial Narrow" w:hAnsi="Arial Narrow" w:cs="Arial"/>
                <w:b/>
                <w:bCs/>
                <w:sz w:val="24"/>
                <w:szCs w:val="24"/>
                <w:shd w:val="clear" w:color="auto" w:fill="FFFFFF"/>
                <w:lang w:val="es-CO"/>
              </w:rPr>
              <w:t>Bat Conservation Trust</w:t>
            </w:r>
            <w:r w:rsidRPr="000B180A">
              <w:rPr>
                <w:rFonts w:ascii="Arial Narrow" w:hAnsi="Arial Narrow" w:cs="Arial"/>
                <w:sz w:val="24"/>
                <w:szCs w:val="24"/>
                <w:shd w:val="clear" w:color="auto" w:fill="FFFFFF"/>
                <w:lang w:val="es-CO"/>
              </w:rPr>
              <w:t xml:space="preserve"> del Reino Unido como una de las </w:t>
            </w:r>
            <w:r w:rsidRPr="000B180A">
              <w:rPr>
                <w:rFonts w:ascii="Arial Narrow" w:hAnsi="Arial Narrow" w:cs="Arial"/>
                <w:b/>
                <w:bCs/>
                <w:sz w:val="24"/>
                <w:szCs w:val="24"/>
                <w:shd w:val="clear" w:color="auto" w:fill="FFFFFF"/>
                <w:lang w:val="es-CO"/>
              </w:rPr>
              <w:t>mejores prácticas internacionales</w:t>
            </w:r>
            <w:r w:rsidRPr="000B180A">
              <w:rPr>
                <w:rFonts w:ascii="Arial Narrow" w:hAnsi="Arial Narrow" w:cs="Arial"/>
                <w:sz w:val="24"/>
                <w:szCs w:val="24"/>
                <w:shd w:val="clear" w:color="auto" w:fill="FFFFFF"/>
                <w:lang w:val="es-CO"/>
              </w:rPr>
              <w:t xml:space="preserve"> para parques eólicos ubicados en zonas con presencia significativa de murciélagos.</w:t>
            </w:r>
          </w:p>
          <w:p w14:paraId="0ABE52AF" w14:textId="77777777" w:rsidR="000851C0" w:rsidRDefault="000851C0" w:rsidP="00ED6069">
            <w:pPr>
              <w:ind w:left="1428"/>
              <w:jc w:val="both"/>
              <w:rPr>
                <w:rFonts w:ascii="Arial Narrow" w:hAnsi="Arial Narrow" w:cs="Arial"/>
                <w:sz w:val="24"/>
                <w:szCs w:val="24"/>
                <w:shd w:val="clear" w:color="auto" w:fill="FFFFFF"/>
                <w:lang w:val="es-CO"/>
              </w:rPr>
            </w:pPr>
          </w:p>
          <w:p w14:paraId="7C4223E2" w14:textId="52972048" w:rsidR="00072956" w:rsidRPr="000B180A" w:rsidRDefault="00072956" w:rsidP="00ED6069">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Además de su efectividad ambiental, la modulación del cut-in speed ha demostrado ser una </w:t>
            </w:r>
            <w:r w:rsidRPr="000B180A">
              <w:rPr>
                <w:rFonts w:ascii="Arial Narrow" w:hAnsi="Arial Narrow" w:cs="Arial"/>
                <w:b/>
                <w:bCs/>
                <w:sz w:val="24"/>
                <w:szCs w:val="24"/>
                <w:shd w:val="clear" w:color="auto" w:fill="FFFFFF"/>
                <w:lang w:val="es-CO"/>
              </w:rPr>
              <w:t>medida costo-efectiva</w:t>
            </w:r>
            <w:r w:rsidRPr="000B180A">
              <w:rPr>
                <w:rFonts w:ascii="Arial Narrow" w:hAnsi="Arial Narrow" w:cs="Arial"/>
                <w:sz w:val="24"/>
                <w:szCs w:val="24"/>
                <w:shd w:val="clear" w:color="auto" w:fill="FFFFFF"/>
                <w:lang w:val="es-CO"/>
              </w:rPr>
              <w:t>. Según estudios económicos realizados por la American Wind Wildlife Institute (AWWI), las pérdidas energéticas asociadas a la parada selectiva de turbinas durante periodos críticos de actividad de murciélagos representan menos del 1% de la producción anual de energía, una cifra marginal si se compara con los beneficios en términos de conservación, aceptación social del proyecto y reducción del riesgo reputacional y legal.</w:t>
            </w:r>
          </w:p>
          <w:p w14:paraId="1067923C" w14:textId="77777777" w:rsidR="00072956" w:rsidRPr="000B180A" w:rsidRDefault="00072956" w:rsidP="00ED6069">
            <w:pPr>
              <w:ind w:left="1428"/>
              <w:jc w:val="both"/>
              <w:rPr>
                <w:rFonts w:ascii="Arial Narrow" w:hAnsi="Arial Narrow" w:cs="Arial"/>
                <w:sz w:val="24"/>
                <w:szCs w:val="24"/>
                <w:shd w:val="clear" w:color="auto" w:fill="FFFFFF"/>
                <w:lang w:val="es-CO"/>
              </w:rPr>
            </w:pPr>
          </w:p>
          <w:p w14:paraId="7061C875" w14:textId="77777777" w:rsidR="00072956" w:rsidRPr="000B180A" w:rsidRDefault="00072956" w:rsidP="00ED6069">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Desde una perspectiva normativa, la implementación de esta medida se alinea con los principios de </w:t>
            </w:r>
            <w:r w:rsidRPr="000B180A">
              <w:rPr>
                <w:rFonts w:ascii="Arial Narrow" w:hAnsi="Arial Narrow" w:cs="Arial"/>
                <w:b/>
                <w:bCs/>
                <w:sz w:val="24"/>
                <w:szCs w:val="24"/>
                <w:shd w:val="clear" w:color="auto" w:fill="FFFFFF"/>
                <w:lang w:val="es-CO"/>
              </w:rPr>
              <w:t>precaución y prevención ambiental</w:t>
            </w:r>
            <w:r w:rsidRPr="000B180A">
              <w:rPr>
                <w:rFonts w:ascii="Arial Narrow" w:hAnsi="Arial Narrow" w:cs="Arial"/>
                <w:sz w:val="24"/>
                <w:szCs w:val="24"/>
                <w:shd w:val="clear" w:color="auto" w:fill="FFFFFF"/>
                <w:lang w:val="es-CO"/>
              </w:rPr>
              <w:t xml:space="preserve"> establecidos en la legislación colombiana (Ley 99 de 1993), así como con los compromisos internacionales adquiridos por el país en materia de protección de especies silvestres. En contextos donde se registre la presencia, evidencia técnica o actividad significativa de murciélagos, documentada a través de estudios de campo, modelación de hábitats o análisis acústico, la exigencia de este tipo de modulación operacional resulta no solo técnica y ecológicamente justificada, sino jurídicamente procedente</w:t>
            </w:r>
          </w:p>
          <w:p w14:paraId="72542756" w14:textId="77777777" w:rsidR="00072956" w:rsidRPr="000B180A" w:rsidRDefault="00072956" w:rsidP="00ED6069">
            <w:pPr>
              <w:ind w:left="1428"/>
              <w:jc w:val="both"/>
              <w:rPr>
                <w:rFonts w:ascii="Arial Narrow" w:hAnsi="Arial Narrow" w:cs="Arial"/>
                <w:sz w:val="24"/>
                <w:szCs w:val="24"/>
                <w:shd w:val="clear" w:color="auto" w:fill="FFFFFF"/>
                <w:lang w:val="es-CO"/>
              </w:rPr>
            </w:pPr>
          </w:p>
          <w:p w14:paraId="217611BE" w14:textId="77777777" w:rsidR="00072956" w:rsidRPr="000B180A" w:rsidRDefault="00072956" w:rsidP="00ED6069">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En conclusión, la exigencia de tecnologías de modulación de la velocidad de corte nocturna en parques eólicos ubicados en áreas con actividad significativa de murciélagos constituye una </w:t>
            </w:r>
            <w:r w:rsidRPr="000B180A">
              <w:rPr>
                <w:rFonts w:ascii="Arial Narrow" w:hAnsi="Arial Narrow" w:cs="Arial"/>
                <w:b/>
                <w:bCs/>
                <w:sz w:val="24"/>
                <w:szCs w:val="24"/>
                <w:shd w:val="clear" w:color="auto" w:fill="FFFFFF"/>
                <w:lang w:val="es-CO"/>
              </w:rPr>
              <w:t>medida eficaz, viable y jurídicamente sustentable</w:t>
            </w:r>
            <w:r w:rsidRPr="000B180A">
              <w:rPr>
                <w:rFonts w:ascii="Arial Narrow" w:hAnsi="Arial Narrow" w:cs="Arial"/>
                <w:sz w:val="24"/>
                <w:szCs w:val="24"/>
                <w:shd w:val="clear" w:color="auto" w:fill="FFFFFF"/>
                <w:lang w:val="es-CO"/>
              </w:rPr>
              <w:t xml:space="preserve"> para mitigar el riesgo de barotrauma. Su incorporación en los requisitos de licenciamiento ambiental permite avanzar hacia una generación eólica responsable, que minimiza su impacto sobre la biodiversidad sin comprometer de manera significativa la eficiencia energética del proyecto.</w:t>
            </w:r>
          </w:p>
          <w:p w14:paraId="49937778"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395B2171" w14:textId="77777777" w:rsidR="00072956" w:rsidRPr="00233CB3" w:rsidRDefault="00072956" w:rsidP="00233CB3">
            <w:pPr>
              <w:jc w:val="both"/>
              <w:rPr>
                <w:rFonts w:ascii="Arial Narrow" w:hAnsi="Arial Narrow" w:cs="Arial"/>
                <w:b/>
                <w:bCs/>
                <w:sz w:val="24"/>
                <w:szCs w:val="24"/>
                <w:u w:val="single"/>
                <w:shd w:val="clear" w:color="auto" w:fill="FFFFFF"/>
                <w:lang w:val="es-CO"/>
              </w:rPr>
            </w:pPr>
            <w:r w:rsidRPr="00233CB3">
              <w:rPr>
                <w:rFonts w:ascii="Arial Narrow" w:hAnsi="Arial Narrow" w:cs="Arial"/>
                <w:b/>
                <w:bCs/>
                <w:sz w:val="24"/>
                <w:szCs w:val="24"/>
                <w:u w:val="single"/>
                <w:shd w:val="clear" w:color="auto" w:fill="FFFFFF"/>
                <w:lang w:val="es-CO"/>
              </w:rPr>
              <w:t>Diseño aerodinámico de aspas con elementos que reduzcan el ruido y la turbulencia, como bordes dentados o winglets demostrado efectividad técnica previamente.</w:t>
            </w:r>
          </w:p>
          <w:p w14:paraId="781EC6A3"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4FB74C35"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La generación de energía eólica, aunque es una fuente renovable y limpia, puede generar impactos asociados al </w:t>
            </w:r>
            <w:r w:rsidRPr="000B180A">
              <w:rPr>
                <w:rFonts w:ascii="Arial Narrow" w:hAnsi="Arial Narrow" w:cs="Arial"/>
                <w:b/>
                <w:bCs/>
                <w:sz w:val="24"/>
                <w:szCs w:val="24"/>
                <w:shd w:val="clear" w:color="auto" w:fill="FFFFFF"/>
                <w:lang w:val="es-CO"/>
              </w:rPr>
              <w:t>ruido aerodinámico</w:t>
            </w:r>
            <w:r w:rsidRPr="000B180A">
              <w:rPr>
                <w:rFonts w:ascii="Arial Narrow" w:hAnsi="Arial Narrow" w:cs="Arial"/>
                <w:sz w:val="24"/>
                <w:szCs w:val="24"/>
                <w:shd w:val="clear" w:color="auto" w:fill="FFFFFF"/>
                <w:lang w:val="es-CO"/>
              </w:rPr>
              <w:t xml:space="preserve">, que es producido principalmente por la interacción del flujo de aire con las palas en movimiento. Este tipo de ruido, a diferencia del mecánico, es más difícil de aislar y puede tener efectos sobre la calidad de vida de las comunidades cercanas, así como en la fauna silvestre, especialmente aves y murciélagos sensibles al sonido. Adicionalmente, la generación de </w:t>
            </w:r>
            <w:r w:rsidRPr="000B180A">
              <w:rPr>
                <w:rFonts w:ascii="Arial Narrow" w:hAnsi="Arial Narrow" w:cs="Arial"/>
                <w:b/>
                <w:bCs/>
                <w:sz w:val="24"/>
                <w:szCs w:val="24"/>
                <w:shd w:val="clear" w:color="auto" w:fill="FFFFFF"/>
                <w:lang w:val="es-CO"/>
              </w:rPr>
              <w:t>turbulencia</w:t>
            </w:r>
            <w:r w:rsidRPr="000B180A">
              <w:rPr>
                <w:rFonts w:ascii="Arial Narrow" w:hAnsi="Arial Narrow" w:cs="Arial"/>
                <w:sz w:val="24"/>
                <w:szCs w:val="24"/>
                <w:shd w:val="clear" w:color="auto" w:fill="FFFFFF"/>
                <w:lang w:val="es-CO"/>
              </w:rPr>
              <w:t xml:space="preserve"> en el flujo de aire aguas abajo de los aerogeneradores puede reducir la eficiencia del parque y aumentar el desgaste de los componentes.</w:t>
            </w:r>
          </w:p>
          <w:p w14:paraId="45F363CC" w14:textId="77777777" w:rsidR="00072956" w:rsidRPr="000B180A" w:rsidRDefault="00072956" w:rsidP="00233CB3">
            <w:pPr>
              <w:jc w:val="both"/>
              <w:rPr>
                <w:rFonts w:ascii="Arial Narrow" w:hAnsi="Arial Narrow" w:cs="Arial"/>
                <w:sz w:val="24"/>
                <w:szCs w:val="24"/>
                <w:shd w:val="clear" w:color="auto" w:fill="FFFFFF"/>
                <w:lang w:val="es-CO"/>
              </w:rPr>
            </w:pPr>
          </w:p>
          <w:p w14:paraId="25485B15"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En respuesta a estas problemáticas, se han desarrollado diversas soluciones de </w:t>
            </w:r>
            <w:r w:rsidRPr="000B180A">
              <w:rPr>
                <w:rFonts w:ascii="Arial Narrow" w:hAnsi="Arial Narrow" w:cs="Arial"/>
                <w:b/>
                <w:bCs/>
                <w:sz w:val="24"/>
                <w:szCs w:val="24"/>
                <w:shd w:val="clear" w:color="auto" w:fill="FFFFFF"/>
                <w:lang w:val="es-CO"/>
              </w:rPr>
              <w:t>diseño aerodinámico de aspas</w:t>
            </w:r>
            <w:r w:rsidRPr="000B180A">
              <w:rPr>
                <w:rFonts w:ascii="Arial Narrow" w:hAnsi="Arial Narrow" w:cs="Arial"/>
                <w:sz w:val="24"/>
                <w:szCs w:val="24"/>
                <w:shd w:val="clear" w:color="auto" w:fill="FFFFFF"/>
                <w:lang w:val="es-CO"/>
              </w:rPr>
              <w:t xml:space="preserve"> orientadas a mitigar el ruido y optimizar el rendimiento de las turbinas. Entre estas soluciones destacan los </w:t>
            </w:r>
            <w:r w:rsidRPr="000B180A">
              <w:rPr>
                <w:rFonts w:ascii="Arial Narrow" w:hAnsi="Arial Narrow" w:cs="Arial"/>
                <w:b/>
                <w:bCs/>
                <w:sz w:val="24"/>
                <w:szCs w:val="24"/>
                <w:shd w:val="clear" w:color="auto" w:fill="FFFFFF"/>
                <w:lang w:val="es-CO"/>
              </w:rPr>
              <w:t>bordes dentados</w:t>
            </w:r>
            <w:r w:rsidRPr="000B180A">
              <w:rPr>
                <w:rFonts w:ascii="Arial Narrow" w:hAnsi="Arial Narrow" w:cs="Arial"/>
                <w:sz w:val="24"/>
                <w:szCs w:val="24"/>
                <w:shd w:val="clear" w:color="auto" w:fill="FFFFFF"/>
                <w:lang w:val="es-CO"/>
              </w:rPr>
              <w:t xml:space="preserve"> (también conocidos como trailing edge serrations) y los </w:t>
            </w:r>
            <w:r w:rsidRPr="000B180A">
              <w:rPr>
                <w:rFonts w:ascii="Arial Narrow" w:hAnsi="Arial Narrow" w:cs="Arial"/>
                <w:b/>
                <w:bCs/>
                <w:sz w:val="24"/>
                <w:szCs w:val="24"/>
                <w:shd w:val="clear" w:color="auto" w:fill="FFFFFF"/>
                <w:lang w:val="es-CO"/>
              </w:rPr>
              <w:t>winglets</w:t>
            </w:r>
            <w:r w:rsidRPr="000B180A">
              <w:rPr>
                <w:rFonts w:ascii="Arial Narrow" w:hAnsi="Arial Narrow" w:cs="Arial"/>
                <w:sz w:val="24"/>
                <w:szCs w:val="24"/>
                <w:shd w:val="clear" w:color="auto" w:fill="FFFFFF"/>
                <w:lang w:val="es-CO"/>
              </w:rPr>
              <w:t>, que han demostrado su eficacia en numerosos estudios y aplicaciones comerciales.</w:t>
            </w:r>
          </w:p>
          <w:p w14:paraId="63DB0387" w14:textId="77777777" w:rsidR="00072956" w:rsidRPr="000B180A" w:rsidRDefault="00072956" w:rsidP="00233CB3">
            <w:pPr>
              <w:jc w:val="both"/>
              <w:rPr>
                <w:rFonts w:ascii="Arial Narrow" w:hAnsi="Arial Narrow" w:cs="Arial"/>
                <w:sz w:val="24"/>
                <w:szCs w:val="24"/>
                <w:shd w:val="clear" w:color="auto" w:fill="FFFFFF"/>
                <w:lang w:val="es-CO"/>
              </w:rPr>
            </w:pPr>
          </w:p>
          <w:p w14:paraId="64233625"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Los </w:t>
            </w:r>
            <w:r w:rsidRPr="000B180A">
              <w:rPr>
                <w:rFonts w:ascii="Arial Narrow" w:hAnsi="Arial Narrow" w:cs="Arial"/>
                <w:b/>
                <w:bCs/>
                <w:sz w:val="24"/>
                <w:szCs w:val="24"/>
                <w:shd w:val="clear" w:color="auto" w:fill="FFFFFF"/>
                <w:lang w:val="es-CO"/>
              </w:rPr>
              <w:t>bordes dentados</w:t>
            </w:r>
            <w:r w:rsidRPr="000B180A">
              <w:rPr>
                <w:rFonts w:ascii="Arial Narrow" w:hAnsi="Arial Narrow" w:cs="Arial"/>
                <w:sz w:val="24"/>
                <w:szCs w:val="24"/>
                <w:shd w:val="clear" w:color="auto" w:fill="FFFFFF"/>
                <w:lang w:val="es-CO"/>
              </w:rPr>
              <w:t xml:space="preserve"> son estructuras en forma de “sierra” instaladas en el borde de salida de las palas. Su función principal es </w:t>
            </w:r>
            <w:r w:rsidRPr="000B180A">
              <w:rPr>
                <w:rFonts w:ascii="Arial Narrow" w:hAnsi="Arial Narrow" w:cs="Arial"/>
                <w:b/>
                <w:bCs/>
                <w:sz w:val="24"/>
                <w:szCs w:val="24"/>
                <w:shd w:val="clear" w:color="auto" w:fill="FFFFFF"/>
                <w:lang w:val="es-CO"/>
              </w:rPr>
              <w:t>interrumpir las ondas de presión del flujo de aire</w:t>
            </w:r>
            <w:r w:rsidRPr="000B180A">
              <w:rPr>
                <w:rFonts w:ascii="Arial Narrow" w:hAnsi="Arial Narrow" w:cs="Arial"/>
                <w:sz w:val="24"/>
                <w:szCs w:val="24"/>
                <w:shd w:val="clear" w:color="auto" w:fill="FFFFFF"/>
                <w:lang w:val="es-CO"/>
              </w:rPr>
              <w:t xml:space="preserve"> de manera controlada, descomponiéndolas en frecuencias más altas y de menor intensidad, lo cual reduce significativamente el ruido percibido. De acuerdo con investigaciones de la Universidad Técnica de Dinamarca (DTU) y el centro de investigación alemán Fraunhofer IWES, el uso de estas estructuras puede </w:t>
            </w:r>
            <w:r w:rsidRPr="000B180A">
              <w:rPr>
                <w:rFonts w:ascii="Arial Narrow" w:hAnsi="Arial Narrow" w:cs="Arial"/>
                <w:b/>
                <w:bCs/>
                <w:sz w:val="24"/>
                <w:szCs w:val="24"/>
                <w:shd w:val="clear" w:color="auto" w:fill="FFFFFF"/>
                <w:lang w:val="es-CO"/>
              </w:rPr>
              <w:t>reducir hasta en 3-5 decibelios</w:t>
            </w:r>
            <w:r w:rsidRPr="000B180A">
              <w:rPr>
                <w:rFonts w:ascii="Arial Narrow" w:hAnsi="Arial Narrow" w:cs="Arial"/>
                <w:sz w:val="24"/>
                <w:szCs w:val="24"/>
                <w:shd w:val="clear" w:color="auto" w:fill="FFFFFF"/>
                <w:lang w:val="es-CO"/>
              </w:rPr>
              <w:t xml:space="preserve"> el nivel de ruido aerodinámico sin afectar negativamente el rendimiento energético del aerogenerador. Estos beneficios han llevado a su implementación en modelos comerciales de fabricantes como Vestas (V112, V136), Siemens Gamesa (SGRE Onshore) y GE Renewable Energy.</w:t>
            </w:r>
          </w:p>
          <w:p w14:paraId="35E11D0F" w14:textId="77777777" w:rsidR="00072956" w:rsidRPr="000B180A" w:rsidRDefault="00072956" w:rsidP="00233CB3">
            <w:pPr>
              <w:jc w:val="both"/>
              <w:rPr>
                <w:rFonts w:ascii="Arial Narrow" w:hAnsi="Arial Narrow" w:cs="Arial"/>
                <w:sz w:val="24"/>
                <w:szCs w:val="24"/>
                <w:shd w:val="clear" w:color="auto" w:fill="FFFFFF"/>
                <w:lang w:val="es-CO"/>
              </w:rPr>
            </w:pPr>
          </w:p>
          <w:p w14:paraId="18248658"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Por su parte, los </w:t>
            </w:r>
            <w:r w:rsidRPr="000B180A">
              <w:rPr>
                <w:rFonts w:ascii="Arial Narrow" w:hAnsi="Arial Narrow" w:cs="Arial"/>
                <w:b/>
                <w:bCs/>
                <w:sz w:val="24"/>
                <w:szCs w:val="24"/>
                <w:shd w:val="clear" w:color="auto" w:fill="FFFFFF"/>
                <w:lang w:val="es-CO"/>
              </w:rPr>
              <w:t>winglets</w:t>
            </w:r>
            <w:r w:rsidRPr="000B180A">
              <w:rPr>
                <w:rFonts w:ascii="Arial Narrow" w:hAnsi="Arial Narrow" w:cs="Arial"/>
                <w:sz w:val="24"/>
                <w:szCs w:val="24"/>
                <w:shd w:val="clear" w:color="auto" w:fill="FFFFFF"/>
                <w:lang w:val="es-CO"/>
              </w:rPr>
              <w:t xml:space="preserve">, que son extensiones verticales en la punta de las palas (similares a los usados en aviones comerciales), ayudan a </w:t>
            </w:r>
            <w:r w:rsidRPr="000B180A">
              <w:rPr>
                <w:rFonts w:ascii="Arial Narrow" w:hAnsi="Arial Narrow" w:cs="Arial"/>
                <w:b/>
                <w:bCs/>
                <w:sz w:val="24"/>
                <w:szCs w:val="24"/>
                <w:shd w:val="clear" w:color="auto" w:fill="FFFFFF"/>
                <w:lang w:val="es-CO"/>
              </w:rPr>
              <w:t>reducir la formación de vórtices</w:t>
            </w:r>
            <w:r w:rsidRPr="000B180A">
              <w:rPr>
                <w:rFonts w:ascii="Arial Narrow" w:hAnsi="Arial Narrow" w:cs="Arial"/>
                <w:sz w:val="24"/>
                <w:szCs w:val="24"/>
                <w:shd w:val="clear" w:color="auto" w:fill="FFFFFF"/>
                <w:lang w:val="es-CO"/>
              </w:rPr>
              <w:t xml:space="preserve"> que se producen en la punta de las aspas debido a la diferencia de presión entre las caras superior e inferior. Estos vórtices son una fuente importante de turbulencia y ruido, además de representar una pérdida de energía útil. La incorporación de winglets permite mejorar la eficiencia aerodinámica del rotor, reducir el ruido estructural y disminuir la fatiga mecánica del sistema. Estudios como los realizados por Herráez et al. (2016) y pruebas de campo en Europa han demostrado que los winglets pueden </w:t>
            </w:r>
            <w:r w:rsidRPr="000B180A">
              <w:rPr>
                <w:rFonts w:ascii="Arial Narrow" w:hAnsi="Arial Narrow" w:cs="Arial"/>
                <w:b/>
                <w:bCs/>
                <w:sz w:val="24"/>
                <w:szCs w:val="24"/>
                <w:shd w:val="clear" w:color="auto" w:fill="FFFFFF"/>
                <w:lang w:val="es-CO"/>
              </w:rPr>
              <w:t>mejorar la eficiencia energética hasta en un 2-3%</w:t>
            </w:r>
            <w:r w:rsidRPr="000B180A">
              <w:rPr>
                <w:rFonts w:ascii="Arial Narrow" w:hAnsi="Arial Narrow" w:cs="Arial"/>
                <w:sz w:val="24"/>
                <w:szCs w:val="24"/>
                <w:shd w:val="clear" w:color="auto" w:fill="FFFFFF"/>
                <w:lang w:val="es-CO"/>
              </w:rPr>
              <w:t>, al tiempo que reducen la emisión sonora.</w:t>
            </w:r>
          </w:p>
          <w:p w14:paraId="4C4292CB" w14:textId="77777777" w:rsidR="00072956" w:rsidRPr="000B180A" w:rsidRDefault="00072956" w:rsidP="00233CB3">
            <w:pPr>
              <w:jc w:val="both"/>
              <w:rPr>
                <w:rFonts w:ascii="Arial Narrow" w:hAnsi="Arial Narrow" w:cs="Arial"/>
                <w:sz w:val="24"/>
                <w:szCs w:val="24"/>
                <w:shd w:val="clear" w:color="auto" w:fill="FFFFFF"/>
                <w:lang w:val="es-CO"/>
              </w:rPr>
            </w:pPr>
          </w:p>
          <w:p w14:paraId="310651C2"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La </w:t>
            </w:r>
            <w:r w:rsidRPr="000B180A">
              <w:rPr>
                <w:rFonts w:ascii="Arial Narrow" w:hAnsi="Arial Narrow" w:cs="Arial"/>
                <w:b/>
                <w:bCs/>
                <w:sz w:val="24"/>
                <w:szCs w:val="24"/>
                <w:shd w:val="clear" w:color="auto" w:fill="FFFFFF"/>
                <w:lang w:val="es-CO"/>
              </w:rPr>
              <w:t>eficacia técnica</w:t>
            </w:r>
            <w:r w:rsidRPr="000B180A">
              <w:rPr>
                <w:rFonts w:ascii="Arial Narrow" w:hAnsi="Arial Narrow" w:cs="Arial"/>
                <w:sz w:val="24"/>
                <w:szCs w:val="24"/>
                <w:shd w:val="clear" w:color="auto" w:fill="FFFFFF"/>
                <w:lang w:val="es-CO"/>
              </w:rPr>
              <w:t xml:space="preserve"> de estas soluciones ha sido reconocida no solo por la industria, sino también por organizaciones regulatorias. En la Unión Europea, el uso de diseños optimizados con reducción de ruido se considera una </w:t>
            </w:r>
            <w:r w:rsidRPr="000B180A">
              <w:rPr>
                <w:rFonts w:ascii="Arial Narrow" w:hAnsi="Arial Narrow" w:cs="Arial"/>
                <w:b/>
                <w:bCs/>
                <w:sz w:val="24"/>
                <w:szCs w:val="24"/>
                <w:shd w:val="clear" w:color="auto" w:fill="FFFFFF"/>
                <w:lang w:val="es-CO"/>
              </w:rPr>
              <w:t>buena práctica</w:t>
            </w:r>
            <w:r w:rsidRPr="000B180A">
              <w:rPr>
                <w:rFonts w:ascii="Arial Narrow" w:hAnsi="Arial Narrow" w:cs="Arial"/>
                <w:sz w:val="24"/>
                <w:szCs w:val="24"/>
                <w:shd w:val="clear" w:color="auto" w:fill="FFFFFF"/>
                <w:lang w:val="es-CO"/>
              </w:rPr>
              <w:t xml:space="preserve"> en parques eólicos cercanos a áreas habitadas o ecosistemas sensibles. Asimismo, la Agencia de Protección Ambiental de EE. UU. (EPA) y el U.S. Department of Energy han promovido investigaciones para la incorporación de estos elementos como parte del diseño de aerogeneradores más sostenibles.</w:t>
            </w:r>
          </w:p>
          <w:p w14:paraId="5A7B5B6A" w14:textId="77777777" w:rsidR="00072956" w:rsidRPr="000B180A" w:rsidRDefault="00072956" w:rsidP="00233CB3">
            <w:pPr>
              <w:jc w:val="both"/>
              <w:rPr>
                <w:rFonts w:ascii="Arial Narrow" w:hAnsi="Arial Narrow" w:cs="Arial"/>
                <w:sz w:val="24"/>
                <w:szCs w:val="24"/>
                <w:shd w:val="clear" w:color="auto" w:fill="FFFFFF"/>
                <w:lang w:val="es-CO"/>
              </w:rPr>
            </w:pPr>
          </w:p>
          <w:p w14:paraId="496EC67A"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Desde el punto de vista normativo y ambiental, la incorporación de estas tecnologías contribuye al cumplimiento de los principios de </w:t>
            </w:r>
            <w:r w:rsidRPr="000B180A">
              <w:rPr>
                <w:rFonts w:ascii="Arial Narrow" w:hAnsi="Arial Narrow" w:cs="Arial"/>
                <w:b/>
                <w:bCs/>
                <w:sz w:val="24"/>
                <w:szCs w:val="24"/>
                <w:shd w:val="clear" w:color="auto" w:fill="FFFFFF"/>
                <w:lang w:val="es-CO"/>
              </w:rPr>
              <w:t>mejor tecnología disponible</w:t>
            </w:r>
            <w:r w:rsidRPr="000B180A">
              <w:rPr>
                <w:rFonts w:ascii="Arial Narrow" w:hAnsi="Arial Narrow" w:cs="Arial"/>
                <w:sz w:val="24"/>
                <w:szCs w:val="24"/>
                <w:shd w:val="clear" w:color="auto" w:fill="FFFFFF"/>
                <w:lang w:val="es-CO"/>
              </w:rPr>
              <w:t xml:space="preserve"> (BAT, por sus siglas en inglés) y de </w:t>
            </w:r>
            <w:r w:rsidRPr="000B180A">
              <w:rPr>
                <w:rFonts w:ascii="Arial Narrow" w:hAnsi="Arial Narrow" w:cs="Arial"/>
                <w:b/>
                <w:bCs/>
                <w:sz w:val="24"/>
                <w:szCs w:val="24"/>
                <w:shd w:val="clear" w:color="auto" w:fill="FFFFFF"/>
                <w:lang w:val="es-CO"/>
              </w:rPr>
              <w:t>prevención y minimización del impacto</w:t>
            </w:r>
            <w:r w:rsidRPr="000B180A">
              <w:rPr>
                <w:rFonts w:ascii="Arial Narrow" w:hAnsi="Arial Narrow" w:cs="Arial"/>
                <w:sz w:val="24"/>
                <w:szCs w:val="24"/>
                <w:shd w:val="clear" w:color="auto" w:fill="FFFFFF"/>
                <w:lang w:val="es-CO"/>
              </w:rPr>
              <w:t>, pilares del licenciamiento ambiental en Colombia. También es coherente con la gestión de impactos acústicos señalada en los instrumentos de evaluación ambiental y en normativas como la Resolución 0627 de 2006 (sobre ruido ambiental), así como con los objetivos de conservación en zonas donde la fauna puede verse afectada por estímulos sonoros.</w:t>
            </w:r>
          </w:p>
          <w:p w14:paraId="39C10F69" w14:textId="77777777" w:rsidR="00072956" w:rsidRPr="000B180A" w:rsidRDefault="00072956" w:rsidP="00233CB3">
            <w:pPr>
              <w:jc w:val="both"/>
              <w:rPr>
                <w:rFonts w:ascii="Arial Narrow" w:hAnsi="Arial Narrow" w:cs="Arial"/>
                <w:sz w:val="24"/>
                <w:szCs w:val="24"/>
                <w:shd w:val="clear" w:color="auto" w:fill="FFFFFF"/>
                <w:lang w:val="es-CO"/>
              </w:rPr>
            </w:pPr>
          </w:p>
          <w:p w14:paraId="3E7907DC"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En conclusión, el uso de </w:t>
            </w:r>
            <w:r w:rsidRPr="000B180A">
              <w:rPr>
                <w:rFonts w:ascii="Arial Narrow" w:hAnsi="Arial Narrow" w:cs="Arial"/>
                <w:b/>
                <w:bCs/>
                <w:sz w:val="24"/>
                <w:szCs w:val="24"/>
                <w:shd w:val="clear" w:color="auto" w:fill="FFFFFF"/>
                <w:lang w:val="es-CO"/>
              </w:rPr>
              <w:t>bordes dentados y winglets en el diseño de aspas</w:t>
            </w:r>
            <w:r w:rsidRPr="000B180A">
              <w:rPr>
                <w:rFonts w:ascii="Arial Narrow" w:hAnsi="Arial Narrow" w:cs="Arial"/>
                <w:sz w:val="24"/>
                <w:szCs w:val="24"/>
                <w:shd w:val="clear" w:color="auto" w:fill="FFFFFF"/>
                <w:lang w:val="es-CO"/>
              </w:rPr>
              <w:t xml:space="preserve"> de aerogeneradores representa una </w:t>
            </w:r>
            <w:r w:rsidRPr="000B180A">
              <w:rPr>
                <w:rFonts w:ascii="Arial Narrow" w:hAnsi="Arial Narrow" w:cs="Arial"/>
                <w:b/>
                <w:bCs/>
                <w:sz w:val="24"/>
                <w:szCs w:val="24"/>
                <w:shd w:val="clear" w:color="auto" w:fill="FFFFFF"/>
                <w:lang w:val="es-CO"/>
              </w:rPr>
              <w:t>solución tecnológica probada y disponible</w:t>
            </w:r>
            <w:r w:rsidRPr="000B180A">
              <w:rPr>
                <w:rFonts w:ascii="Arial Narrow" w:hAnsi="Arial Narrow" w:cs="Arial"/>
                <w:sz w:val="24"/>
                <w:szCs w:val="24"/>
                <w:shd w:val="clear" w:color="auto" w:fill="FFFFFF"/>
                <w:lang w:val="es-CO"/>
              </w:rPr>
              <w:t xml:space="preserve"> que permite </w:t>
            </w:r>
            <w:r w:rsidRPr="000B180A">
              <w:rPr>
                <w:rFonts w:ascii="Arial Narrow" w:hAnsi="Arial Narrow" w:cs="Arial"/>
                <w:b/>
                <w:bCs/>
                <w:sz w:val="24"/>
                <w:szCs w:val="24"/>
                <w:shd w:val="clear" w:color="auto" w:fill="FFFFFF"/>
                <w:lang w:val="es-CO"/>
              </w:rPr>
              <w:t>reducir el ruido aerodinámico</w:t>
            </w:r>
            <w:r w:rsidRPr="000B180A">
              <w:rPr>
                <w:rFonts w:ascii="Arial Narrow" w:hAnsi="Arial Narrow" w:cs="Arial"/>
                <w:sz w:val="24"/>
                <w:szCs w:val="24"/>
                <w:shd w:val="clear" w:color="auto" w:fill="FFFFFF"/>
                <w:lang w:val="es-CO"/>
              </w:rPr>
              <w:t xml:space="preserve">, </w:t>
            </w:r>
            <w:r w:rsidRPr="000B180A">
              <w:rPr>
                <w:rFonts w:ascii="Arial Narrow" w:hAnsi="Arial Narrow" w:cs="Arial"/>
                <w:b/>
                <w:bCs/>
                <w:sz w:val="24"/>
                <w:szCs w:val="24"/>
                <w:shd w:val="clear" w:color="auto" w:fill="FFFFFF"/>
                <w:lang w:val="es-CO"/>
              </w:rPr>
              <w:t>disminuir la turbulencia</w:t>
            </w:r>
            <w:r w:rsidRPr="000B180A">
              <w:rPr>
                <w:rFonts w:ascii="Arial Narrow" w:hAnsi="Arial Narrow" w:cs="Arial"/>
                <w:sz w:val="24"/>
                <w:szCs w:val="24"/>
                <w:shd w:val="clear" w:color="auto" w:fill="FFFFFF"/>
                <w:lang w:val="es-CO"/>
              </w:rPr>
              <w:t xml:space="preserve">, </w:t>
            </w:r>
            <w:r w:rsidRPr="000B180A">
              <w:rPr>
                <w:rFonts w:ascii="Arial Narrow" w:hAnsi="Arial Narrow" w:cs="Arial"/>
                <w:b/>
                <w:bCs/>
                <w:sz w:val="24"/>
                <w:szCs w:val="24"/>
                <w:shd w:val="clear" w:color="auto" w:fill="FFFFFF"/>
                <w:lang w:val="es-CO"/>
              </w:rPr>
              <w:t>mejorar el rendimiento energético</w:t>
            </w:r>
            <w:r w:rsidRPr="000B180A">
              <w:rPr>
                <w:rFonts w:ascii="Arial Narrow" w:hAnsi="Arial Narrow" w:cs="Arial"/>
                <w:sz w:val="24"/>
                <w:szCs w:val="24"/>
                <w:shd w:val="clear" w:color="auto" w:fill="FFFFFF"/>
                <w:lang w:val="es-CO"/>
              </w:rPr>
              <w:t xml:space="preserve">, y </w:t>
            </w:r>
            <w:r w:rsidRPr="000B180A">
              <w:rPr>
                <w:rFonts w:ascii="Arial Narrow" w:hAnsi="Arial Narrow" w:cs="Arial"/>
                <w:b/>
                <w:bCs/>
                <w:sz w:val="24"/>
                <w:szCs w:val="24"/>
                <w:shd w:val="clear" w:color="auto" w:fill="FFFFFF"/>
                <w:lang w:val="es-CO"/>
              </w:rPr>
              <w:t>reducir impactos ambientales</w:t>
            </w:r>
            <w:r w:rsidRPr="000B180A">
              <w:rPr>
                <w:rFonts w:ascii="Arial Narrow" w:hAnsi="Arial Narrow" w:cs="Arial"/>
                <w:sz w:val="24"/>
                <w:szCs w:val="24"/>
                <w:shd w:val="clear" w:color="auto" w:fill="FFFFFF"/>
                <w:lang w:val="es-CO"/>
              </w:rPr>
              <w:t xml:space="preserve"> tanto en personas como en la fauna silvestre. Su incorporación debe ser promovida especialmente en contextos donde exista cercanía a áreas pobladas, hábitats sensibles o donde el proyecto involucre repotenciación o rediseño del parque. La exigencia de este tipo de diseño aerodinámico, respaldada por evidencia técnica y uso internacional, constituye una medida adecuada dentro de los criterios para el licenciamiento ambiental de proyectos eólicos responsables y sostenibles.</w:t>
            </w:r>
          </w:p>
          <w:p w14:paraId="442F5F29" w14:textId="77777777" w:rsidR="00072956" w:rsidRPr="000B180A" w:rsidRDefault="00072956" w:rsidP="007F5995">
            <w:pPr>
              <w:jc w:val="both"/>
              <w:rPr>
                <w:rFonts w:ascii="Arial Narrow" w:hAnsi="Arial Narrow" w:cs="Arial"/>
                <w:sz w:val="24"/>
                <w:szCs w:val="24"/>
                <w:shd w:val="clear" w:color="auto" w:fill="FFFFFF"/>
                <w:lang w:val="es-CO"/>
              </w:rPr>
            </w:pPr>
          </w:p>
          <w:p w14:paraId="6862725F" w14:textId="77777777" w:rsidR="00072956" w:rsidRPr="00560BEB" w:rsidRDefault="00072956" w:rsidP="00560BEB">
            <w:pPr>
              <w:jc w:val="both"/>
              <w:rPr>
                <w:rFonts w:ascii="Arial Narrow" w:hAnsi="Arial Narrow" w:cs="Arial"/>
                <w:b/>
                <w:bCs/>
                <w:sz w:val="24"/>
                <w:szCs w:val="24"/>
                <w:u w:val="single"/>
                <w:shd w:val="clear" w:color="auto" w:fill="FFFFFF"/>
                <w:lang w:val="es-CO"/>
              </w:rPr>
            </w:pPr>
            <w:r w:rsidRPr="00560BEB">
              <w:rPr>
                <w:rFonts w:ascii="Arial Narrow" w:hAnsi="Arial Narrow" w:cs="Arial"/>
                <w:b/>
                <w:bCs/>
                <w:sz w:val="24"/>
                <w:szCs w:val="24"/>
                <w:u w:val="single"/>
                <w:shd w:val="clear" w:color="auto" w:fill="FFFFFF"/>
                <w:lang w:val="es-CO"/>
              </w:rPr>
              <w:t>Implementación de dispositivos disuasorios de fauna (acústicos y visuales) que hayan demostrado efectividad técnica previamente.</w:t>
            </w:r>
          </w:p>
          <w:p w14:paraId="23CA957C" w14:textId="77777777" w:rsidR="00072956" w:rsidRPr="000B180A" w:rsidRDefault="00072956" w:rsidP="007F5995">
            <w:pPr>
              <w:pStyle w:val="Prrafodelista"/>
              <w:rPr>
                <w:rFonts w:ascii="Arial Narrow" w:eastAsia="Times New Roman" w:hAnsi="Arial Narrow"/>
                <w:sz w:val="24"/>
                <w:szCs w:val="24"/>
                <w:shd w:val="clear" w:color="auto" w:fill="FFFFFF"/>
                <w:lang w:eastAsia="es-ES"/>
              </w:rPr>
            </w:pPr>
          </w:p>
          <w:p w14:paraId="2DD569E6"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Uno de los impactos ambientales más relevantes asociados al desarrollo de proyectos de energía eólica es la </w:t>
            </w:r>
            <w:r w:rsidRPr="000B180A">
              <w:rPr>
                <w:rFonts w:ascii="Arial Narrow" w:hAnsi="Arial Narrow"/>
                <w:b/>
                <w:bCs/>
                <w:sz w:val="24"/>
                <w:szCs w:val="24"/>
                <w:shd w:val="clear" w:color="auto" w:fill="FFFFFF"/>
              </w:rPr>
              <w:t>interacción con fauna silvestre</w:t>
            </w:r>
            <w:r w:rsidRPr="000B180A">
              <w:rPr>
                <w:rFonts w:ascii="Arial Narrow" w:hAnsi="Arial Narrow"/>
                <w:sz w:val="24"/>
                <w:szCs w:val="24"/>
                <w:shd w:val="clear" w:color="auto" w:fill="FFFFFF"/>
              </w:rPr>
              <w:t xml:space="preserve">, especialmente aves y murciélagos, que pueden resultar afectadas por colisiones con las aspas de los aerogeneradores o por alteraciones en sus patrones de comportamiento. La implementación de </w:t>
            </w:r>
            <w:r w:rsidRPr="000B180A">
              <w:rPr>
                <w:rFonts w:ascii="Arial Narrow" w:hAnsi="Arial Narrow"/>
                <w:b/>
                <w:bCs/>
                <w:sz w:val="24"/>
                <w:szCs w:val="24"/>
                <w:shd w:val="clear" w:color="auto" w:fill="FFFFFF"/>
              </w:rPr>
              <w:t>dispositivos disuasorios acústicos o visuales</w:t>
            </w:r>
            <w:r w:rsidRPr="000B180A">
              <w:rPr>
                <w:rFonts w:ascii="Arial Narrow" w:hAnsi="Arial Narrow"/>
                <w:sz w:val="24"/>
                <w:szCs w:val="24"/>
                <w:shd w:val="clear" w:color="auto" w:fill="FFFFFF"/>
              </w:rPr>
              <w:t xml:space="preserve">, que tengan </w:t>
            </w:r>
            <w:r w:rsidRPr="000B180A">
              <w:rPr>
                <w:rFonts w:ascii="Arial Narrow" w:hAnsi="Arial Narrow"/>
                <w:b/>
                <w:bCs/>
                <w:sz w:val="24"/>
                <w:szCs w:val="24"/>
                <w:shd w:val="clear" w:color="auto" w:fill="FFFFFF"/>
              </w:rPr>
              <w:t>evidencia técnica comprobada</w:t>
            </w:r>
            <w:r w:rsidRPr="000B180A">
              <w:rPr>
                <w:rFonts w:ascii="Arial Narrow" w:hAnsi="Arial Narrow"/>
                <w:sz w:val="24"/>
                <w:szCs w:val="24"/>
                <w:shd w:val="clear" w:color="auto" w:fill="FFFFFF"/>
              </w:rPr>
              <w:t>, constituye una medida complementaria de mitigación orientada a reducir este riesgo, en especial cuando el proyecto se ubica en áreas donde se ha registrado actividad significativa de especies sensibles o vulnerables.</w:t>
            </w:r>
          </w:p>
          <w:p w14:paraId="65489EA5" w14:textId="77777777" w:rsidR="000851C0" w:rsidRDefault="000851C0" w:rsidP="00233CB3">
            <w:pPr>
              <w:pStyle w:val="Prrafodelista"/>
              <w:ind w:left="0"/>
              <w:rPr>
                <w:rFonts w:ascii="Arial Narrow" w:hAnsi="Arial Narrow"/>
                <w:sz w:val="24"/>
                <w:szCs w:val="24"/>
                <w:shd w:val="clear" w:color="auto" w:fill="FFFFFF"/>
              </w:rPr>
            </w:pPr>
          </w:p>
          <w:p w14:paraId="6F4C6AB4" w14:textId="62A16911"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Estos dispositivos buscan </w:t>
            </w:r>
            <w:r w:rsidRPr="000B180A">
              <w:rPr>
                <w:rFonts w:ascii="Arial Narrow" w:hAnsi="Arial Narrow"/>
                <w:b/>
                <w:bCs/>
                <w:sz w:val="24"/>
                <w:szCs w:val="24"/>
                <w:shd w:val="clear" w:color="auto" w:fill="FFFFFF"/>
              </w:rPr>
              <w:t>disuadir o alejar</w:t>
            </w:r>
            <w:r w:rsidRPr="000B180A">
              <w:rPr>
                <w:rFonts w:ascii="Arial Narrow" w:hAnsi="Arial Narrow"/>
                <w:sz w:val="24"/>
                <w:szCs w:val="24"/>
                <w:shd w:val="clear" w:color="auto" w:fill="FFFFFF"/>
              </w:rPr>
              <w:t xml:space="preserve"> a la fauna voladora de las zonas de riesgo, reduciendo así la probabilidad de colisión con las palas en movimiento. Pueden emplear diferentes mecanismos: desde señales sonoras dirigidas, ultrasonidos, luces estroboscópicas, hasta patrones visuales específicos en las palas o torres que alteran la percepción de movimiento o peligrosidad del aerogenerador.</w:t>
            </w:r>
          </w:p>
          <w:p w14:paraId="2FF58402" w14:textId="77777777" w:rsidR="000851C0" w:rsidRDefault="000851C0" w:rsidP="00233CB3">
            <w:pPr>
              <w:pStyle w:val="Prrafodelista"/>
              <w:ind w:left="0"/>
              <w:rPr>
                <w:rFonts w:ascii="Arial Narrow" w:hAnsi="Arial Narrow"/>
                <w:sz w:val="24"/>
                <w:szCs w:val="24"/>
                <w:shd w:val="clear" w:color="auto" w:fill="FFFFFF"/>
              </w:rPr>
            </w:pPr>
          </w:p>
          <w:p w14:paraId="61A66689" w14:textId="38ABC01A"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Entre los </w:t>
            </w:r>
            <w:r w:rsidRPr="000B180A">
              <w:rPr>
                <w:rFonts w:ascii="Arial Narrow" w:hAnsi="Arial Narrow"/>
                <w:b/>
                <w:bCs/>
                <w:sz w:val="24"/>
                <w:szCs w:val="24"/>
                <w:shd w:val="clear" w:color="auto" w:fill="FFFFFF"/>
              </w:rPr>
              <w:t>dispositivos acústicos</w:t>
            </w:r>
            <w:r w:rsidRPr="000B180A">
              <w:rPr>
                <w:rFonts w:ascii="Arial Narrow" w:hAnsi="Arial Narrow"/>
                <w:sz w:val="24"/>
                <w:szCs w:val="24"/>
                <w:shd w:val="clear" w:color="auto" w:fill="FFFFFF"/>
              </w:rPr>
              <w:t xml:space="preserve">, destacan los </w:t>
            </w:r>
            <w:r w:rsidRPr="000B180A">
              <w:rPr>
                <w:rFonts w:ascii="Arial Narrow" w:hAnsi="Arial Narrow"/>
                <w:b/>
                <w:bCs/>
                <w:sz w:val="24"/>
                <w:szCs w:val="24"/>
                <w:shd w:val="clear" w:color="auto" w:fill="FFFFFF"/>
              </w:rPr>
              <w:t>disuasores de ultrasonido para murciélagos</w:t>
            </w:r>
            <w:r w:rsidRPr="000B180A">
              <w:rPr>
                <w:rFonts w:ascii="Arial Narrow" w:hAnsi="Arial Narrow"/>
                <w:sz w:val="24"/>
                <w:szCs w:val="24"/>
                <w:shd w:val="clear" w:color="auto" w:fill="FFFFFF"/>
              </w:rPr>
              <w:t xml:space="preserve">, los cuales emiten frecuencias que interfieren con sus mecanismos de ecolocalización. Estudios como el de Weaver et al. (2020), llevado a cabo en parques eólicos de Estados Unidos, han demostrado que este tipo de tecnología puede reducir la mortalidad de murciélagos entre un </w:t>
            </w:r>
            <w:r w:rsidRPr="000B180A">
              <w:rPr>
                <w:rFonts w:ascii="Arial Narrow" w:hAnsi="Arial Narrow"/>
                <w:b/>
                <w:bCs/>
                <w:sz w:val="24"/>
                <w:szCs w:val="24"/>
                <w:shd w:val="clear" w:color="auto" w:fill="FFFFFF"/>
              </w:rPr>
              <w:t>30 % y un 50 %</w:t>
            </w:r>
            <w:r w:rsidRPr="000B180A">
              <w:rPr>
                <w:rFonts w:ascii="Arial Narrow" w:hAnsi="Arial Narrow"/>
                <w:sz w:val="24"/>
                <w:szCs w:val="24"/>
                <w:shd w:val="clear" w:color="auto" w:fill="FFFFFF"/>
              </w:rPr>
              <w:t xml:space="preserve"> en condiciones controladas. Sin embargo, su efectividad puede variar según el modelo, la frecuencia emitida, las condiciones climáticas y la especie objetivo, por lo que su implementación debe estar sustentada en pruebas previas y seguimiento posterior.</w:t>
            </w:r>
          </w:p>
          <w:p w14:paraId="47B88C62" w14:textId="77777777" w:rsidR="00072956" w:rsidRPr="000B180A" w:rsidRDefault="00072956" w:rsidP="00233CB3">
            <w:pPr>
              <w:pStyle w:val="Prrafodelista"/>
              <w:ind w:left="0"/>
              <w:rPr>
                <w:rFonts w:ascii="Arial Narrow" w:hAnsi="Arial Narrow"/>
                <w:sz w:val="24"/>
                <w:szCs w:val="24"/>
                <w:shd w:val="clear" w:color="auto" w:fill="FFFFFF"/>
              </w:rPr>
            </w:pPr>
          </w:p>
          <w:p w14:paraId="0DEE53B0"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En cuanto a </w:t>
            </w:r>
            <w:r w:rsidRPr="000B180A">
              <w:rPr>
                <w:rFonts w:ascii="Arial Narrow" w:hAnsi="Arial Narrow"/>
                <w:b/>
                <w:bCs/>
                <w:sz w:val="24"/>
                <w:szCs w:val="24"/>
                <w:shd w:val="clear" w:color="auto" w:fill="FFFFFF"/>
              </w:rPr>
              <w:t>dispositivos visuales</w:t>
            </w:r>
            <w:r w:rsidRPr="000B180A">
              <w:rPr>
                <w:rFonts w:ascii="Arial Narrow" w:hAnsi="Arial Narrow"/>
                <w:sz w:val="24"/>
                <w:szCs w:val="24"/>
                <w:shd w:val="clear" w:color="auto" w:fill="FFFFFF"/>
              </w:rPr>
              <w:t xml:space="preserve">, uno de los avances más relevantes ha sido la incorporación de </w:t>
            </w:r>
            <w:r w:rsidRPr="000B180A">
              <w:rPr>
                <w:rFonts w:ascii="Arial Narrow" w:hAnsi="Arial Narrow"/>
                <w:b/>
                <w:bCs/>
                <w:sz w:val="24"/>
                <w:szCs w:val="24"/>
                <w:shd w:val="clear" w:color="auto" w:fill="FFFFFF"/>
              </w:rPr>
              <w:t>pintura de aspas con patrones contrastantes</w:t>
            </w:r>
            <w:r w:rsidRPr="000B180A">
              <w:rPr>
                <w:rFonts w:ascii="Arial Narrow" w:hAnsi="Arial Narrow"/>
                <w:sz w:val="24"/>
                <w:szCs w:val="24"/>
                <w:shd w:val="clear" w:color="auto" w:fill="FFFFFF"/>
              </w:rPr>
              <w:t xml:space="preserve">. May et al. (2020), en un estudio experimental en Noruega, demostraron que </w:t>
            </w:r>
            <w:r w:rsidRPr="000B180A">
              <w:rPr>
                <w:rFonts w:ascii="Arial Narrow" w:hAnsi="Arial Narrow"/>
                <w:b/>
                <w:bCs/>
                <w:sz w:val="24"/>
                <w:szCs w:val="24"/>
                <w:shd w:val="clear" w:color="auto" w:fill="FFFFFF"/>
              </w:rPr>
              <w:t>pintar una de las aspas de negro</w:t>
            </w:r>
            <w:r w:rsidRPr="000B180A">
              <w:rPr>
                <w:rFonts w:ascii="Arial Narrow" w:hAnsi="Arial Narrow"/>
                <w:sz w:val="24"/>
                <w:szCs w:val="24"/>
                <w:shd w:val="clear" w:color="auto" w:fill="FFFFFF"/>
              </w:rPr>
              <w:t xml:space="preserve"> en lugar del color blanco tradicional aumentaba el contraste visual del rotor en movimiento, lo que permitió a las aves identificar mejor la presencia del aerogenerador y evitarlo. Los resultados mostraron una </w:t>
            </w:r>
            <w:r w:rsidRPr="000B180A">
              <w:rPr>
                <w:rFonts w:ascii="Arial Narrow" w:hAnsi="Arial Narrow"/>
                <w:b/>
                <w:bCs/>
                <w:sz w:val="24"/>
                <w:szCs w:val="24"/>
                <w:shd w:val="clear" w:color="auto" w:fill="FFFFFF"/>
              </w:rPr>
              <w:t>reducción del 70 % en colisiones de aves rapaces</w:t>
            </w:r>
            <w:r w:rsidRPr="000B180A">
              <w:rPr>
                <w:rFonts w:ascii="Arial Narrow" w:hAnsi="Arial Narrow"/>
                <w:sz w:val="24"/>
                <w:szCs w:val="24"/>
                <w:shd w:val="clear" w:color="auto" w:fill="FFFFFF"/>
              </w:rPr>
              <w:t>, como el pigargo europeo (Haliaeetus albicilla), lo cual ha llevado a considerar esta medida como una buena práctica emergente en Europa y otros países.</w:t>
            </w:r>
          </w:p>
          <w:p w14:paraId="0B0D3060" w14:textId="77777777" w:rsidR="00072956" w:rsidRPr="000B180A" w:rsidRDefault="00072956" w:rsidP="00233CB3">
            <w:pPr>
              <w:pStyle w:val="Prrafodelista"/>
              <w:ind w:left="0"/>
              <w:rPr>
                <w:rFonts w:ascii="Arial Narrow" w:hAnsi="Arial Narrow"/>
                <w:sz w:val="24"/>
                <w:szCs w:val="24"/>
                <w:shd w:val="clear" w:color="auto" w:fill="FFFFFF"/>
              </w:rPr>
            </w:pPr>
          </w:p>
          <w:p w14:paraId="14059783"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Adicionalmente, algunos desarrollos experimentales han incorporado </w:t>
            </w:r>
            <w:r w:rsidRPr="000B180A">
              <w:rPr>
                <w:rFonts w:ascii="Arial Narrow" w:hAnsi="Arial Narrow"/>
                <w:b/>
                <w:bCs/>
                <w:sz w:val="24"/>
                <w:szCs w:val="24"/>
                <w:shd w:val="clear" w:color="auto" w:fill="FFFFFF"/>
              </w:rPr>
              <w:t>luces estroboscópicas o intermitentes</w:t>
            </w:r>
            <w:r w:rsidRPr="000B180A">
              <w:rPr>
                <w:rFonts w:ascii="Arial Narrow" w:hAnsi="Arial Narrow"/>
                <w:sz w:val="24"/>
                <w:szCs w:val="24"/>
                <w:shd w:val="clear" w:color="auto" w:fill="FFFFFF"/>
              </w:rPr>
              <w:t xml:space="preserve"> en las torres o palas, visibles solo para la fauna (no perceptibles para humanos), las cuales crean un efecto de advertencia que puede modificar la trayectoria de vuelo de aves y murciélagos. Aunque aún se requieren más estudios de largo plazo para confirmar su efectividad generalizada, los resultados preliminares indican una </w:t>
            </w:r>
            <w:r w:rsidRPr="000B180A">
              <w:rPr>
                <w:rFonts w:ascii="Arial Narrow" w:hAnsi="Arial Narrow"/>
                <w:b/>
                <w:bCs/>
                <w:sz w:val="24"/>
                <w:szCs w:val="24"/>
                <w:shd w:val="clear" w:color="auto" w:fill="FFFFFF"/>
              </w:rPr>
              <w:t>respuesta evasiva en múltiples especies</w:t>
            </w:r>
            <w:r w:rsidRPr="000B180A">
              <w:rPr>
                <w:rFonts w:ascii="Arial Narrow" w:hAnsi="Arial Narrow"/>
                <w:sz w:val="24"/>
                <w:szCs w:val="24"/>
                <w:shd w:val="clear" w:color="auto" w:fill="FFFFFF"/>
              </w:rPr>
              <w:t xml:space="preserve"> en condiciones de campo.</w:t>
            </w:r>
          </w:p>
          <w:p w14:paraId="35923EC1" w14:textId="77777777" w:rsidR="00072956" w:rsidRPr="000B180A" w:rsidRDefault="00072956" w:rsidP="00233CB3">
            <w:pPr>
              <w:pStyle w:val="Prrafodelista"/>
              <w:ind w:left="0"/>
              <w:rPr>
                <w:rFonts w:ascii="Arial Narrow" w:hAnsi="Arial Narrow"/>
                <w:sz w:val="24"/>
                <w:szCs w:val="24"/>
                <w:shd w:val="clear" w:color="auto" w:fill="FFFFFF"/>
              </w:rPr>
            </w:pPr>
          </w:p>
          <w:p w14:paraId="467E3480"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El valor de estos dispositivos disuasorios radica no solo en su capacidad de reducir impactos, sino en su </w:t>
            </w:r>
            <w:r w:rsidRPr="000B180A">
              <w:rPr>
                <w:rFonts w:ascii="Arial Narrow" w:hAnsi="Arial Narrow"/>
                <w:b/>
                <w:bCs/>
                <w:sz w:val="24"/>
                <w:szCs w:val="24"/>
                <w:shd w:val="clear" w:color="auto" w:fill="FFFFFF"/>
              </w:rPr>
              <w:t>versatilidad y bajo costo relativo</w:t>
            </w:r>
            <w:r w:rsidRPr="000B180A">
              <w:rPr>
                <w:rFonts w:ascii="Arial Narrow" w:hAnsi="Arial Narrow"/>
                <w:sz w:val="24"/>
                <w:szCs w:val="24"/>
                <w:shd w:val="clear" w:color="auto" w:fill="FFFFFF"/>
              </w:rPr>
              <w:t xml:space="preserve"> en comparación con otras medidas de mitigación más complejas. Asimismo, pueden ser aplicados de forma focalizada, por ejemplo, durante las temporadas de mayor tránsito migratorio o en horarios específicos (como las primeras horas de la noche), maximizando su efectividad.</w:t>
            </w:r>
          </w:p>
          <w:p w14:paraId="72B0E9CA" w14:textId="77777777" w:rsidR="00072956" w:rsidRPr="000B180A" w:rsidRDefault="00072956" w:rsidP="00233CB3">
            <w:pPr>
              <w:pStyle w:val="Prrafodelista"/>
              <w:ind w:left="0"/>
              <w:rPr>
                <w:rFonts w:ascii="Arial Narrow" w:hAnsi="Arial Narrow"/>
                <w:sz w:val="24"/>
                <w:szCs w:val="24"/>
                <w:shd w:val="clear" w:color="auto" w:fill="FFFFFF"/>
              </w:rPr>
            </w:pPr>
          </w:p>
          <w:p w14:paraId="0805DBAE"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Desde el punto de vista normativo y técnico, su incorporación se alinea con el principio de </w:t>
            </w:r>
            <w:r w:rsidRPr="000B180A">
              <w:rPr>
                <w:rFonts w:ascii="Arial Narrow" w:hAnsi="Arial Narrow"/>
                <w:b/>
                <w:bCs/>
                <w:sz w:val="24"/>
                <w:szCs w:val="24"/>
                <w:shd w:val="clear" w:color="auto" w:fill="FFFFFF"/>
              </w:rPr>
              <w:t>mejor tecnología disponible (BAT)</w:t>
            </w:r>
            <w:r w:rsidRPr="000B180A">
              <w:rPr>
                <w:rFonts w:ascii="Arial Narrow" w:hAnsi="Arial Narrow"/>
                <w:sz w:val="24"/>
                <w:szCs w:val="24"/>
                <w:shd w:val="clear" w:color="auto" w:fill="FFFFFF"/>
              </w:rPr>
              <w:t xml:space="preserve"> y con la obligación de implementar </w:t>
            </w:r>
            <w:r w:rsidRPr="000B180A">
              <w:rPr>
                <w:rFonts w:ascii="Arial Narrow" w:hAnsi="Arial Narrow"/>
                <w:b/>
                <w:bCs/>
                <w:sz w:val="24"/>
                <w:szCs w:val="24"/>
                <w:shd w:val="clear" w:color="auto" w:fill="FFFFFF"/>
              </w:rPr>
              <w:t>medidas proporcionales al riesgo identificado</w:t>
            </w:r>
            <w:r w:rsidRPr="000B180A">
              <w:rPr>
                <w:rFonts w:ascii="Arial Narrow" w:hAnsi="Arial Narrow"/>
                <w:sz w:val="24"/>
                <w:szCs w:val="24"/>
                <w:shd w:val="clear" w:color="auto" w:fill="FFFFFF"/>
              </w:rPr>
              <w:t xml:space="preserve">, tal como lo establece el enfoque de evaluación de impacto ambiental basado en análisis de efectos significativos. </w:t>
            </w:r>
          </w:p>
          <w:p w14:paraId="63C947E6" w14:textId="77777777" w:rsidR="00072956" w:rsidRPr="000B180A" w:rsidRDefault="00072956" w:rsidP="00233CB3">
            <w:pPr>
              <w:pStyle w:val="Prrafodelista"/>
              <w:ind w:left="0"/>
              <w:rPr>
                <w:rFonts w:ascii="Arial Narrow" w:hAnsi="Arial Narrow"/>
                <w:sz w:val="24"/>
                <w:szCs w:val="24"/>
                <w:shd w:val="clear" w:color="auto" w:fill="FFFFFF"/>
              </w:rPr>
            </w:pPr>
          </w:p>
          <w:p w14:paraId="3BD82A68"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En conclusión, la </w:t>
            </w:r>
            <w:r w:rsidRPr="000B180A">
              <w:rPr>
                <w:rFonts w:ascii="Arial Narrow" w:hAnsi="Arial Narrow"/>
                <w:b/>
                <w:bCs/>
                <w:sz w:val="24"/>
                <w:szCs w:val="24"/>
                <w:shd w:val="clear" w:color="auto" w:fill="FFFFFF"/>
              </w:rPr>
              <w:t>incorporación de dispositivos disuasorios acústicos o visuales con evidencia técnica comprobada</w:t>
            </w:r>
            <w:r w:rsidRPr="000B180A">
              <w:rPr>
                <w:rFonts w:ascii="Arial Narrow" w:hAnsi="Arial Narrow"/>
                <w:sz w:val="24"/>
                <w:szCs w:val="24"/>
                <w:shd w:val="clear" w:color="auto" w:fill="FFFFFF"/>
              </w:rPr>
              <w:t xml:space="preserve"> representa una </w:t>
            </w:r>
            <w:r w:rsidRPr="000B180A">
              <w:rPr>
                <w:rFonts w:ascii="Arial Narrow" w:hAnsi="Arial Narrow"/>
                <w:b/>
                <w:bCs/>
                <w:sz w:val="24"/>
                <w:szCs w:val="24"/>
                <w:shd w:val="clear" w:color="auto" w:fill="FFFFFF"/>
              </w:rPr>
              <w:t>medida efectiva, viable y de bajo impacto operativo</w:t>
            </w:r>
            <w:r w:rsidRPr="000B180A">
              <w:rPr>
                <w:rFonts w:ascii="Arial Narrow" w:hAnsi="Arial Narrow"/>
                <w:sz w:val="24"/>
                <w:szCs w:val="24"/>
                <w:shd w:val="clear" w:color="auto" w:fill="FFFFFF"/>
              </w:rPr>
              <w:t xml:space="preserve"> para reducir la mortalidad de aves y murciélagos en parques eólicos. Su aplicación debe basarse en criterios técnicos rigurosos, considerar las condiciones ecológicas del sitio y complementar otras estrategias de mitigación como la parada inteligente de turbinas o la modificación del diseño aerodinámico de aspas.</w:t>
            </w:r>
          </w:p>
          <w:p w14:paraId="6EDFA82D" w14:textId="77777777" w:rsidR="00072956" w:rsidRPr="000B180A" w:rsidRDefault="00072956" w:rsidP="007F5995">
            <w:pPr>
              <w:pStyle w:val="Prrafodelista"/>
              <w:rPr>
                <w:rFonts w:ascii="Arial Narrow" w:hAnsi="Arial Narrow"/>
                <w:sz w:val="24"/>
                <w:szCs w:val="24"/>
                <w:shd w:val="clear" w:color="auto" w:fill="FFFFFF"/>
              </w:rPr>
            </w:pPr>
          </w:p>
          <w:p w14:paraId="1543C2BB" w14:textId="77777777" w:rsidR="00072956" w:rsidRPr="00233CB3" w:rsidRDefault="00072956" w:rsidP="007F5995">
            <w:pPr>
              <w:pStyle w:val="Prrafodelista"/>
              <w:rPr>
                <w:rFonts w:ascii="Arial Narrow" w:eastAsia="Times New Roman" w:hAnsi="Arial Narrow"/>
                <w:sz w:val="24"/>
                <w:szCs w:val="24"/>
                <w:u w:val="single"/>
                <w:shd w:val="clear" w:color="auto" w:fill="FFFFFF"/>
                <w:lang w:eastAsia="es-ES"/>
              </w:rPr>
            </w:pPr>
          </w:p>
          <w:p w14:paraId="6392477D" w14:textId="77777777" w:rsidR="00072956" w:rsidRPr="00233CB3" w:rsidRDefault="00072956" w:rsidP="00233CB3">
            <w:pPr>
              <w:jc w:val="both"/>
              <w:rPr>
                <w:rFonts w:ascii="Arial Narrow" w:hAnsi="Arial Narrow" w:cs="Arial"/>
                <w:b/>
                <w:bCs/>
                <w:sz w:val="24"/>
                <w:szCs w:val="24"/>
                <w:u w:val="single"/>
                <w:shd w:val="clear" w:color="auto" w:fill="FFFFFF"/>
                <w:lang w:val="es-CO"/>
              </w:rPr>
            </w:pPr>
            <w:r w:rsidRPr="00233CB3">
              <w:rPr>
                <w:rFonts w:ascii="Arial Narrow" w:hAnsi="Arial Narrow" w:cs="Arial"/>
                <w:b/>
                <w:bCs/>
                <w:sz w:val="24"/>
                <w:szCs w:val="24"/>
                <w:u w:val="single"/>
                <w:shd w:val="clear" w:color="auto" w:fill="FFFFFF"/>
                <w:lang w:val="es-CO"/>
              </w:rPr>
              <w:t>Aerogeneradores de altura mínima de cuarenta (40) metros desde el suelo hasta el borde inferior del rotor.</w:t>
            </w:r>
          </w:p>
          <w:p w14:paraId="7DCD7227" w14:textId="77777777" w:rsidR="00072956" w:rsidRPr="000B180A" w:rsidRDefault="00072956" w:rsidP="007F5995">
            <w:pPr>
              <w:ind w:left="720"/>
              <w:jc w:val="both"/>
              <w:rPr>
                <w:rFonts w:ascii="Arial Narrow" w:hAnsi="Arial Narrow" w:cs="Arial"/>
                <w:sz w:val="24"/>
                <w:szCs w:val="24"/>
                <w:shd w:val="clear" w:color="auto" w:fill="FFFFFF"/>
                <w:lang w:val="es-CO"/>
              </w:rPr>
            </w:pPr>
          </w:p>
          <w:p w14:paraId="4DA14A03"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La determinación de una altura mínima para el borde inferior del rotor de los aerogeneradores constituye una medida clave para </w:t>
            </w:r>
            <w:r w:rsidRPr="000B180A">
              <w:rPr>
                <w:rFonts w:ascii="Arial Narrow" w:hAnsi="Arial Narrow" w:cs="Arial"/>
                <w:b/>
                <w:bCs/>
                <w:sz w:val="24"/>
                <w:szCs w:val="24"/>
                <w:shd w:val="clear" w:color="auto" w:fill="FFFFFF"/>
                <w:lang w:val="es-CO"/>
              </w:rPr>
              <w:t>mitigar el riesgo de colisión de aves y murciélagos</w:t>
            </w:r>
            <w:r w:rsidRPr="000B180A">
              <w:rPr>
                <w:rFonts w:ascii="Arial Narrow" w:hAnsi="Arial Narrow" w:cs="Arial"/>
                <w:sz w:val="24"/>
                <w:szCs w:val="24"/>
                <w:shd w:val="clear" w:color="auto" w:fill="FFFFFF"/>
                <w:lang w:val="es-CO"/>
              </w:rPr>
              <w:t xml:space="preserve">, especialmente aquellas especies que realizan sus vuelos más frecuentes a baja altura. En particular, establecer un umbral de </w:t>
            </w:r>
            <w:r w:rsidRPr="000B180A">
              <w:rPr>
                <w:rFonts w:ascii="Arial Narrow" w:hAnsi="Arial Narrow" w:cs="Arial"/>
                <w:b/>
                <w:bCs/>
                <w:sz w:val="24"/>
                <w:szCs w:val="24"/>
                <w:shd w:val="clear" w:color="auto" w:fill="FFFFFF"/>
                <w:lang w:val="es-CO"/>
              </w:rPr>
              <w:t>cuarenta (40) metros</w:t>
            </w:r>
            <w:r w:rsidRPr="000B180A">
              <w:rPr>
                <w:rFonts w:ascii="Arial Narrow" w:hAnsi="Arial Narrow" w:cs="Arial"/>
                <w:sz w:val="24"/>
                <w:szCs w:val="24"/>
                <w:shd w:val="clear" w:color="auto" w:fill="FFFFFF"/>
                <w:lang w:val="es-CO"/>
              </w:rPr>
              <w:t xml:space="preserve"> desde el suelo hasta el punto más bajo del aspa en rotación es una estrategia preventiva, respaldada por evidencia empírica y aplicada en varios países europeos con altos estándares de conservación y desarrollo eólico, como </w:t>
            </w:r>
            <w:r w:rsidRPr="000B180A">
              <w:rPr>
                <w:rFonts w:ascii="Arial Narrow" w:hAnsi="Arial Narrow" w:cs="Arial"/>
                <w:b/>
                <w:bCs/>
                <w:sz w:val="24"/>
                <w:szCs w:val="24"/>
                <w:shd w:val="clear" w:color="auto" w:fill="FFFFFF"/>
                <w:lang w:val="es-CO"/>
              </w:rPr>
              <w:t>Países Bajos, Noruega y Portugal</w:t>
            </w:r>
            <w:r w:rsidRPr="000B180A">
              <w:rPr>
                <w:rFonts w:ascii="Arial Narrow" w:hAnsi="Arial Narrow" w:cs="Arial"/>
                <w:sz w:val="24"/>
                <w:szCs w:val="24"/>
                <w:shd w:val="clear" w:color="auto" w:fill="FFFFFF"/>
                <w:lang w:val="es-CO"/>
              </w:rPr>
              <w:t>.</w:t>
            </w:r>
          </w:p>
          <w:p w14:paraId="3FA13B11" w14:textId="77777777" w:rsidR="00072956" w:rsidRPr="000B180A" w:rsidRDefault="00072956" w:rsidP="00233CB3">
            <w:pPr>
              <w:jc w:val="both"/>
              <w:rPr>
                <w:rFonts w:ascii="Arial Narrow" w:hAnsi="Arial Narrow" w:cs="Arial"/>
                <w:sz w:val="24"/>
                <w:szCs w:val="24"/>
                <w:shd w:val="clear" w:color="auto" w:fill="FFFFFF"/>
                <w:lang w:val="es-CO"/>
              </w:rPr>
            </w:pPr>
          </w:p>
          <w:p w14:paraId="2763DD2F" w14:textId="77777777" w:rsidR="00072956"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La mayoría de las especies de aves que habitan en áreas agrícolas, humedales o llanuras —hábitats frecuentes en regiones eólicas— realizan sus desplazamientos y forrajeo a alturas inferiores a los 30 metros. Lo mismo ocurre con muchas especies de murciélagos, cuyo rango habitual de vuelo se sitúa entre los </w:t>
            </w:r>
            <w:r w:rsidRPr="000B180A">
              <w:rPr>
                <w:rFonts w:ascii="Arial Narrow" w:hAnsi="Arial Narrow" w:cs="Arial"/>
                <w:b/>
                <w:bCs/>
                <w:sz w:val="24"/>
                <w:szCs w:val="24"/>
                <w:shd w:val="clear" w:color="auto" w:fill="FFFFFF"/>
                <w:lang w:val="es-CO"/>
              </w:rPr>
              <w:t>10 y 25 metros</w:t>
            </w:r>
            <w:r w:rsidRPr="000B180A">
              <w:rPr>
                <w:rFonts w:ascii="Arial Narrow" w:hAnsi="Arial Narrow" w:cs="Arial"/>
                <w:sz w:val="24"/>
                <w:szCs w:val="24"/>
                <w:shd w:val="clear" w:color="auto" w:fill="FFFFFF"/>
                <w:lang w:val="es-CO"/>
              </w:rPr>
              <w:t xml:space="preserve"> sobre el nivel del suelo. Dejar un “espacio libre” bajo las palas en rotación reduce el traslape con estas rutas de vuelo y, por ende, disminuye la probabilidad de colisiones o barotrauma. Esta lógica es ampliamente reconocida por organismos de investigación y agencias de conservación en Europa.</w:t>
            </w:r>
          </w:p>
          <w:p w14:paraId="2294A4DC" w14:textId="77777777" w:rsidR="0048555B" w:rsidRDefault="0048555B" w:rsidP="007F5995">
            <w:pPr>
              <w:ind w:left="720"/>
              <w:jc w:val="both"/>
              <w:rPr>
                <w:rFonts w:ascii="Arial Narrow" w:hAnsi="Arial Narrow" w:cs="Arial"/>
                <w:sz w:val="24"/>
                <w:szCs w:val="24"/>
                <w:shd w:val="clear" w:color="auto" w:fill="FFFFFF"/>
                <w:lang w:val="es-CO"/>
              </w:rPr>
            </w:pPr>
          </w:p>
          <w:p w14:paraId="462EE35F" w14:textId="468F6176" w:rsidR="005427E2" w:rsidRPr="000B180A" w:rsidRDefault="005427E2" w:rsidP="005427E2">
            <w:pPr>
              <w:pStyle w:val="Prrafodelista"/>
              <w:ind w:left="1335"/>
              <w:jc w:val="center"/>
              <w:rPr>
                <w:rFonts w:ascii="Arial Narrow" w:hAnsi="Arial Narrow"/>
                <w:sz w:val="24"/>
                <w:szCs w:val="24"/>
              </w:rPr>
            </w:pPr>
            <w:r w:rsidRPr="000B180A">
              <w:rPr>
                <w:rFonts w:ascii="Arial Narrow" w:hAnsi="Arial Narrow"/>
                <w:sz w:val="24"/>
                <w:szCs w:val="24"/>
                <w:shd w:val="clear" w:color="auto" w:fill="FFFFFF"/>
              </w:rPr>
              <w:t xml:space="preserve">Figura </w:t>
            </w:r>
            <w:r w:rsidRPr="000B180A">
              <w:rPr>
                <w:rFonts w:ascii="Arial Narrow" w:hAnsi="Arial Narrow"/>
                <w:sz w:val="24"/>
                <w:szCs w:val="24"/>
                <w:shd w:val="clear" w:color="auto" w:fill="FFFFFF"/>
              </w:rPr>
              <w:fldChar w:fldCharType="begin"/>
            </w:r>
            <w:r w:rsidRPr="000B180A">
              <w:rPr>
                <w:rFonts w:ascii="Arial Narrow" w:hAnsi="Arial Narrow"/>
                <w:sz w:val="24"/>
                <w:szCs w:val="24"/>
                <w:shd w:val="clear" w:color="auto" w:fill="FFFFFF"/>
              </w:rPr>
              <w:instrText xml:space="preserve"> SEQ Figura \* ARABIC </w:instrText>
            </w:r>
            <w:r w:rsidRPr="000B180A">
              <w:rPr>
                <w:rFonts w:ascii="Arial Narrow" w:hAnsi="Arial Narrow"/>
                <w:sz w:val="24"/>
                <w:szCs w:val="24"/>
                <w:shd w:val="clear" w:color="auto" w:fill="FFFFFF"/>
              </w:rPr>
              <w:fldChar w:fldCharType="separate"/>
            </w:r>
            <w:r>
              <w:rPr>
                <w:rFonts w:ascii="Arial Narrow" w:hAnsi="Arial Narrow"/>
                <w:noProof/>
                <w:sz w:val="24"/>
                <w:szCs w:val="24"/>
                <w:shd w:val="clear" w:color="auto" w:fill="FFFFFF"/>
              </w:rPr>
              <w:t>18</w:t>
            </w:r>
            <w:r w:rsidRPr="000B180A">
              <w:rPr>
                <w:rFonts w:ascii="Arial Narrow" w:hAnsi="Arial Narrow"/>
                <w:sz w:val="24"/>
                <w:szCs w:val="24"/>
                <w:shd w:val="clear" w:color="auto" w:fill="FFFFFF"/>
              </w:rPr>
              <w:fldChar w:fldCharType="end"/>
            </w:r>
            <w:r w:rsidRPr="000B180A">
              <w:rPr>
                <w:rFonts w:ascii="Arial Narrow" w:hAnsi="Arial Narrow"/>
                <w:sz w:val="24"/>
                <w:szCs w:val="24"/>
                <w:shd w:val="clear" w:color="auto" w:fill="FFFFFF"/>
              </w:rPr>
              <w:t xml:space="preserve">: </w:t>
            </w:r>
            <w:r>
              <w:rPr>
                <w:rFonts w:ascii="Arial Narrow" w:hAnsi="Arial Narrow"/>
                <w:sz w:val="24"/>
                <w:szCs w:val="24"/>
                <w:shd w:val="clear" w:color="auto" w:fill="FFFFFF"/>
              </w:rPr>
              <w:t>Esquema de distancia a la altura mínima del aerogenerador respecto al suelo</w:t>
            </w:r>
          </w:p>
          <w:p w14:paraId="139BC843" w14:textId="6EEC8869" w:rsidR="0048555B" w:rsidRPr="000B180A" w:rsidRDefault="005427E2" w:rsidP="007F5995">
            <w:pPr>
              <w:ind w:left="720"/>
              <w:jc w:val="both"/>
              <w:rPr>
                <w:rFonts w:ascii="Arial Narrow" w:hAnsi="Arial Narrow" w:cs="Arial"/>
                <w:sz w:val="24"/>
                <w:szCs w:val="24"/>
                <w:shd w:val="clear" w:color="auto" w:fill="FFFFFF"/>
                <w:lang w:val="es-CO"/>
              </w:rPr>
            </w:pPr>
            <w:r>
              <w:rPr>
                <w:noProof/>
              </w:rPr>
              <w:t xml:space="preserve"> </w:t>
            </w:r>
            <w:r w:rsidRPr="005427E2">
              <w:rPr>
                <w:rFonts w:ascii="Arial Narrow" w:hAnsi="Arial Narrow" w:cs="Arial"/>
                <w:noProof/>
                <w:sz w:val="24"/>
                <w:szCs w:val="24"/>
                <w:shd w:val="clear" w:color="auto" w:fill="FFFFFF"/>
                <w:lang w:val="es-CO"/>
              </w:rPr>
              <w:drawing>
                <wp:inline distT="0" distB="0" distL="0" distR="0" wp14:anchorId="0109ABAA" wp14:editId="100EF420">
                  <wp:extent cx="6301105" cy="3771900"/>
                  <wp:effectExtent l="0" t="0" r="4445" b="0"/>
                  <wp:docPr id="14665949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594911" name=""/>
                          <pic:cNvPicPr/>
                        </pic:nvPicPr>
                        <pic:blipFill rotWithShape="1">
                          <a:blip r:embed="rId27"/>
                          <a:srcRect t="2222"/>
                          <a:stretch>
                            <a:fillRect/>
                          </a:stretch>
                        </pic:blipFill>
                        <pic:spPr bwMode="auto">
                          <a:xfrm>
                            <a:off x="0" y="0"/>
                            <a:ext cx="6301105" cy="3771900"/>
                          </a:xfrm>
                          <a:prstGeom prst="rect">
                            <a:avLst/>
                          </a:prstGeom>
                          <a:ln>
                            <a:noFill/>
                          </a:ln>
                          <a:extLst>
                            <a:ext uri="{53640926-AAD7-44D8-BBD7-CCE9431645EC}">
                              <a14:shadowObscured xmlns:a14="http://schemas.microsoft.com/office/drawing/2010/main"/>
                            </a:ext>
                          </a:extLst>
                        </pic:spPr>
                      </pic:pic>
                    </a:graphicData>
                  </a:graphic>
                </wp:inline>
              </w:drawing>
            </w:r>
          </w:p>
          <w:p w14:paraId="3D291E07" w14:textId="74221CAA" w:rsidR="00072956" w:rsidRDefault="005427E2" w:rsidP="00233CB3">
            <w:pPr>
              <w:ind w:left="720"/>
              <w:jc w:val="center"/>
              <w:rPr>
                <w:rFonts w:ascii="Arial Narrow" w:hAnsi="Arial Narrow" w:cs="Arial"/>
                <w:sz w:val="24"/>
                <w:szCs w:val="24"/>
                <w:shd w:val="clear" w:color="auto" w:fill="FFFFFF"/>
                <w:lang w:val="es-CO"/>
              </w:rPr>
            </w:pPr>
            <w:r>
              <w:rPr>
                <w:rFonts w:ascii="Arial Narrow" w:hAnsi="Arial Narrow" w:cs="Arial"/>
                <w:sz w:val="24"/>
                <w:szCs w:val="24"/>
                <w:shd w:val="clear" w:color="auto" w:fill="FFFFFF"/>
                <w:lang w:val="es-CO"/>
              </w:rPr>
              <w:t>Fuente: ANLA adaptado de ISAGEN, 2025.</w:t>
            </w:r>
          </w:p>
          <w:p w14:paraId="386F5876" w14:textId="77777777" w:rsidR="005427E2" w:rsidRPr="000B180A" w:rsidRDefault="005427E2" w:rsidP="007F5995">
            <w:pPr>
              <w:ind w:left="720"/>
              <w:jc w:val="both"/>
              <w:rPr>
                <w:rFonts w:ascii="Arial Narrow" w:hAnsi="Arial Narrow" w:cs="Arial"/>
                <w:sz w:val="24"/>
                <w:szCs w:val="24"/>
                <w:shd w:val="clear" w:color="auto" w:fill="FFFFFF"/>
                <w:lang w:val="es-CO"/>
              </w:rPr>
            </w:pPr>
          </w:p>
          <w:p w14:paraId="6D71D718"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En los </w:t>
            </w:r>
            <w:r w:rsidRPr="000B180A">
              <w:rPr>
                <w:rFonts w:ascii="Arial Narrow" w:hAnsi="Arial Narrow" w:cs="Arial"/>
                <w:b/>
                <w:bCs/>
                <w:sz w:val="24"/>
                <w:szCs w:val="24"/>
                <w:shd w:val="clear" w:color="auto" w:fill="FFFFFF"/>
                <w:lang w:val="es-CO"/>
              </w:rPr>
              <w:t>Países Bajos</w:t>
            </w:r>
            <w:r w:rsidRPr="000B180A">
              <w:rPr>
                <w:rFonts w:ascii="Arial Narrow" w:hAnsi="Arial Narrow" w:cs="Arial"/>
                <w:sz w:val="24"/>
                <w:szCs w:val="24"/>
                <w:shd w:val="clear" w:color="auto" w:fill="FFFFFF"/>
                <w:lang w:val="es-CO"/>
              </w:rPr>
              <w:t xml:space="preserve">, el gobierno y entidades como la Rijkswaterstaat y Vogelbescherming Nederland (BirdLife Países Bajos) han promovido el uso de turbinas con mayor altura de buje y rotor elevado en zonas de importancia para aves acuáticas y migratorias. Estudios como el de Lensink et al. (2017) identificaron que el riesgo de colisión disminuye significativamente cuando el borde inferior del rotor se sitúa </w:t>
            </w:r>
            <w:r w:rsidRPr="000B180A">
              <w:rPr>
                <w:rFonts w:ascii="Arial Narrow" w:hAnsi="Arial Narrow" w:cs="Arial"/>
                <w:b/>
                <w:bCs/>
                <w:sz w:val="24"/>
                <w:szCs w:val="24"/>
                <w:shd w:val="clear" w:color="auto" w:fill="FFFFFF"/>
                <w:lang w:val="es-CO"/>
              </w:rPr>
              <w:t>por encima de los 40 metros</w:t>
            </w:r>
            <w:r w:rsidRPr="000B180A">
              <w:rPr>
                <w:rFonts w:ascii="Arial Narrow" w:hAnsi="Arial Narrow" w:cs="Arial"/>
                <w:sz w:val="24"/>
                <w:szCs w:val="24"/>
                <w:shd w:val="clear" w:color="auto" w:fill="FFFFFF"/>
                <w:lang w:val="es-CO"/>
              </w:rPr>
              <w:t>, particularmente en contextos de vuelo nocturno y baja visibilidad. Estas recomendaciones han sido incorporadas en la planificación de zonas eólicas como parte de las evaluaciones estratégicas ambientales.</w:t>
            </w:r>
          </w:p>
          <w:p w14:paraId="4355AAC8" w14:textId="77777777" w:rsidR="00072956" w:rsidRPr="000B180A" w:rsidRDefault="00072956" w:rsidP="00233CB3">
            <w:pPr>
              <w:jc w:val="both"/>
              <w:rPr>
                <w:rFonts w:ascii="Arial Narrow" w:hAnsi="Arial Narrow" w:cs="Arial"/>
                <w:sz w:val="24"/>
                <w:szCs w:val="24"/>
                <w:shd w:val="clear" w:color="auto" w:fill="FFFFFF"/>
                <w:lang w:val="es-CO"/>
              </w:rPr>
            </w:pPr>
          </w:p>
          <w:p w14:paraId="48858642"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En </w:t>
            </w:r>
            <w:r w:rsidRPr="000B180A">
              <w:rPr>
                <w:rFonts w:ascii="Arial Narrow" w:hAnsi="Arial Narrow" w:cs="Arial"/>
                <w:b/>
                <w:bCs/>
                <w:sz w:val="24"/>
                <w:szCs w:val="24"/>
                <w:shd w:val="clear" w:color="auto" w:fill="FFFFFF"/>
                <w:lang w:val="es-CO"/>
              </w:rPr>
              <w:t>Noruega</w:t>
            </w:r>
            <w:r w:rsidRPr="000B180A">
              <w:rPr>
                <w:rFonts w:ascii="Arial Narrow" w:hAnsi="Arial Narrow" w:cs="Arial"/>
                <w:sz w:val="24"/>
                <w:szCs w:val="24"/>
                <w:shd w:val="clear" w:color="auto" w:fill="FFFFFF"/>
                <w:lang w:val="es-CO"/>
              </w:rPr>
              <w:t xml:space="preserve">, el Instituto Noruego de Investigación de la Naturaleza (NINA) ha estudiado extensamente la mortalidad de aves rapaces en parques eólicos, especialmente en Smøla, donde la interacción con especies como el pigargo europeo (Haliaeetus albicilla) ha sido crítica. En sus recomendaciones técnicas, NINA sugiere el uso de turbinas con </w:t>
            </w:r>
            <w:r w:rsidRPr="000B180A">
              <w:rPr>
                <w:rFonts w:ascii="Arial Narrow" w:hAnsi="Arial Narrow" w:cs="Arial"/>
                <w:b/>
                <w:bCs/>
                <w:sz w:val="24"/>
                <w:szCs w:val="24"/>
                <w:shd w:val="clear" w:color="auto" w:fill="FFFFFF"/>
                <w:lang w:val="es-CO"/>
              </w:rPr>
              <w:t>borde inferior de rotor elevado (≥40 metros)</w:t>
            </w:r>
            <w:r w:rsidRPr="000B180A">
              <w:rPr>
                <w:rFonts w:ascii="Arial Narrow" w:hAnsi="Arial Narrow" w:cs="Arial"/>
                <w:sz w:val="24"/>
                <w:szCs w:val="24"/>
                <w:shd w:val="clear" w:color="auto" w:fill="FFFFFF"/>
                <w:lang w:val="es-CO"/>
              </w:rPr>
              <w:t xml:space="preserve"> como medida complementaria para reducir el contacto con aves planeadoras que usan corrientes térmicas a baja altura (May et al., 2020). Esta medida, combinada con otras como el pintado de aspas, ha mostrado </w:t>
            </w:r>
            <w:r w:rsidRPr="000B180A">
              <w:rPr>
                <w:rFonts w:ascii="Arial Narrow" w:hAnsi="Arial Narrow" w:cs="Arial"/>
                <w:b/>
                <w:bCs/>
                <w:sz w:val="24"/>
                <w:szCs w:val="24"/>
                <w:shd w:val="clear" w:color="auto" w:fill="FFFFFF"/>
                <w:lang w:val="es-CO"/>
              </w:rPr>
              <w:t>efectividad significativa</w:t>
            </w:r>
            <w:r w:rsidRPr="000B180A">
              <w:rPr>
                <w:rFonts w:ascii="Arial Narrow" w:hAnsi="Arial Narrow" w:cs="Arial"/>
                <w:sz w:val="24"/>
                <w:szCs w:val="24"/>
                <w:shd w:val="clear" w:color="auto" w:fill="FFFFFF"/>
                <w:lang w:val="es-CO"/>
              </w:rPr>
              <w:t xml:space="preserve"> en la disminución de eventos de colisión.</w:t>
            </w:r>
          </w:p>
          <w:p w14:paraId="457C7661" w14:textId="77777777" w:rsidR="00072956" w:rsidRPr="000B180A" w:rsidRDefault="00072956" w:rsidP="00233CB3">
            <w:pPr>
              <w:jc w:val="both"/>
              <w:rPr>
                <w:rFonts w:ascii="Arial Narrow" w:hAnsi="Arial Narrow" w:cs="Arial"/>
                <w:sz w:val="24"/>
                <w:szCs w:val="24"/>
                <w:shd w:val="clear" w:color="auto" w:fill="FFFFFF"/>
                <w:lang w:val="es-CO"/>
              </w:rPr>
            </w:pPr>
          </w:p>
          <w:p w14:paraId="52D6505D"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En el caso de </w:t>
            </w:r>
            <w:r w:rsidRPr="000B180A">
              <w:rPr>
                <w:rFonts w:ascii="Arial Narrow" w:hAnsi="Arial Narrow" w:cs="Arial"/>
                <w:b/>
                <w:bCs/>
                <w:sz w:val="24"/>
                <w:szCs w:val="24"/>
                <w:shd w:val="clear" w:color="auto" w:fill="FFFFFF"/>
                <w:lang w:val="es-CO"/>
              </w:rPr>
              <w:t>Portugal</w:t>
            </w:r>
            <w:r w:rsidRPr="000B180A">
              <w:rPr>
                <w:rFonts w:ascii="Arial Narrow" w:hAnsi="Arial Narrow" w:cs="Arial"/>
                <w:sz w:val="24"/>
                <w:szCs w:val="24"/>
                <w:shd w:val="clear" w:color="auto" w:fill="FFFFFF"/>
                <w:lang w:val="es-CO"/>
              </w:rPr>
              <w:t xml:space="preserve">, el Instituto da Conservação da Natureza e das Florestas (ICNF) ha exigido progresivamente diseños de turbinas con alturas mínimas de rotor elevadas, especialmente en proyectos cercanos a áreas de presencia de rapaces o corredores migratorios. En parques eólicos del Alentejo y Trás-os-Montes, se ha documentado una </w:t>
            </w:r>
            <w:r w:rsidRPr="000B180A">
              <w:rPr>
                <w:rFonts w:ascii="Arial Narrow" w:hAnsi="Arial Narrow" w:cs="Arial"/>
                <w:b/>
                <w:bCs/>
                <w:sz w:val="24"/>
                <w:szCs w:val="24"/>
                <w:shd w:val="clear" w:color="auto" w:fill="FFFFFF"/>
                <w:lang w:val="es-CO"/>
              </w:rPr>
              <w:t>menor incidencia de colisiones</w:t>
            </w:r>
            <w:r w:rsidRPr="000B180A">
              <w:rPr>
                <w:rFonts w:ascii="Arial Narrow" w:hAnsi="Arial Narrow" w:cs="Arial"/>
                <w:sz w:val="24"/>
                <w:szCs w:val="24"/>
                <w:shd w:val="clear" w:color="auto" w:fill="FFFFFF"/>
                <w:lang w:val="es-CO"/>
              </w:rPr>
              <w:t xml:space="preserve"> cuando el espacio libre bajo las palas supera los 35–40 metros, al evitar el cruce con el rango habitual de vuelo de especies como el alimoche (Neophron percnopterus) y el milano real (Milvus milvus) (ICNF, 2018; Silva et al., 2020).</w:t>
            </w:r>
          </w:p>
          <w:p w14:paraId="02D5D38F" w14:textId="77777777" w:rsidR="00072956" w:rsidRPr="000B180A" w:rsidRDefault="00072956" w:rsidP="00233CB3">
            <w:pPr>
              <w:jc w:val="both"/>
              <w:rPr>
                <w:rFonts w:ascii="Arial Narrow" w:hAnsi="Arial Narrow" w:cs="Arial"/>
                <w:sz w:val="24"/>
                <w:szCs w:val="24"/>
                <w:shd w:val="clear" w:color="auto" w:fill="FFFFFF"/>
                <w:lang w:val="es-CO"/>
              </w:rPr>
            </w:pPr>
          </w:p>
          <w:p w14:paraId="6021CB45"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Desde el punto de vista técnico, los aerogeneradores modernos de 3 a 5 MW de capacidad, como los modelos </w:t>
            </w:r>
            <w:r w:rsidRPr="000B180A">
              <w:rPr>
                <w:rFonts w:ascii="Arial Narrow" w:hAnsi="Arial Narrow" w:cs="Arial"/>
                <w:b/>
                <w:bCs/>
                <w:sz w:val="24"/>
                <w:szCs w:val="24"/>
                <w:shd w:val="clear" w:color="auto" w:fill="FFFFFF"/>
                <w:lang w:val="es-CO"/>
              </w:rPr>
              <w:t>Vestas V150</w:t>
            </w:r>
            <w:r w:rsidRPr="000B180A">
              <w:rPr>
                <w:rFonts w:ascii="Arial Narrow" w:hAnsi="Arial Narrow" w:cs="Arial"/>
                <w:sz w:val="24"/>
                <w:szCs w:val="24"/>
                <w:shd w:val="clear" w:color="auto" w:fill="FFFFFF"/>
                <w:lang w:val="es-CO"/>
              </w:rPr>
              <w:t xml:space="preserve">, </w:t>
            </w:r>
            <w:r w:rsidRPr="000B180A">
              <w:rPr>
                <w:rFonts w:ascii="Arial Narrow" w:hAnsi="Arial Narrow" w:cs="Arial"/>
                <w:b/>
                <w:bCs/>
                <w:sz w:val="24"/>
                <w:szCs w:val="24"/>
                <w:shd w:val="clear" w:color="auto" w:fill="FFFFFF"/>
                <w:lang w:val="es-CO"/>
              </w:rPr>
              <w:t>Siemens Gamesa SG 145</w:t>
            </w:r>
            <w:r w:rsidRPr="000B180A">
              <w:rPr>
                <w:rFonts w:ascii="Arial Narrow" w:hAnsi="Arial Narrow" w:cs="Arial"/>
                <w:sz w:val="24"/>
                <w:szCs w:val="24"/>
                <w:shd w:val="clear" w:color="auto" w:fill="FFFFFF"/>
                <w:lang w:val="es-CO"/>
              </w:rPr>
              <w:t xml:space="preserve"> o </w:t>
            </w:r>
            <w:r w:rsidRPr="000B180A">
              <w:rPr>
                <w:rFonts w:ascii="Arial Narrow" w:hAnsi="Arial Narrow" w:cs="Arial"/>
                <w:b/>
                <w:bCs/>
                <w:sz w:val="24"/>
                <w:szCs w:val="24"/>
                <w:shd w:val="clear" w:color="auto" w:fill="FFFFFF"/>
                <w:lang w:val="es-CO"/>
              </w:rPr>
              <w:t>Nordex N163</w:t>
            </w:r>
            <w:r w:rsidRPr="000B180A">
              <w:rPr>
                <w:rFonts w:ascii="Arial Narrow" w:hAnsi="Arial Narrow" w:cs="Arial"/>
                <w:sz w:val="24"/>
                <w:szCs w:val="24"/>
                <w:shd w:val="clear" w:color="auto" w:fill="FFFFFF"/>
                <w:lang w:val="es-CO"/>
              </w:rPr>
              <w:t xml:space="preserve">, presentan </w:t>
            </w:r>
            <w:r w:rsidRPr="000B180A">
              <w:rPr>
                <w:rFonts w:ascii="Arial Narrow" w:hAnsi="Arial Narrow" w:cs="Arial"/>
                <w:b/>
                <w:bCs/>
                <w:sz w:val="24"/>
                <w:szCs w:val="24"/>
                <w:shd w:val="clear" w:color="auto" w:fill="FFFFFF"/>
                <w:lang w:val="es-CO"/>
              </w:rPr>
              <w:t>radios de rotor entre 60 y 75 metros</w:t>
            </w:r>
            <w:r w:rsidRPr="000B180A">
              <w:rPr>
                <w:rFonts w:ascii="Arial Narrow" w:hAnsi="Arial Narrow" w:cs="Arial"/>
                <w:sz w:val="24"/>
                <w:szCs w:val="24"/>
                <w:shd w:val="clear" w:color="auto" w:fill="FFFFFF"/>
                <w:lang w:val="es-CO"/>
              </w:rPr>
              <w:t xml:space="preserve"> y </w:t>
            </w:r>
            <w:r w:rsidRPr="000B180A">
              <w:rPr>
                <w:rFonts w:ascii="Arial Narrow" w:hAnsi="Arial Narrow" w:cs="Arial"/>
                <w:b/>
                <w:bCs/>
                <w:sz w:val="24"/>
                <w:szCs w:val="24"/>
                <w:shd w:val="clear" w:color="auto" w:fill="FFFFFF"/>
                <w:lang w:val="es-CO"/>
              </w:rPr>
              <w:t>alturas de buje superiores a 100 metros</w:t>
            </w:r>
            <w:r w:rsidRPr="000B180A">
              <w:rPr>
                <w:rFonts w:ascii="Arial Narrow" w:hAnsi="Arial Narrow" w:cs="Arial"/>
                <w:sz w:val="24"/>
                <w:szCs w:val="24"/>
                <w:shd w:val="clear" w:color="auto" w:fill="FFFFFF"/>
                <w:lang w:val="es-CO"/>
              </w:rPr>
              <w:t xml:space="preserve">, lo que implica que, por defecto, el borde inferior del rotor ya se ubica por encima de los 40 metros. Por lo tanto, la exigencia de este criterio </w:t>
            </w:r>
            <w:r w:rsidRPr="000B180A">
              <w:rPr>
                <w:rFonts w:ascii="Arial Narrow" w:hAnsi="Arial Narrow" w:cs="Arial"/>
                <w:b/>
                <w:bCs/>
                <w:sz w:val="24"/>
                <w:szCs w:val="24"/>
                <w:shd w:val="clear" w:color="auto" w:fill="FFFFFF"/>
                <w:lang w:val="es-CO"/>
              </w:rPr>
              <w:t>no representa una barrera tecnológica ni impone sobrecostos significativos</w:t>
            </w:r>
            <w:r w:rsidRPr="000B180A">
              <w:rPr>
                <w:rFonts w:ascii="Arial Narrow" w:hAnsi="Arial Narrow" w:cs="Arial"/>
                <w:sz w:val="24"/>
                <w:szCs w:val="24"/>
                <w:shd w:val="clear" w:color="auto" w:fill="FFFFFF"/>
                <w:lang w:val="es-CO"/>
              </w:rPr>
              <w:t>, sino que formaliza un umbral de diseño ya ampliamente adoptado por la industria.</w:t>
            </w:r>
          </w:p>
          <w:p w14:paraId="0B800A5C" w14:textId="77777777" w:rsidR="00072956" w:rsidRPr="000B180A" w:rsidRDefault="00072956" w:rsidP="00233CB3">
            <w:pPr>
              <w:jc w:val="both"/>
              <w:rPr>
                <w:rFonts w:ascii="Arial Narrow" w:hAnsi="Arial Narrow" w:cs="Arial"/>
                <w:sz w:val="24"/>
                <w:szCs w:val="24"/>
                <w:shd w:val="clear" w:color="auto" w:fill="FFFFFF"/>
                <w:lang w:val="es-CO"/>
              </w:rPr>
            </w:pPr>
          </w:p>
          <w:p w14:paraId="4A1A324E" w14:textId="77777777" w:rsidR="00072956" w:rsidRPr="000B180A" w:rsidRDefault="00072956"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Adicionalmente, esta medida es coherente con el principio de </w:t>
            </w:r>
            <w:r w:rsidRPr="000B180A">
              <w:rPr>
                <w:rFonts w:ascii="Arial Narrow" w:hAnsi="Arial Narrow" w:cs="Arial"/>
                <w:b/>
                <w:bCs/>
                <w:sz w:val="24"/>
                <w:szCs w:val="24"/>
                <w:shd w:val="clear" w:color="auto" w:fill="FFFFFF"/>
                <w:lang w:val="es-CO"/>
              </w:rPr>
              <w:t>mejor tecnología disponible</w:t>
            </w:r>
            <w:r w:rsidRPr="000B180A">
              <w:rPr>
                <w:rFonts w:ascii="Arial Narrow" w:hAnsi="Arial Narrow" w:cs="Arial"/>
                <w:sz w:val="24"/>
                <w:szCs w:val="24"/>
                <w:shd w:val="clear" w:color="auto" w:fill="FFFFFF"/>
                <w:lang w:val="es-CO"/>
              </w:rPr>
              <w:t xml:space="preserve"> (BAT), así como con el enfoque precautorio establecido en la legislación colombiana (Ley 99 de 1993) y los compromisos internacionales del país en el marco del Convenio sobre la Conservación de las Especies Migratorias de Animales Silvestres (CMS). En áreas con presencia significativa de avifauna o quirópteros, esta exigencia se configura como una condición mínima razonable para garantizar la sostenibilidad ambiental de los proyectos eólicos.</w:t>
            </w:r>
          </w:p>
          <w:p w14:paraId="6A08ADBB" w14:textId="77777777" w:rsidR="00072956" w:rsidRPr="000B180A" w:rsidRDefault="00072956" w:rsidP="00233CB3">
            <w:pPr>
              <w:jc w:val="both"/>
              <w:rPr>
                <w:rFonts w:ascii="Arial Narrow" w:hAnsi="Arial Narrow" w:cs="Arial"/>
                <w:sz w:val="24"/>
                <w:szCs w:val="24"/>
                <w:shd w:val="clear" w:color="auto" w:fill="FFFFFF"/>
                <w:lang w:val="es-CO"/>
              </w:rPr>
            </w:pPr>
          </w:p>
          <w:p w14:paraId="69FDBF24" w14:textId="77777777" w:rsidR="00072956" w:rsidRPr="000B180A" w:rsidRDefault="60FA1E9B" w:rsidP="00233CB3">
            <w:pPr>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 xml:space="preserve">En conclusión, establecer una </w:t>
            </w:r>
            <w:r w:rsidRPr="000B180A">
              <w:rPr>
                <w:rFonts w:ascii="Arial Narrow" w:hAnsi="Arial Narrow" w:cs="Arial"/>
                <w:b/>
                <w:bCs/>
                <w:sz w:val="24"/>
                <w:szCs w:val="24"/>
                <w:shd w:val="clear" w:color="auto" w:fill="FFFFFF"/>
                <w:lang w:val="es-CO"/>
              </w:rPr>
              <w:t>altura mínima de 40 metros para el borde inferior del rotor</w:t>
            </w:r>
            <w:r w:rsidRPr="000B180A">
              <w:rPr>
                <w:rFonts w:ascii="Arial Narrow" w:hAnsi="Arial Narrow" w:cs="Arial"/>
                <w:sz w:val="24"/>
                <w:szCs w:val="24"/>
                <w:shd w:val="clear" w:color="auto" w:fill="FFFFFF"/>
                <w:lang w:val="es-CO"/>
              </w:rPr>
              <w:t xml:space="preserve"> de los aerogeneradores es una medida técnica viable, ambientalmente fundamentada y ampliamente adoptada en países con experiencia regulatoria en energía eólica. Su implementación contribuye significativamente a </w:t>
            </w:r>
            <w:r w:rsidRPr="000B180A">
              <w:rPr>
                <w:rFonts w:ascii="Arial Narrow" w:hAnsi="Arial Narrow" w:cs="Arial"/>
                <w:b/>
                <w:bCs/>
                <w:sz w:val="24"/>
                <w:szCs w:val="24"/>
                <w:shd w:val="clear" w:color="auto" w:fill="FFFFFF"/>
                <w:lang w:val="es-CO"/>
              </w:rPr>
              <w:t>reducir la mortalidad de fauna voladora</w:t>
            </w:r>
            <w:r w:rsidRPr="000B180A">
              <w:rPr>
                <w:rFonts w:ascii="Arial Narrow" w:hAnsi="Arial Narrow" w:cs="Arial"/>
                <w:sz w:val="24"/>
                <w:szCs w:val="24"/>
                <w:shd w:val="clear" w:color="auto" w:fill="FFFFFF"/>
                <w:lang w:val="es-CO"/>
              </w:rPr>
              <w:t>, sin afectar el rendimiento energético ni la viabilidad económica del proyecto, y representa una buena práctica que fortalece la compatibilidad entre desarrollo energético y conservación de la biodiversidad.</w:t>
            </w:r>
          </w:p>
          <w:p w14:paraId="1C364CD7" w14:textId="6EE1CCDC" w:rsidR="008BADD2" w:rsidRDefault="008BADD2" w:rsidP="008BADD2">
            <w:pPr>
              <w:ind w:left="720"/>
              <w:jc w:val="both"/>
              <w:rPr>
                <w:rFonts w:ascii="Arial Narrow" w:hAnsi="Arial Narrow" w:cs="Arial"/>
                <w:sz w:val="24"/>
                <w:szCs w:val="24"/>
                <w:lang w:val="es-CO"/>
              </w:rPr>
            </w:pPr>
          </w:p>
          <w:p w14:paraId="469AAA9C" w14:textId="77777777" w:rsidR="00072956" w:rsidRPr="000B180A" w:rsidRDefault="00072956" w:rsidP="007F5995">
            <w:pPr>
              <w:pStyle w:val="Prrafodelista"/>
              <w:rPr>
                <w:rFonts w:ascii="Arial Narrow" w:eastAsia="Times New Roman" w:hAnsi="Arial Narrow"/>
                <w:sz w:val="24"/>
                <w:szCs w:val="24"/>
                <w:shd w:val="clear" w:color="auto" w:fill="FFFFFF"/>
                <w:lang w:eastAsia="es-ES"/>
              </w:rPr>
            </w:pPr>
          </w:p>
          <w:p w14:paraId="6AA899F4" w14:textId="5775B760" w:rsidR="393311C3" w:rsidRPr="00233CB3" w:rsidRDefault="393311C3" w:rsidP="00233CB3">
            <w:pPr>
              <w:jc w:val="both"/>
              <w:rPr>
                <w:rFonts w:ascii="Arial Narrow" w:hAnsi="Arial Narrow"/>
                <w:b/>
                <w:bCs/>
                <w:sz w:val="24"/>
                <w:szCs w:val="24"/>
                <w:u w:val="single"/>
                <w:shd w:val="clear" w:color="auto" w:fill="FFFFFF"/>
              </w:rPr>
            </w:pPr>
            <w:r w:rsidRPr="00233CB3">
              <w:rPr>
                <w:rFonts w:ascii="Arial Narrow" w:hAnsi="Arial Narrow"/>
                <w:b/>
                <w:bCs/>
                <w:sz w:val="24"/>
                <w:szCs w:val="24"/>
                <w:u w:val="single"/>
                <w:shd w:val="clear" w:color="auto" w:fill="FFFFFF"/>
              </w:rPr>
              <w:t>Las turbinas eólicas deberán ubicarse a una distancia mínima de quinientos (500) metros, medida horizontalmente desde la base de la torre hasta el límite más cercano de cualquier vivienda, centro poblado o asentamiento humano.</w:t>
            </w:r>
          </w:p>
          <w:p w14:paraId="4C0528B4" w14:textId="77777777" w:rsidR="00072956" w:rsidRPr="00F11574" w:rsidRDefault="00072956" w:rsidP="00F11574">
            <w:pPr>
              <w:pStyle w:val="Prrafodelista"/>
              <w:rPr>
                <w:rFonts w:ascii="Arial Narrow" w:eastAsia="Times New Roman" w:hAnsi="Arial Narrow"/>
                <w:b/>
                <w:bCs/>
                <w:sz w:val="24"/>
                <w:szCs w:val="24"/>
                <w:lang w:eastAsia="es-ES"/>
              </w:rPr>
            </w:pPr>
          </w:p>
          <w:p w14:paraId="7CF754B5"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Este criterio busca minimizar los impactos sobre la salud, el bienestar y la calidad de vida de las personas que habitan en las proximidades de proyectos eólicos, incluyendo efectos asociados a ruido, sombra estroboscópica (shadow flicker), y percepción del paisaje.</w:t>
            </w:r>
          </w:p>
          <w:p w14:paraId="3779A35C" w14:textId="77777777" w:rsidR="00072956" w:rsidRPr="000B180A" w:rsidRDefault="00072956" w:rsidP="00233CB3">
            <w:pPr>
              <w:pStyle w:val="Prrafodelista"/>
              <w:ind w:left="0"/>
              <w:rPr>
                <w:rFonts w:ascii="Arial Narrow" w:hAnsi="Arial Narrow"/>
                <w:sz w:val="24"/>
                <w:szCs w:val="24"/>
                <w:shd w:val="clear" w:color="auto" w:fill="FFFFFF"/>
              </w:rPr>
            </w:pPr>
          </w:p>
          <w:p w14:paraId="76556AEF" w14:textId="7781B476"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En </w:t>
            </w:r>
            <w:r w:rsidRPr="000B180A">
              <w:rPr>
                <w:rFonts w:ascii="Arial Narrow" w:hAnsi="Arial Narrow"/>
                <w:b/>
                <w:bCs/>
                <w:sz w:val="24"/>
                <w:szCs w:val="24"/>
                <w:shd w:val="clear" w:color="auto" w:fill="FFFFFF"/>
              </w:rPr>
              <w:t>Noruega</w:t>
            </w:r>
            <w:r w:rsidRPr="000B180A">
              <w:rPr>
                <w:rFonts w:ascii="Arial Narrow" w:hAnsi="Arial Narrow"/>
                <w:sz w:val="24"/>
                <w:szCs w:val="24"/>
                <w:shd w:val="clear" w:color="auto" w:fill="FFFFFF"/>
              </w:rPr>
              <w:t xml:space="preserve">, el gobierno nacional ha establecido como guía una </w:t>
            </w:r>
            <w:r w:rsidRPr="000B180A">
              <w:rPr>
                <w:rFonts w:ascii="Arial Narrow" w:hAnsi="Arial Narrow"/>
                <w:b/>
                <w:bCs/>
                <w:sz w:val="24"/>
                <w:szCs w:val="24"/>
                <w:shd w:val="clear" w:color="auto" w:fill="FFFFFF"/>
              </w:rPr>
              <w:t>distancia mínima equivalente a cuatro veces la altura total del aerogenerador</w:t>
            </w:r>
            <w:r w:rsidRPr="000B180A">
              <w:rPr>
                <w:rFonts w:ascii="Arial Narrow" w:hAnsi="Arial Narrow"/>
                <w:sz w:val="24"/>
                <w:szCs w:val="24"/>
                <w:shd w:val="clear" w:color="auto" w:fill="FFFFFF"/>
              </w:rPr>
              <w:t xml:space="preserve">, con un umbral mínimo de </w:t>
            </w:r>
            <w:r w:rsidRPr="000B180A">
              <w:rPr>
                <w:rFonts w:ascii="Arial Narrow" w:hAnsi="Arial Narrow"/>
                <w:b/>
                <w:bCs/>
                <w:sz w:val="24"/>
                <w:szCs w:val="24"/>
                <w:shd w:val="clear" w:color="auto" w:fill="FFFFFF"/>
              </w:rPr>
              <w:t>800 metros entre las turbinas y edificaciones residenciales</w:t>
            </w:r>
            <w:r w:rsidRPr="000B180A">
              <w:rPr>
                <w:rFonts w:ascii="Arial Narrow" w:hAnsi="Arial Narrow"/>
                <w:sz w:val="24"/>
                <w:szCs w:val="24"/>
                <w:shd w:val="clear" w:color="auto" w:fill="FFFFFF"/>
              </w:rPr>
              <w:t>. Esta recomendación fue establecida como parte del proceso de planificación y concesión de proyectos eólicos para garantizar un desarrollo más armonizado con las comunidades locales (Regjeringen, 2020a; Regjeringen, 2020b).</w:t>
            </w:r>
            <w:r w:rsidR="000851C0">
              <w:rPr>
                <w:rFonts w:ascii="Arial Narrow" w:hAnsi="Arial Narrow"/>
                <w:sz w:val="24"/>
                <w:szCs w:val="24"/>
                <w:shd w:val="clear" w:color="auto" w:fill="FFFFFF"/>
              </w:rPr>
              <w:t xml:space="preserve"> </w:t>
            </w:r>
            <w:r w:rsidRPr="000B180A">
              <w:rPr>
                <w:rFonts w:ascii="Arial Narrow" w:hAnsi="Arial Narrow"/>
                <w:sz w:val="24"/>
                <w:szCs w:val="24"/>
                <w:shd w:val="clear" w:color="auto" w:fill="FFFFFF"/>
              </w:rPr>
              <w:t xml:space="preserve">De manera similar, en los </w:t>
            </w:r>
            <w:r w:rsidRPr="000B180A">
              <w:rPr>
                <w:rFonts w:ascii="Arial Narrow" w:hAnsi="Arial Narrow"/>
                <w:b/>
                <w:bCs/>
                <w:sz w:val="24"/>
                <w:szCs w:val="24"/>
                <w:shd w:val="clear" w:color="auto" w:fill="FFFFFF"/>
              </w:rPr>
              <w:t>Países Bajos</w:t>
            </w:r>
            <w:r w:rsidRPr="000B180A">
              <w:rPr>
                <w:rFonts w:ascii="Arial Narrow" w:hAnsi="Arial Narrow"/>
                <w:sz w:val="24"/>
                <w:szCs w:val="24"/>
                <w:shd w:val="clear" w:color="auto" w:fill="FFFFFF"/>
              </w:rPr>
              <w:t xml:space="preserve">, la Corte Suprema suspendió en 2021 la normativa anterior por no cumplir con evaluaciones ambientales adecuadas, y como respuesta, se están considerando nuevas reglas con distancias mínimas de al menos </w:t>
            </w:r>
            <w:r w:rsidRPr="000B180A">
              <w:rPr>
                <w:rFonts w:ascii="Arial Narrow" w:hAnsi="Arial Narrow"/>
                <w:b/>
                <w:bCs/>
                <w:sz w:val="24"/>
                <w:szCs w:val="24"/>
                <w:shd w:val="clear" w:color="auto" w:fill="FFFFFF"/>
              </w:rPr>
              <w:t>400 a 600 metros</w:t>
            </w:r>
            <w:r w:rsidRPr="000B180A">
              <w:rPr>
                <w:rFonts w:ascii="Arial Narrow" w:hAnsi="Arial Narrow"/>
                <w:sz w:val="24"/>
                <w:szCs w:val="24"/>
                <w:shd w:val="clear" w:color="auto" w:fill="FFFFFF"/>
              </w:rPr>
              <w:t>, dependiendo del tamaño del aerogenerador y del nivel de ruido previsto (NOS, 2021).</w:t>
            </w:r>
            <w:r w:rsidR="000851C0">
              <w:rPr>
                <w:rFonts w:ascii="Arial Narrow" w:hAnsi="Arial Narrow"/>
                <w:sz w:val="24"/>
                <w:szCs w:val="24"/>
                <w:shd w:val="clear" w:color="auto" w:fill="FFFFFF"/>
              </w:rPr>
              <w:t xml:space="preserve"> También e</w:t>
            </w:r>
            <w:r w:rsidRPr="000B180A">
              <w:rPr>
                <w:rFonts w:ascii="Arial Narrow" w:hAnsi="Arial Narrow"/>
                <w:sz w:val="24"/>
                <w:szCs w:val="24"/>
                <w:shd w:val="clear" w:color="auto" w:fill="FFFFFF"/>
              </w:rPr>
              <w:t xml:space="preserve">n </w:t>
            </w:r>
            <w:r w:rsidRPr="000B180A">
              <w:rPr>
                <w:rFonts w:ascii="Arial Narrow" w:hAnsi="Arial Narrow"/>
                <w:b/>
                <w:bCs/>
                <w:sz w:val="24"/>
                <w:szCs w:val="24"/>
                <w:shd w:val="clear" w:color="auto" w:fill="FFFFFF"/>
              </w:rPr>
              <w:t>Portugal</w:t>
            </w:r>
            <w:r w:rsidRPr="000B180A">
              <w:rPr>
                <w:rFonts w:ascii="Arial Narrow" w:hAnsi="Arial Narrow"/>
                <w:sz w:val="24"/>
                <w:szCs w:val="24"/>
                <w:shd w:val="clear" w:color="auto" w:fill="FFFFFF"/>
              </w:rPr>
              <w:t xml:space="preserve"> se aplican criterios técnicos que incluyen una distancia recomendada de </w:t>
            </w:r>
            <w:r w:rsidRPr="000B180A">
              <w:rPr>
                <w:rFonts w:ascii="Arial Narrow" w:hAnsi="Arial Narrow"/>
                <w:b/>
                <w:bCs/>
                <w:sz w:val="24"/>
                <w:szCs w:val="24"/>
                <w:shd w:val="clear" w:color="auto" w:fill="FFFFFF"/>
              </w:rPr>
              <w:t>al menos 500 metros</w:t>
            </w:r>
            <w:r w:rsidRPr="000B180A">
              <w:rPr>
                <w:rFonts w:ascii="Arial Narrow" w:hAnsi="Arial Narrow"/>
                <w:sz w:val="24"/>
                <w:szCs w:val="24"/>
                <w:shd w:val="clear" w:color="auto" w:fill="FFFFFF"/>
              </w:rPr>
              <w:t xml:space="preserve"> respecto de viviendas y zonas habitadas, como se detalla en la legislación y directrices nacionales sobre evaluación ambiental de proyectos eólicos (APA, 2013).</w:t>
            </w:r>
          </w:p>
          <w:p w14:paraId="45F45CD8" w14:textId="77777777" w:rsidR="00072956" w:rsidRPr="000B180A" w:rsidRDefault="00072956" w:rsidP="00233CB3">
            <w:pPr>
              <w:pStyle w:val="Prrafodelista"/>
              <w:ind w:left="0"/>
              <w:rPr>
                <w:rFonts w:ascii="Arial Narrow" w:hAnsi="Arial Narrow"/>
                <w:sz w:val="24"/>
                <w:szCs w:val="24"/>
                <w:shd w:val="clear" w:color="auto" w:fill="FFFFFF"/>
              </w:rPr>
            </w:pPr>
          </w:p>
          <w:p w14:paraId="4A9A946C"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La implementación de este tipo de distancias ha mostrado ser efectiva para </w:t>
            </w:r>
            <w:r w:rsidRPr="000B180A">
              <w:rPr>
                <w:rFonts w:ascii="Arial Narrow" w:hAnsi="Arial Narrow"/>
                <w:b/>
                <w:bCs/>
                <w:sz w:val="24"/>
                <w:szCs w:val="24"/>
                <w:shd w:val="clear" w:color="auto" w:fill="FFFFFF"/>
              </w:rPr>
              <w:t>reducir conflictos sociales</w:t>
            </w:r>
            <w:r w:rsidRPr="000B180A">
              <w:rPr>
                <w:rFonts w:ascii="Arial Narrow" w:hAnsi="Arial Narrow"/>
                <w:sz w:val="24"/>
                <w:szCs w:val="24"/>
                <w:shd w:val="clear" w:color="auto" w:fill="FFFFFF"/>
              </w:rPr>
              <w:t xml:space="preserve"> y </w:t>
            </w:r>
            <w:r w:rsidRPr="000B180A">
              <w:rPr>
                <w:rFonts w:ascii="Arial Narrow" w:hAnsi="Arial Narrow"/>
                <w:b/>
                <w:bCs/>
                <w:sz w:val="24"/>
                <w:szCs w:val="24"/>
                <w:shd w:val="clear" w:color="auto" w:fill="FFFFFF"/>
              </w:rPr>
              <w:t>aumentar la aceptación pública</w:t>
            </w:r>
            <w:r w:rsidRPr="000B180A">
              <w:rPr>
                <w:rFonts w:ascii="Arial Narrow" w:hAnsi="Arial Narrow"/>
                <w:sz w:val="24"/>
                <w:szCs w:val="24"/>
                <w:shd w:val="clear" w:color="auto" w:fill="FFFFFF"/>
              </w:rPr>
              <w:t xml:space="preserve"> de los proyectos, además de asegurar el cumplimiento de umbrales de ruido ambiental y condiciones de habitabilidad exigidas por la normativa internacional y europea (WHO, 2018).</w:t>
            </w:r>
          </w:p>
          <w:p w14:paraId="273CD7CA" w14:textId="77777777" w:rsidR="00072956" w:rsidRPr="000B180A" w:rsidRDefault="00072956" w:rsidP="00233CB3">
            <w:pPr>
              <w:pStyle w:val="Prrafodelista"/>
              <w:ind w:left="0"/>
              <w:rPr>
                <w:rFonts w:ascii="Arial Narrow" w:hAnsi="Arial Narrow"/>
                <w:sz w:val="24"/>
                <w:szCs w:val="24"/>
                <w:shd w:val="clear" w:color="auto" w:fill="FFFFFF"/>
              </w:rPr>
            </w:pPr>
          </w:p>
          <w:p w14:paraId="642F3114"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Establecer una distancia mínima de 500 metros entre aerogeneradores y viviendas busca mitigar los impactos en la salud, el bienestar y la calidad de vida de las comunidades locales. Uno de los principales factores de afectación reportados es el ruido generado por las turbinas, especialmente el denominado ruido aerodinámico, el cual puede provocar molestias significativas, alteraciones del sueño y reacciones de estrés en poblaciones expuestas.</w:t>
            </w:r>
          </w:p>
          <w:p w14:paraId="017ABE29" w14:textId="77777777" w:rsidR="00072956" w:rsidRPr="000B180A" w:rsidRDefault="00072956" w:rsidP="00233CB3">
            <w:pPr>
              <w:pStyle w:val="Prrafodelista"/>
              <w:ind w:left="0"/>
              <w:rPr>
                <w:rFonts w:ascii="Arial Narrow" w:hAnsi="Arial Narrow"/>
                <w:sz w:val="24"/>
                <w:szCs w:val="24"/>
                <w:shd w:val="clear" w:color="auto" w:fill="FFFFFF"/>
              </w:rPr>
            </w:pPr>
          </w:p>
          <w:p w14:paraId="5CDDE1F7"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Knopper &amp; Ollson (2011), en una revisión sistemática publicada en Environmental Health, concluyen que los efectos sobre la salud relacionados con proyectos eólicos están mayoritariamente asociados a molestias por ruido y a la percepción subjetiva de intrusión. Si bien no se identificaron efectos fisiológicos directos causados por el ruido de los aerogeneradores, se reconoce que exposiciones prolongadas a niveles superiores a 40 dB(A) durante la noche pueden alterar el descanso y generar malestar. Por ello, distintas jurisdicciones, como la provincia de Ontario (Canadá), han adoptado como medida precautoria distancias mínimas de separación de 550 metros entre las turbinas y viviendas, para asegurar niveles sonoros aceptables en zonas residenciales.</w:t>
            </w:r>
          </w:p>
          <w:p w14:paraId="4732ADFA" w14:textId="77777777" w:rsidR="00072956" w:rsidRPr="000B180A" w:rsidRDefault="00072956" w:rsidP="00233CB3">
            <w:pPr>
              <w:pStyle w:val="Prrafodelista"/>
              <w:ind w:left="0"/>
              <w:rPr>
                <w:rFonts w:ascii="Arial Narrow" w:hAnsi="Arial Narrow"/>
                <w:sz w:val="24"/>
                <w:szCs w:val="24"/>
                <w:shd w:val="clear" w:color="auto" w:fill="FFFFFF"/>
              </w:rPr>
            </w:pPr>
          </w:p>
          <w:p w14:paraId="7E492EAD"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Adicionalmente, los estudios citados señalan que las molestias no se explican exclusivamente por el ruido medido, sino también por factores visuales, vibraciones percibidas y actitudes hacia los proyectos. El ruido, aunque técnicamente bajo, puede percibirse como intrusivo dependiendo del contexto paisajístico y social. Así, mantener una distancia de 500 metros contribuye no solo a reducir los niveles de presión sonora, sino también a evitar el impacto psicosocial negativo y mejorar la percepción pública del proyecto.</w:t>
            </w:r>
          </w:p>
          <w:p w14:paraId="5890A166" w14:textId="77777777" w:rsidR="00072956" w:rsidRPr="000B180A" w:rsidRDefault="00072956" w:rsidP="00233CB3">
            <w:pPr>
              <w:pStyle w:val="Prrafodelista"/>
              <w:ind w:left="0"/>
              <w:rPr>
                <w:rFonts w:ascii="Arial Narrow" w:hAnsi="Arial Narrow"/>
                <w:sz w:val="24"/>
                <w:szCs w:val="24"/>
                <w:shd w:val="clear" w:color="auto" w:fill="FFFFFF"/>
              </w:rPr>
            </w:pPr>
          </w:p>
          <w:p w14:paraId="3F8CBE51"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De igual manera, el Grupo de Regionalización y el Centro de Monitoreo de la ANLA, a partir de los ejercicios de modelación de aerogeneradores en algunos Parques Eólicos licenciados en el departamento de La Guajira, ha identificado que la isófona de 45 dB(A) puede extenderse hasta una distancia cercana a los 500 metros. Este resultado se obtiene aplicando las recomendaciones técnicas para la definición de los parámetros de entrada en las modelaciones de este tipo de proyectos, las cuales requieren consideraciones específicas, dado que los aerogeneradores no se comportan acústicamente como una fuente industrial convencional. En ese sentido, y aunque la propagación del ruido puede verse influenciada por factores como la topografía y las condiciones locales del terreno, los ejercicios de modelación evidencian la necesidad de respetar la distancia mínima de 500 metros hasta las viviendas más cercanas, a fin de garantizar la protección de los receptores sensibles.</w:t>
            </w:r>
          </w:p>
          <w:p w14:paraId="156DF15C" w14:textId="77777777" w:rsidR="00072956" w:rsidRPr="000B180A" w:rsidRDefault="00072956" w:rsidP="007F5995">
            <w:pPr>
              <w:rPr>
                <w:rFonts w:ascii="Arial Narrow" w:hAnsi="Arial Narrow"/>
                <w:sz w:val="24"/>
                <w:szCs w:val="24"/>
                <w:shd w:val="clear" w:color="auto" w:fill="FFFFFF"/>
              </w:rPr>
            </w:pPr>
          </w:p>
          <w:p w14:paraId="35D11849" w14:textId="77777777" w:rsidR="00072956" w:rsidRPr="00233CB3" w:rsidRDefault="00072956" w:rsidP="00233CB3">
            <w:pPr>
              <w:jc w:val="both"/>
              <w:rPr>
                <w:rFonts w:ascii="Arial Narrow" w:hAnsi="Arial Narrow" w:cs="Arial"/>
                <w:b/>
                <w:bCs/>
                <w:sz w:val="24"/>
                <w:szCs w:val="24"/>
                <w:u w:val="single"/>
                <w:shd w:val="clear" w:color="auto" w:fill="FFFFFF"/>
                <w:lang w:val="es-CO"/>
              </w:rPr>
            </w:pPr>
            <w:r w:rsidRPr="00233CB3">
              <w:rPr>
                <w:rFonts w:ascii="Arial Narrow" w:hAnsi="Arial Narrow" w:cs="Arial"/>
                <w:b/>
                <w:bCs/>
                <w:sz w:val="24"/>
                <w:szCs w:val="24"/>
                <w:u w:val="single"/>
                <w:shd w:val="clear" w:color="auto" w:fill="FFFFFF"/>
                <w:lang w:val="es-CO"/>
              </w:rPr>
              <w:t>El área total de ocupación directa del proyecto no deberá superar un tamaño equivalente a una (1) hectárea por aerogenerador que se instale, incluyendo dentro de esta área las plataformas, vías de acceso, subestaciones y zonas de maniobra, así como cualquier infraestructura análoga a estas.</w:t>
            </w:r>
          </w:p>
          <w:p w14:paraId="319D7566" w14:textId="77777777" w:rsidR="00072956" w:rsidRPr="000B180A" w:rsidRDefault="00072956" w:rsidP="007F5995">
            <w:pPr>
              <w:jc w:val="both"/>
              <w:rPr>
                <w:rFonts w:ascii="Arial Narrow" w:hAnsi="Arial Narrow" w:cs="Arial"/>
                <w:sz w:val="24"/>
                <w:szCs w:val="24"/>
                <w:shd w:val="clear" w:color="auto" w:fill="FFFFFF"/>
                <w:lang w:val="es-CO"/>
              </w:rPr>
            </w:pPr>
          </w:p>
          <w:p w14:paraId="00AD8B79"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Establecer un límite máximo de ocupación directa de una hectárea por aerogenerador tiene como propósito controlar los impactos físicos sobre el territorio, minimizar la fragmentación del hábitat y asegurar un diseño compacto y eficiente de los parques eólicos. La infraestructura auxiliar asociada a cada turbina (plataformas, caminos, zonas de maniobra, redes eléctricas internas, etc.) puede generar impactos considerables si no se gestiona adecuadamente, tanto en términos ecológicos como sociales.</w:t>
            </w:r>
          </w:p>
          <w:p w14:paraId="1CCC4407" w14:textId="77777777" w:rsidR="00072956" w:rsidRPr="000B180A" w:rsidRDefault="00072956" w:rsidP="00233CB3">
            <w:pPr>
              <w:pStyle w:val="Prrafodelista"/>
              <w:ind w:left="0"/>
              <w:rPr>
                <w:rFonts w:ascii="Arial Narrow" w:hAnsi="Arial Narrow"/>
                <w:sz w:val="24"/>
                <w:szCs w:val="24"/>
                <w:shd w:val="clear" w:color="auto" w:fill="FFFFFF"/>
              </w:rPr>
            </w:pPr>
          </w:p>
          <w:p w14:paraId="635A7451"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Estudios internacionales indican que un rango eficiente de ocupación oscila entre </w:t>
            </w:r>
            <w:r w:rsidRPr="000B180A">
              <w:rPr>
                <w:rFonts w:ascii="Arial Narrow" w:hAnsi="Arial Narrow"/>
                <w:b/>
                <w:bCs/>
                <w:sz w:val="24"/>
                <w:szCs w:val="24"/>
                <w:shd w:val="clear" w:color="auto" w:fill="FFFFFF"/>
              </w:rPr>
              <w:t>0.4 y 1.0 hectáreas por turbina</w:t>
            </w:r>
            <w:r w:rsidRPr="000B180A">
              <w:rPr>
                <w:rFonts w:ascii="Arial Narrow" w:hAnsi="Arial Narrow"/>
                <w:sz w:val="24"/>
                <w:szCs w:val="24"/>
                <w:shd w:val="clear" w:color="auto" w:fill="FFFFFF"/>
              </w:rPr>
              <w:t xml:space="preserve">. Por ejemplo, en el caso de Alemania, la Agencia Federal del Medio Ambiente (UBA) estima un promedio de </w:t>
            </w:r>
            <w:r w:rsidRPr="000B180A">
              <w:rPr>
                <w:rFonts w:ascii="Arial Narrow" w:hAnsi="Arial Narrow"/>
                <w:b/>
                <w:bCs/>
                <w:sz w:val="24"/>
                <w:szCs w:val="24"/>
                <w:shd w:val="clear" w:color="auto" w:fill="FFFFFF"/>
              </w:rPr>
              <w:t>0.6 hectáreas por aerogenerador</w:t>
            </w:r>
            <w:r w:rsidRPr="000B180A">
              <w:rPr>
                <w:rFonts w:ascii="Arial Narrow" w:hAnsi="Arial Narrow"/>
                <w:sz w:val="24"/>
                <w:szCs w:val="24"/>
                <w:shd w:val="clear" w:color="auto" w:fill="FFFFFF"/>
              </w:rPr>
              <w:t xml:space="preserve">, incluyendo infraestructura de soporte (UBA, 2013). En Dinamarca, se considera una densidad de uso del suelo de </w:t>
            </w:r>
            <w:r w:rsidRPr="000B180A">
              <w:rPr>
                <w:rFonts w:ascii="Arial Narrow" w:hAnsi="Arial Narrow"/>
                <w:b/>
                <w:bCs/>
                <w:sz w:val="24"/>
                <w:szCs w:val="24"/>
                <w:shd w:val="clear" w:color="auto" w:fill="FFFFFF"/>
              </w:rPr>
              <w:t>aproximadamente 0.5 a 0.8 hectáreas por turbina</w:t>
            </w:r>
            <w:r w:rsidRPr="000B180A">
              <w:rPr>
                <w:rFonts w:ascii="Arial Narrow" w:hAnsi="Arial Narrow"/>
                <w:sz w:val="24"/>
                <w:szCs w:val="24"/>
                <w:shd w:val="clear" w:color="auto" w:fill="FFFFFF"/>
              </w:rPr>
              <w:t xml:space="preserve">, dependiendo de la topografía y el diseño del parque (DEA, 2021). En Estados Unidos, el National Renewable Energy Laboratory (NREL) identifica que, aunque un parque eólico puede ocupar áreas mucho mayores (por la separación entre turbinas), la </w:t>
            </w:r>
            <w:r w:rsidRPr="000B180A">
              <w:rPr>
                <w:rFonts w:ascii="Arial Narrow" w:hAnsi="Arial Narrow"/>
                <w:b/>
                <w:bCs/>
                <w:sz w:val="24"/>
                <w:szCs w:val="24"/>
                <w:shd w:val="clear" w:color="auto" w:fill="FFFFFF"/>
              </w:rPr>
              <w:t>ocupación física directa por turbina se limita típicamente a menos de una hectárea</w:t>
            </w:r>
            <w:r w:rsidRPr="000B180A">
              <w:rPr>
                <w:rFonts w:ascii="Arial Narrow" w:hAnsi="Arial Narrow"/>
                <w:sz w:val="24"/>
                <w:szCs w:val="24"/>
                <w:shd w:val="clear" w:color="auto" w:fill="FFFFFF"/>
              </w:rPr>
              <w:t xml:space="preserve"> (Denholm et al., 2009; Tegen et al., 2013).</w:t>
            </w:r>
          </w:p>
          <w:p w14:paraId="202D407A" w14:textId="77777777" w:rsidR="00072956" w:rsidRPr="000B180A" w:rsidRDefault="00072956" w:rsidP="00233CB3">
            <w:pPr>
              <w:pStyle w:val="Prrafodelista"/>
              <w:ind w:left="0"/>
              <w:rPr>
                <w:rFonts w:ascii="Arial Narrow" w:hAnsi="Arial Narrow"/>
                <w:sz w:val="24"/>
                <w:szCs w:val="24"/>
                <w:shd w:val="clear" w:color="auto" w:fill="FFFFFF"/>
              </w:rPr>
            </w:pPr>
          </w:p>
          <w:p w14:paraId="030F397A" w14:textId="77777777" w:rsidR="00072956" w:rsidRPr="000B180A" w:rsidRDefault="00072956" w:rsidP="00233CB3">
            <w:pPr>
              <w:pStyle w:val="Prrafodelista"/>
              <w:ind w:left="0"/>
              <w:rPr>
                <w:rFonts w:ascii="Arial Narrow" w:hAnsi="Arial Narrow"/>
                <w:sz w:val="24"/>
                <w:szCs w:val="24"/>
                <w:shd w:val="clear" w:color="auto" w:fill="FFFFFF"/>
              </w:rPr>
            </w:pPr>
            <w:r w:rsidRPr="000B180A">
              <w:rPr>
                <w:rFonts w:ascii="Arial Narrow" w:hAnsi="Arial Narrow"/>
                <w:sz w:val="24"/>
                <w:szCs w:val="24"/>
                <w:shd w:val="clear" w:color="auto" w:fill="FFFFFF"/>
              </w:rPr>
              <w:t xml:space="preserve">Además, limitar el área de ocupación favorece la reducción del </w:t>
            </w:r>
            <w:r w:rsidRPr="000B180A">
              <w:rPr>
                <w:rFonts w:ascii="Arial Narrow" w:hAnsi="Arial Narrow"/>
                <w:b/>
                <w:bCs/>
                <w:sz w:val="24"/>
                <w:szCs w:val="24"/>
                <w:shd w:val="clear" w:color="auto" w:fill="FFFFFF"/>
              </w:rPr>
              <w:t>sellamiento del suelo</w:t>
            </w:r>
            <w:r w:rsidRPr="000B180A">
              <w:rPr>
                <w:rFonts w:ascii="Arial Narrow" w:hAnsi="Arial Narrow"/>
                <w:sz w:val="24"/>
                <w:szCs w:val="24"/>
                <w:shd w:val="clear" w:color="auto" w:fill="FFFFFF"/>
              </w:rPr>
              <w:t xml:space="preserve"> y la </w:t>
            </w:r>
            <w:r w:rsidRPr="000B180A">
              <w:rPr>
                <w:rFonts w:ascii="Arial Narrow" w:hAnsi="Arial Narrow"/>
                <w:b/>
                <w:bCs/>
                <w:sz w:val="24"/>
                <w:szCs w:val="24"/>
                <w:shd w:val="clear" w:color="auto" w:fill="FFFFFF"/>
              </w:rPr>
              <w:t>fragmentación del hábitat</w:t>
            </w:r>
            <w:r w:rsidRPr="000B180A">
              <w:rPr>
                <w:rFonts w:ascii="Arial Narrow" w:hAnsi="Arial Narrow"/>
                <w:sz w:val="24"/>
                <w:szCs w:val="24"/>
                <w:shd w:val="clear" w:color="auto" w:fill="FFFFFF"/>
              </w:rPr>
              <w:t>, dos de los impactos más relevantes en ecosistemas áridos o semiáridos como los que se presentan en regiones de alto potencial eólico en Colombia (e.g., La Guajira). Estos efectos son especialmente importantes cuando se consideran impactos acumulativos en zonas donde se desarrollan múltiples proyectos en paralelo.</w:t>
            </w:r>
          </w:p>
          <w:p w14:paraId="3A9D4970" w14:textId="45F5086E" w:rsidR="00072956" w:rsidRPr="000B180A" w:rsidRDefault="00072956" w:rsidP="00233CB3">
            <w:pPr>
              <w:pStyle w:val="Prrafodelista"/>
              <w:ind w:left="0"/>
              <w:rPr>
                <w:shd w:val="clear" w:color="auto" w:fill="FFFFFF"/>
              </w:rPr>
            </w:pPr>
            <w:r w:rsidRPr="000B180A">
              <w:rPr>
                <w:rFonts w:ascii="Arial Narrow" w:hAnsi="Arial Narrow"/>
                <w:sz w:val="24"/>
                <w:szCs w:val="24"/>
                <w:shd w:val="clear" w:color="auto" w:fill="FFFFFF"/>
              </w:rPr>
              <w:t>En el contexto colombiano, establecer este umbral permite fortalecer la planificación ambiental del territorio, fomentar la eficiencia espacial en el diseño de proyectos y facilitar el monitoreo del cumplimiento de obligaciones ambientales. Asimismo, esta medida promueve buenas prácticas de diseño e ingeniería, tales como trazados de vías optimizados y agrupamiento de infraestructura.</w:t>
            </w:r>
          </w:p>
          <w:p w14:paraId="3F172761" w14:textId="77777777" w:rsidR="00072956" w:rsidRPr="000B180A" w:rsidRDefault="00072956" w:rsidP="007F5995">
            <w:pPr>
              <w:shd w:val="clear" w:color="auto" w:fill="FFFFFF"/>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De acuerdo con lo anterior, el objetivo principal de la normativa es facilitar la viabilidad de proyectos eólicos que cumplan con condiciones específicas, permitiendo que aquellos con capacidades entre diez (10) y cien (100) megavatios accedan a un trámite más ágil mediante una Licencia Ambiental en proyectos de Energía Eólica -LAEólica Esta se estructuraría con base en términos de referencia específicos revisados temáticamente por equipos técnicos especializados, lo que permite una evaluación adaptada a las características propias de este tipo de proyectos. Así, se garantiza tanto el rigor técnico de la revisión como la oportunidad en la toma de decisiones por parte de la autoridad ambiental.</w:t>
            </w:r>
          </w:p>
          <w:p w14:paraId="764E77F8" w14:textId="77777777" w:rsidR="00072956" w:rsidRPr="000B180A" w:rsidRDefault="00072956" w:rsidP="007F5995">
            <w:pPr>
              <w:shd w:val="clear" w:color="auto" w:fill="FFFFFF"/>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complejidad y duración de los trámites administrativos necesarios para obtener una licencia ambiental, que en muchos casos se extienden durante meses o incluso años, generan incertidumbre y desincentivan a los desarrolladores en un sector que demanda decisiones ágiles y eficaces. Esta situación es especialmente crítica para los proyectos de generación eólica de mediana escala, que son fundamentales para diversificar la matriz energética y avanzar hacia una transición sostenible. Ante esta realidad, se plantea la necesidad de ajustar los procedimientos, sin debilitar la protección ambiental, para permitir un desarrollo más dinámico y eficiente, proponiendo el licenciamiento racionalizado el cual, presenta reducciones significativas en tiempos que se presentan a continuación:</w:t>
            </w:r>
          </w:p>
          <w:p w14:paraId="3B5D6D17" w14:textId="77777777" w:rsidR="00072956" w:rsidRPr="000B180A" w:rsidRDefault="00072956" w:rsidP="007F5995">
            <w:pPr>
              <w:shd w:val="clear" w:color="auto" w:fill="FFFFFF"/>
              <w:spacing w:before="100" w:beforeAutospacing="1"/>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Tabla 2. Comparación de tiempos de licenciamiento</w:t>
            </w:r>
          </w:p>
          <w:tbl>
            <w:tblPr>
              <w:tblW w:w="0" w:type="auto"/>
              <w:tblInd w:w="496" w:type="dxa"/>
              <w:tblBorders>
                <w:top w:val="single" w:sz="12" w:space="0" w:color="000000"/>
                <w:bottom w:val="single" w:sz="12" w:space="0" w:color="000000"/>
              </w:tblBorders>
              <w:tblLook w:val="04A0" w:firstRow="1" w:lastRow="0" w:firstColumn="1" w:lastColumn="0" w:noHBand="0" w:noVBand="1"/>
            </w:tblPr>
            <w:tblGrid>
              <w:gridCol w:w="4537"/>
              <w:gridCol w:w="2126"/>
              <w:gridCol w:w="1560"/>
              <w:gridCol w:w="1417"/>
            </w:tblGrid>
            <w:tr w:rsidR="00072956" w:rsidRPr="000B180A" w14:paraId="7F0A9200" w14:textId="77777777" w:rsidTr="007F5995">
              <w:tc>
                <w:tcPr>
                  <w:tcW w:w="4537" w:type="dxa"/>
                  <w:tcBorders>
                    <w:bottom w:val="single" w:sz="6" w:space="0" w:color="000000"/>
                  </w:tcBorders>
                  <w:shd w:val="solid" w:color="800080" w:fill="FFFFFF"/>
                  <w:hideMark/>
                </w:tcPr>
                <w:p w14:paraId="0A2ED8E9"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Hito / Etapa</w:t>
                  </w:r>
                </w:p>
              </w:tc>
              <w:tc>
                <w:tcPr>
                  <w:tcW w:w="2126" w:type="dxa"/>
                  <w:tcBorders>
                    <w:bottom w:val="single" w:sz="6" w:space="0" w:color="000000"/>
                  </w:tcBorders>
                  <w:shd w:val="solid" w:color="800080" w:fill="FFFFFF"/>
                  <w:hideMark/>
                </w:tcPr>
                <w:p w14:paraId="4244160C"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Licenciamiento Actual</w:t>
                  </w:r>
                </w:p>
              </w:tc>
              <w:tc>
                <w:tcPr>
                  <w:tcW w:w="1560" w:type="dxa"/>
                  <w:tcBorders>
                    <w:bottom w:val="single" w:sz="6" w:space="0" w:color="000000"/>
                  </w:tcBorders>
                  <w:shd w:val="solid" w:color="800080" w:fill="FFFFFF"/>
                  <w:hideMark/>
                </w:tcPr>
                <w:p w14:paraId="490E9510"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LAEólica</w:t>
                  </w:r>
                </w:p>
              </w:tc>
              <w:tc>
                <w:tcPr>
                  <w:tcW w:w="1417" w:type="dxa"/>
                  <w:tcBorders>
                    <w:bottom w:val="single" w:sz="6" w:space="0" w:color="000000"/>
                  </w:tcBorders>
                  <w:shd w:val="solid" w:color="800080" w:fill="FFFFFF"/>
                  <w:hideMark/>
                </w:tcPr>
                <w:p w14:paraId="4F796453" w14:textId="77777777" w:rsidR="00072956" w:rsidRPr="000B180A" w:rsidRDefault="00072956" w:rsidP="007F5995">
                  <w:pPr>
                    <w:jc w:val="cente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Reducción de tiempo</w:t>
                  </w:r>
                </w:p>
              </w:tc>
            </w:tr>
            <w:tr w:rsidR="00072956" w:rsidRPr="000B180A" w14:paraId="6D899087" w14:textId="77777777" w:rsidTr="007F5995">
              <w:tc>
                <w:tcPr>
                  <w:tcW w:w="4537" w:type="dxa"/>
                  <w:shd w:val="solid" w:color="C0C0C0" w:fill="FFFFFF"/>
                  <w:hideMark/>
                </w:tcPr>
                <w:p w14:paraId="538FFFA3"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Elaboración y entrega del EIA</w:t>
                  </w:r>
                </w:p>
              </w:tc>
              <w:tc>
                <w:tcPr>
                  <w:tcW w:w="2126" w:type="dxa"/>
                  <w:hideMark/>
                </w:tcPr>
                <w:p w14:paraId="564EF0F2"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180 días</w:t>
                  </w:r>
                </w:p>
              </w:tc>
              <w:tc>
                <w:tcPr>
                  <w:tcW w:w="1560" w:type="dxa"/>
                  <w:hideMark/>
                </w:tcPr>
                <w:p w14:paraId="2D7E60DC"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60 días</w:t>
                  </w:r>
                </w:p>
              </w:tc>
              <w:tc>
                <w:tcPr>
                  <w:tcW w:w="1417" w:type="dxa"/>
                  <w:hideMark/>
                </w:tcPr>
                <w:p w14:paraId="6456B5CE"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-120 días</w:t>
                  </w:r>
                </w:p>
              </w:tc>
            </w:tr>
            <w:tr w:rsidR="00072956" w:rsidRPr="000B180A" w14:paraId="20B4ACD6" w14:textId="77777777" w:rsidTr="007F5995">
              <w:tc>
                <w:tcPr>
                  <w:tcW w:w="4537" w:type="dxa"/>
                  <w:shd w:val="solid" w:color="C0C0C0" w:fill="FFFFFF"/>
                  <w:hideMark/>
                </w:tcPr>
                <w:p w14:paraId="517A6C13"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Verificación de documentos y auto de inicio</w:t>
                  </w:r>
                </w:p>
              </w:tc>
              <w:tc>
                <w:tcPr>
                  <w:tcW w:w="2126" w:type="dxa"/>
                  <w:hideMark/>
                </w:tcPr>
                <w:p w14:paraId="6090F76E"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17 días</w:t>
                  </w:r>
                </w:p>
              </w:tc>
              <w:tc>
                <w:tcPr>
                  <w:tcW w:w="1560" w:type="dxa"/>
                  <w:hideMark/>
                </w:tcPr>
                <w:p w14:paraId="347131B2"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5 días</w:t>
                  </w:r>
                </w:p>
              </w:tc>
              <w:tc>
                <w:tcPr>
                  <w:tcW w:w="1417" w:type="dxa"/>
                  <w:hideMark/>
                </w:tcPr>
                <w:p w14:paraId="758C415E"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-12 días</w:t>
                  </w:r>
                </w:p>
              </w:tc>
            </w:tr>
            <w:tr w:rsidR="00072956" w:rsidRPr="000B180A" w14:paraId="7EC75A76" w14:textId="77777777" w:rsidTr="007F5995">
              <w:tc>
                <w:tcPr>
                  <w:tcW w:w="4537" w:type="dxa"/>
                  <w:shd w:val="solid" w:color="C0C0C0" w:fill="FFFFFF"/>
                  <w:hideMark/>
                </w:tcPr>
                <w:p w14:paraId="4E57409E"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Verificación de información y solicitud de información adicional</w:t>
                  </w:r>
                </w:p>
              </w:tc>
              <w:tc>
                <w:tcPr>
                  <w:tcW w:w="2126" w:type="dxa"/>
                  <w:hideMark/>
                </w:tcPr>
                <w:p w14:paraId="0456D40E"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30 días</w:t>
                  </w:r>
                </w:p>
              </w:tc>
              <w:tc>
                <w:tcPr>
                  <w:tcW w:w="1560" w:type="dxa"/>
                  <w:hideMark/>
                </w:tcPr>
                <w:p w14:paraId="1211CAB8"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10 días</w:t>
                  </w:r>
                </w:p>
              </w:tc>
              <w:tc>
                <w:tcPr>
                  <w:tcW w:w="1417" w:type="dxa"/>
                  <w:hideMark/>
                </w:tcPr>
                <w:p w14:paraId="4F9AC012"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-20 días</w:t>
                  </w:r>
                </w:p>
              </w:tc>
            </w:tr>
            <w:tr w:rsidR="00072956" w:rsidRPr="000B180A" w14:paraId="5494A9B2" w14:textId="77777777" w:rsidTr="007F5995">
              <w:tc>
                <w:tcPr>
                  <w:tcW w:w="4537" w:type="dxa"/>
                  <w:shd w:val="solid" w:color="C0C0C0" w:fill="FFFFFF"/>
                  <w:hideMark/>
                </w:tcPr>
                <w:p w14:paraId="40E65E99"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Entrega de información adicional</w:t>
                  </w:r>
                </w:p>
              </w:tc>
              <w:tc>
                <w:tcPr>
                  <w:tcW w:w="2126" w:type="dxa"/>
                  <w:hideMark/>
                </w:tcPr>
                <w:p w14:paraId="60C7E5A0"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60 días (según Ley 99)</w:t>
                  </w:r>
                </w:p>
              </w:tc>
              <w:tc>
                <w:tcPr>
                  <w:tcW w:w="1560" w:type="dxa"/>
                  <w:hideMark/>
                </w:tcPr>
                <w:p w14:paraId="6FC1275A"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60 días (igual)</w:t>
                  </w:r>
                </w:p>
              </w:tc>
              <w:tc>
                <w:tcPr>
                  <w:tcW w:w="1417" w:type="dxa"/>
                  <w:hideMark/>
                </w:tcPr>
                <w:p w14:paraId="600FAE0A"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0 días</w:t>
                  </w:r>
                </w:p>
              </w:tc>
            </w:tr>
            <w:tr w:rsidR="00072956" w:rsidRPr="000B180A" w14:paraId="7D4F1D5A" w14:textId="77777777" w:rsidTr="007F5995">
              <w:tc>
                <w:tcPr>
                  <w:tcW w:w="4537" w:type="dxa"/>
                  <w:shd w:val="solid" w:color="C0C0C0" w:fill="FFFFFF"/>
                  <w:hideMark/>
                </w:tcPr>
                <w:p w14:paraId="663EF95D"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Otorgamiento de licencia</w:t>
                  </w:r>
                </w:p>
              </w:tc>
              <w:tc>
                <w:tcPr>
                  <w:tcW w:w="2126" w:type="dxa"/>
                  <w:hideMark/>
                </w:tcPr>
                <w:p w14:paraId="18F14D9D"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60 días</w:t>
                  </w:r>
                </w:p>
              </w:tc>
              <w:tc>
                <w:tcPr>
                  <w:tcW w:w="1560" w:type="dxa"/>
                  <w:hideMark/>
                </w:tcPr>
                <w:p w14:paraId="7C3B37EE"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15 días</w:t>
                  </w:r>
                </w:p>
              </w:tc>
              <w:tc>
                <w:tcPr>
                  <w:tcW w:w="1417" w:type="dxa"/>
                  <w:hideMark/>
                </w:tcPr>
                <w:p w14:paraId="06DD92A3"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-45 días</w:t>
                  </w:r>
                </w:p>
              </w:tc>
            </w:tr>
            <w:tr w:rsidR="00072956" w:rsidRPr="000B180A" w14:paraId="2133F186" w14:textId="77777777" w:rsidTr="007F5995">
              <w:tc>
                <w:tcPr>
                  <w:tcW w:w="4537" w:type="dxa"/>
                  <w:shd w:val="solid" w:color="C0C0C0" w:fill="FFFFFF"/>
                  <w:hideMark/>
                </w:tcPr>
                <w:p w14:paraId="5F25F0FE"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TOTAL (sin reposición)</w:t>
                  </w:r>
                </w:p>
              </w:tc>
              <w:tc>
                <w:tcPr>
                  <w:tcW w:w="2126" w:type="dxa"/>
                  <w:hideMark/>
                </w:tcPr>
                <w:p w14:paraId="4D9B1E4F"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347 días</w:t>
                  </w:r>
                </w:p>
              </w:tc>
              <w:tc>
                <w:tcPr>
                  <w:tcW w:w="1560" w:type="dxa"/>
                  <w:hideMark/>
                </w:tcPr>
                <w:p w14:paraId="52E694F7"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150 días</w:t>
                  </w:r>
                </w:p>
              </w:tc>
              <w:tc>
                <w:tcPr>
                  <w:tcW w:w="1417" w:type="dxa"/>
                  <w:hideMark/>
                </w:tcPr>
                <w:p w14:paraId="72EDA085"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-192 días</w:t>
                  </w:r>
                </w:p>
              </w:tc>
            </w:tr>
            <w:tr w:rsidR="00072956" w:rsidRPr="000B180A" w14:paraId="0605ED58" w14:textId="77777777" w:rsidTr="007F5995">
              <w:tc>
                <w:tcPr>
                  <w:tcW w:w="4537" w:type="dxa"/>
                  <w:shd w:val="solid" w:color="C0C0C0" w:fill="FFFFFF"/>
                  <w:hideMark/>
                </w:tcPr>
                <w:p w14:paraId="60C56809"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Término para interponer recurso</w:t>
                  </w:r>
                </w:p>
              </w:tc>
              <w:tc>
                <w:tcPr>
                  <w:tcW w:w="2126" w:type="dxa"/>
                  <w:hideMark/>
                </w:tcPr>
                <w:p w14:paraId="1035109E"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10 días (Ley 1437)</w:t>
                  </w:r>
                </w:p>
              </w:tc>
              <w:tc>
                <w:tcPr>
                  <w:tcW w:w="1560" w:type="dxa"/>
                  <w:hideMark/>
                </w:tcPr>
                <w:p w14:paraId="5ECB2DBA"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10 días</w:t>
                  </w:r>
                </w:p>
              </w:tc>
              <w:tc>
                <w:tcPr>
                  <w:tcW w:w="1417" w:type="dxa"/>
                  <w:hideMark/>
                </w:tcPr>
                <w:p w14:paraId="33A6187B"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0 días</w:t>
                  </w:r>
                </w:p>
              </w:tc>
            </w:tr>
            <w:tr w:rsidR="00072956" w:rsidRPr="000B180A" w14:paraId="541DF102" w14:textId="77777777" w:rsidTr="007F5995">
              <w:tc>
                <w:tcPr>
                  <w:tcW w:w="4537" w:type="dxa"/>
                  <w:shd w:val="solid" w:color="C0C0C0" w:fill="FFFFFF"/>
                  <w:hideMark/>
                </w:tcPr>
                <w:p w14:paraId="2C6F0776"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Plazo de respuesta a recurso</w:t>
                  </w:r>
                </w:p>
              </w:tc>
              <w:tc>
                <w:tcPr>
                  <w:tcW w:w="2126" w:type="dxa"/>
                  <w:hideMark/>
                </w:tcPr>
                <w:p w14:paraId="3A7E0013"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45 días</w:t>
                  </w:r>
                </w:p>
              </w:tc>
              <w:tc>
                <w:tcPr>
                  <w:tcW w:w="1560" w:type="dxa"/>
                  <w:hideMark/>
                </w:tcPr>
                <w:p w14:paraId="0ED5BA50"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15 días</w:t>
                  </w:r>
                </w:p>
              </w:tc>
              <w:tc>
                <w:tcPr>
                  <w:tcW w:w="1417" w:type="dxa"/>
                  <w:hideMark/>
                </w:tcPr>
                <w:p w14:paraId="385947A2"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-30 días</w:t>
                  </w:r>
                </w:p>
              </w:tc>
            </w:tr>
            <w:tr w:rsidR="00072956" w:rsidRPr="000B180A" w14:paraId="6DCFB239" w14:textId="77777777" w:rsidTr="007F5995">
              <w:tc>
                <w:tcPr>
                  <w:tcW w:w="4537" w:type="dxa"/>
                  <w:shd w:val="solid" w:color="C0C0C0" w:fill="FFFFFF"/>
                  <w:hideMark/>
                </w:tcPr>
                <w:p w14:paraId="1BB3CDCB"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TOTAL (con reposición)</w:t>
                  </w:r>
                </w:p>
              </w:tc>
              <w:tc>
                <w:tcPr>
                  <w:tcW w:w="2126" w:type="dxa"/>
                  <w:hideMark/>
                </w:tcPr>
                <w:p w14:paraId="5BEAA615"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402 días</w:t>
                  </w:r>
                </w:p>
              </w:tc>
              <w:tc>
                <w:tcPr>
                  <w:tcW w:w="1560" w:type="dxa"/>
                  <w:hideMark/>
                </w:tcPr>
                <w:p w14:paraId="53F25C74"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175 días</w:t>
                  </w:r>
                </w:p>
              </w:tc>
              <w:tc>
                <w:tcPr>
                  <w:tcW w:w="1417" w:type="dxa"/>
                  <w:hideMark/>
                </w:tcPr>
                <w:p w14:paraId="13D1AC67"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-227 días</w:t>
                  </w:r>
                </w:p>
              </w:tc>
            </w:tr>
            <w:tr w:rsidR="00072956" w:rsidRPr="000B180A" w14:paraId="1AFD689D" w14:textId="77777777" w:rsidTr="007F5995">
              <w:tc>
                <w:tcPr>
                  <w:tcW w:w="4537" w:type="dxa"/>
                  <w:shd w:val="solid" w:color="C0C0C0" w:fill="FFFFFF"/>
                  <w:hideMark/>
                </w:tcPr>
                <w:p w14:paraId="53F5277F"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Tiempo en la autoridad</w:t>
                  </w:r>
                </w:p>
              </w:tc>
              <w:tc>
                <w:tcPr>
                  <w:tcW w:w="2126" w:type="dxa"/>
                  <w:hideMark/>
                </w:tcPr>
                <w:p w14:paraId="7EF91776"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152 días</w:t>
                  </w:r>
                </w:p>
              </w:tc>
              <w:tc>
                <w:tcPr>
                  <w:tcW w:w="1560" w:type="dxa"/>
                  <w:hideMark/>
                </w:tcPr>
                <w:p w14:paraId="35061263"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45 días</w:t>
                  </w:r>
                </w:p>
              </w:tc>
              <w:tc>
                <w:tcPr>
                  <w:tcW w:w="1417" w:type="dxa"/>
                  <w:hideMark/>
                </w:tcPr>
                <w:p w14:paraId="44FC3801" w14:textId="77777777" w:rsidR="00072956" w:rsidRPr="000B180A" w:rsidRDefault="00072956" w:rsidP="007F5995">
                  <w:pPr>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-107 días</w:t>
                  </w:r>
                </w:p>
              </w:tc>
            </w:tr>
          </w:tbl>
          <w:p w14:paraId="06A3183E" w14:textId="77777777" w:rsidR="00072956" w:rsidRPr="000B180A" w:rsidRDefault="00072956" w:rsidP="007F5995">
            <w:pPr>
              <w:pStyle w:val="Prrafodelista"/>
              <w:shd w:val="clear" w:color="auto" w:fill="FFFFFF"/>
              <w:jc w:val="center"/>
              <w:rPr>
                <w:rFonts w:ascii="Arial Narrow" w:eastAsia="Times New Roman" w:hAnsi="Arial Narrow"/>
                <w:b/>
                <w:sz w:val="24"/>
                <w:szCs w:val="24"/>
                <w:shd w:val="clear" w:color="auto" w:fill="FFFFFF"/>
                <w:lang w:val="es-ES" w:eastAsia="es-ES"/>
              </w:rPr>
            </w:pPr>
            <w:r w:rsidRPr="000B180A">
              <w:rPr>
                <w:rFonts w:ascii="Arial Narrow" w:eastAsia="Times New Roman" w:hAnsi="Arial Narrow"/>
                <w:b/>
                <w:sz w:val="24"/>
                <w:szCs w:val="24"/>
                <w:shd w:val="clear" w:color="auto" w:fill="FFFFFF"/>
                <w:lang w:val="es-ES" w:eastAsia="es-ES"/>
              </w:rPr>
              <w:t xml:space="preserve">Fuente: </w:t>
            </w:r>
            <w:r w:rsidRPr="000B180A">
              <w:rPr>
                <w:rFonts w:ascii="Arial Narrow" w:eastAsia="Times New Roman" w:hAnsi="Arial Narrow"/>
                <w:sz w:val="24"/>
                <w:szCs w:val="24"/>
                <w:shd w:val="clear" w:color="auto" w:fill="FFFFFF"/>
                <w:lang w:val="es-ES" w:eastAsia="es-ES"/>
              </w:rPr>
              <w:t>ANLA (2025).</w:t>
            </w:r>
          </w:p>
          <w:p w14:paraId="39E5C7C2" w14:textId="77777777" w:rsidR="00072956" w:rsidRPr="000B180A" w:rsidRDefault="00072956" w:rsidP="007F5995">
            <w:pPr>
              <w:shd w:val="clear" w:color="auto" w:fill="FFFFFF"/>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La implementación del esquema Racionalizado de licenciamiento ambiental para proyectos de energía eólica introduce una transformación significativa en los tiempos asociados al trámite ambiental. Bajo el esquema regular, el proceso completo —desde la elaboración del Estudio de Impacto Ambiental (EIA) hasta la expedición de la licencia y la resolución de recursos— puede tomar hasta 402 días, con 152 días en promedio de gestión dentro de la autoridad ambiental; esta estimación no contempla la suspensión de términos por situaciones derivadas de la Consulta Previa Libre e Informada, competencia del Ministerio del Interior, o los procesos de sustracción de áreas de Ley 2da, competencia del Ministerio de Ambiente y Desarrollo Sustentable, lo que puede impactar los tiempos de evaluación en meses o años. En contraste, el nuevo esquema LAEólica reduce estos tiempos a 175 días en total, con solo 45 días de gestión en la autoridad. Las reducciones más representativas se observan en la elaboración del EIA (que pasa de 180 a 60 días), en la verificación documental (de 17 a 5 días), en la solicitud de información adicional (de 30 a 10 días), y en la expedición misma de la licencia (de 60 a 15 días), lo que implica una disminución total de 227 días frente al procedimiento regular.</w:t>
            </w:r>
          </w:p>
          <w:p w14:paraId="3F2D3106" w14:textId="77777777" w:rsidR="00072956" w:rsidRPr="000B180A" w:rsidRDefault="00072956" w:rsidP="007F5995">
            <w:pPr>
              <w:shd w:val="clear" w:color="auto" w:fill="FFFFFF"/>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Esta mejora sustancial en los tiempos tiene efectos directos y positivos para los desarrolladores de proyectos de energía eólica. Un proceso más corto significa una disminución significativa en los costos indirectos del proyecto, incluyendo costos financieros por tiempos de espera, costos legales y operativos, y riesgos asociados a cambios normativos o de mercado durante largos periodos de tramitación. Además, permite acelerar la ejecución de proyectos una vez definidos técnica y financieramente, facilitando una programación más eficiente de los cronogramas de inversión, construcción y puesta en operación. La reducción del tiempo en manos de la autoridad también fortalece la percepción de eficiencia institucional y confianza en el marco regulatorio ambiental, elementos claves para fomentar inversión privada en el sector energético renovable.</w:t>
            </w:r>
          </w:p>
          <w:p w14:paraId="43BE7AF6" w14:textId="77777777" w:rsidR="00072956" w:rsidRPr="000B180A" w:rsidRDefault="00072956" w:rsidP="007F5995">
            <w:pPr>
              <w:shd w:val="clear" w:color="auto" w:fill="FFFFFF"/>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Ahora bien, la decisión de establecer un umbral de hasta 100 megavatios (MW) para la aplicación del procedimiento racionalizado de licenciamiento ambiental responde a criterios de proporcionalidad ambiental, eficiencia regulatoria y coherencia con las mejores prácticas internacionales. Este límite permite focalizar los beneficios del esquema Racionalizado en proyectos de escala intermedia que, en la mayoría de los casos, presentan impactos ambientales previsibles, reversibles y manejables. La evidencia técnica muestra que proyectos eólicos de hasta 100</w:t>
            </w:r>
            <w:r w:rsidRPr="000B180A">
              <w:rPr>
                <w:rFonts w:cs="Arial"/>
                <w:sz w:val="24"/>
                <w:szCs w:val="24"/>
                <w:shd w:val="clear" w:color="auto" w:fill="FFFFFF"/>
                <w:lang w:val="es-CO"/>
              </w:rPr>
              <w:t> </w:t>
            </w:r>
            <w:r w:rsidRPr="000B180A">
              <w:rPr>
                <w:rFonts w:ascii="Arial Narrow" w:hAnsi="Arial Narrow" w:cs="Arial"/>
                <w:sz w:val="24"/>
                <w:szCs w:val="24"/>
                <w:shd w:val="clear" w:color="auto" w:fill="FFFFFF"/>
                <w:lang w:val="es-CO"/>
              </w:rPr>
              <w:t>MW suelen estar asociados a desarrollos modulares, con ocupación territorial acotada y menor necesidad de obras complementarias de gran escala siempre y cuando cumpla con los criterios tecnológicos y de diseño propuestos.</w:t>
            </w:r>
          </w:p>
          <w:p w14:paraId="7D8009A7" w14:textId="77777777" w:rsidR="00072956" w:rsidRPr="000B180A" w:rsidRDefault="00072956" w:rsidP="007F5995">
            <w:pPr>
              <w:shd w:val="clear" w:color="auto" w:fill="FFFFFF"/>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Internacionalmente, países como Sudáfrica, España, Chile y Alemania han adoptado criterios similares. En Sudáfrica, por ejemplo, se estableció un límite de 100</w:t>
            </w:r>
            <w:r w:rsidRPr="000B180A">
              <w:rPr>
                <w:rFonts w:cs="Arial"/>
                <w:sz w:val="24"/>
                <w:szCs w:val="24"/>
                <w:shd w:val="clear" w:color="auto" w:fill="FFFFFF"/>
                <w:lang w:val="es-CO"/>
              </w:rPr>
              <w:t> </w:t>
            </w:r>
            <w:r w:rsidRPr="000B180A">
              <w:rPr>
                <w:rFonts w:ascii="Arial Narrow" w:hAnsi="Arial Narrow" w:cs="Arial"/>
                <w:sz w:val="24"/>
                <w:szCs w:val="24"/>
                <w:shd w:val="clear" w:color="auto" w:fill="FFFFFF"/>
                <w:lang w:val="es-CO"/>
              </w:rPr>
              <w:t>MW para eximir proyectos de licencias de generación, lo que permitió reducir el tiempo de trámites ambientales de más de 300 a 90 días. Esta medida se sustentó en la capacidad técnica de la autoridad ambiental para evaluar proyectos de esta escala de manera más ágil, sin sacrificar la exigencia técnica. Por su parte, en la Unión Europea, la Directiva 2018/2001 permite a los Estados miembros aplicar exenciones o tratamientos diferenciados a proyectos renovables, siempre que se garantice una evaluación proporcional a su impacto. Esto ha llevado a que varios países europeos utilicen umbrales técnicos alrededor de los 100</w:t>
            </w:r>
            <w:r w:rsidRPr="000B180A">
              <w:rPr>
                <w:rFonts w:cs="Arial"/>
                <w:sz w:val="24"/>
                <w:szCs w:val="24"/>
                <w:shd w:val="clear" w:color="auto" w:fill="FFFFFF"/>
                <w:lang w:val="es-CO"/>
              </w:rPr>
              <w:t> </w:t>
            </w:r>
            <w:r w:rsidRPr="000B180A">
              <w:rPr>
                <w:rFonts w:ascii="Arial Narrow" w:hAnsi="Arial Narrow" w:cs="Arial"/>
                <w:sz w:val="24"/>
                <w:szCs w:val="24"/>
                <w:shd w:val="clear" w:color="auto" w:fill="FFFFFF"/>
                <w:lang w:val="es-CO"/>
              </w:rPr>
              <w:t>MW para definir cuándo se requiere una evaluación ambiental detallada.</w:t>
            </w:r>
          </w:p>
          <w:p w14:paraId="33FF4727" w14:textId="77777777" w:rsidR="00072956" w:rsidRPr="000B180A" w:rsidRDefault="00072956" w:rsidP="007F5995">
            <w:pPr>
              <w:shd w:val="clear" w:color="auto" w:fill="FFFFFF"/>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En síntesis, fijar el umbral de 100</w:t>
            </w:r>
            <w:r w:rsidRPr="000B180A">
              <w:rPr>
                <w:rFonts w:cs="Arial"/>
                <w:sz w:val="24"/>
                <w:szCs w:val="24"/>
                <w:shd w:val="clear" w:color="auto" w:fill="FFFFFF"/>
                <w:lang w:val="es-CO"/>
              </w:rPr>
              <w:t> </w:t>
            </w:r>
            <w:r w:rsidRPr="000B180A">
              <w:rPr>
                <w:rFonts w:ascii="Arial Narrow" w:hAnsi="Arial Narrow" w:cs="Arial"/>
                <w:sz w:val="24"/>
                <w:szCs w:val="24"/>
                <w:shd w:val="clear" w:color="auto" w:fill="FFFFFF"/>
                <w:lang w:val="es-CO"/>
              </w:rPr>
              <w:t>MW para acceder al procedimiento racionalizado de licenciamiento ambiental en proyectos eólicos  representa una decisión técnica, eficiente y jurídicamente sólida. No solo está alineada con estándares internacionales y experiencias exitosas, sino que también garantiza una adecuada gestión del impacto ambiental, sin sacrificar los principios de celeridad, eficiencia y racionalidad del Estado. De esta manera, se facilita el avance de la transición energética, se atrae inversión privada con mayor certeza jurídica y se fortalece la confianza en la institucionalidad ambiental del país.</w:t>
            </w:r>
          </w:p>
          <w:p w14:paraId="635963D4" w14:textId="77777777" w:rsidR="00072956" w:rsidRPr="000B180A" w:rsidRDefault="00072956" w:rsidP="007F5995">
            <w:pPr>
              <w:shd w:val="clear" w:color="auto" w:fill="FFFFFF" w:themeFill="background1"/>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Por otra parte, este nuevo esquema contribuye de manera estratégica a los compromisos de Colombia en materia de cambio climático, transición energética y cumplimiento del NDC (Contribución Nacionalmente Determinada). Al mismo tiempo, facilita la implementación de proyectos eólicos, sometido condiciones que hacen compatible las actividades con los recursos naturales y el medio ambiente. De esta forma, se asegura que la racionalización procedimental no implique una disminución en las exigencias ambientales, sino una gestión más enfocada, eficiente y proporcional al nivel de impacto. Esta medida fortalece la coherencia entre la política ambiental y la política energética, permitiendo avanzar con mayor agilidad en el despliegue de energías limpias, reducir la dependencia de fuentes fósiles y contribuir a una matriz energética más resiliente y sostenible a largo plazo.</w:t>
            </w:r>
          </w:p>
          <w:p w14:paraId="7757B2D9" w14:textId="77777777" w:rsidR="00072956" w:rsidRPr="000B180A" w:rsidRDefault="00072956" w:rsidP="00233CB3">
            <w:pPr>
              <w:shd w:val="clear" w:color="auto" w:fill="FFFFFF"/>
              <w:spacing w:before="100" w:beforeAutospacing="1" w:after="100" w:afterAutospacing="1"/>
              <w:jc w:val="both"/>
              <w:rPr>
                <w:rFonts w:ascii="Arial Narrow" w:hAnsi="Arial Narrow" w:cs="Arial"/>
                <w:sz w:val="24"/>
                <w:szCs w:val="24"/>
                <w:shd w:val="clear" w:color="auto" w:fill="FFFFFF"/>
                <w:lang w:val="es-CO"/>
              </w:rPr>
            </w:pPr>
            <w:r w:rsidRPr="000B180A">
              <w:rPr>
                <w:rFonts w:ascii="Arial Narrow" w:hAnsi="Arial Narrow" w:cs="Arial"/>
                <w:sz w:val="24"/>
                <w:szCs w:val="24"/>
                <w:shd w:val="clear" w:color="auto" w:fill="FFFFFF"/>
                <w:lang w:val="es-CO"/>
              </w:rPr>
              <w:t>Finalmente, esta propuesta normativa no solo busca agilizar el despliegue de energías limpias, sino también crear un entorno más favorable para la inversión, impulsando el crecimiento de un sector estratégico que contribuye al desarrollo económico local y a la generación de empleo. Al mismo tiempo, refuerza el cumplimiento del derecho constitucional a un ambiente sano, alineando la política ambiental con los objetivos nacionales de sostenibilidad energética y cambio climático. En conjunto, representa un avance clave hacia una regulación moderna, técnica y proporcional al impacto real de los proyectos eólicos de mediana escala.</w:t>
            </w:r>
          </w:p>
        </w:tc>
      </w:tr>
      <w:tr w:rsidR="00072956" w:rsidRPr="00431BB6" w14:paraId="647BA7DE" w14:textId="77777777" w:rsidTr="008BADD2">
        <w:trPr>
          <w:trHeight w:val="66"/>
        </w:trPr>
        <w:tc>
          <w:tcPr>
            <w:tcW w:w="10740" w:type="dxa"/>
            <w:gridSpan w:val="3"/>
            <w:tcBorders>
              <w:top w:val="single" w:sz="4" w:space="0" w:color="auto"/>
              <w:bottom w:val="single" w:sz="4" w:space="0" w:color="auto"/>
            </w:tcBorders>
            <w:shd w:val="clear" w:color="auto" w:fill="FFFFFF" w:themeFill="background1"/>
            <w:vAlign w:val="center"/>
          </w:tcPr>
          <w:p w14:paraId="7D12F895" w14:textId="77777777" w:rsidR="00072956" w:rsidRDefault="00072956" w:rsidP="007F5995">
            <w:pPr>
              <w:numPr>
                <w:ilvl w:val="0"/>
                <w:numId w:val="3"/>
              </w:numPr>
              <w:rPr>
                <w:rFonts w:ascii="Arial Narrow" w:hAnsi="Arial Narrow" w:cs="Arial"/>
                <w:b/>
                <w:color w:val="000000"/>
                <w:sz w:val="22"/>
                <w:szCs w:val="22"/>
              </w:rPr>
            </w:pPr>
            <w:r w:rsidRPr="00431BB6">
              <w:rPr>
                <w:rFonts w:ascii="Arial Narrow" w:hAnsi="Arial Narrow" w:cs="Arial"/>
                <w:b/>
                <w:color w:val="000000"/>
                <w:sz w:val="22"/>
                <w:szCs w:val="22"/>
              </w:rPr>
              <w:lastRenderedPageBreak/>
              <w:t>AMBITO DE APLICACIÓN Y SUJETOS A QUIENES VA DIRIGIDO</w:t>
            </w:r>
          </w:p>
          <w:p w14:paraId="5BD75F4B" w14:textId="77777777" w:rsidR="00072956" w:rsidRPr="00431BB6" w:rsidRDefault="00072956" w:rsidP="007F5995">
            <w:pPr>
              <w:ind w:left="720"/>
              <w:rPr>
                <w:rFonts w:ascii="Arial Narrow" w:hAnsi="Arial Narrow" w:cs="Arial"/>
                <w:b/>
                <w:color w:val="000000"/>
                <w:sz w:val="22"/>
                <w:szCs w:val="22"/>
              </w:rPr>
            </w:pPr>
          </w:p>
          <w:p w14:paraId="706FA120" w14:textId="77777777" w:rsidR="00072956" w:rsidRDefault="00072956" w:rsidP="007F5995">
            <w:pPr>
              <w:jc w:val="both"/>
              <w:rPr>
                <w:rFonts w:ascii="Arial Narrow" w:hAnsi="Arial Narrow" w:cs="Arial"/>
                <w:iCs/>
                <w:sz w:val="22"/>
                <w:szCs w:val="22"/>
              </w:rPr>
            </w:pPr>
            <w:r w:rsidRPr="00035506">
              <w:rPr>
                <w:rFonts w:ascii="Arial Narrow" w:hAnsi="Arial Narrow" w:cs="Arial"/>
                <w:iCs/>
                <w:sz w:val="22"/>
                <w:szCs w:val="22"/>
              </w:rPr>
              <w:t>En relación con los sujetos, serán la Autoridad Nacional de Licencias Ambientales</w:t>
            </w:r>
            <w:r>
              <w:rPr>
                <w:rFonts w:ascii="Arial Narrow" w:hAnsi="Arial Narrow" w:cs="Arial"/>
                <w:iCs/>
                <w:sz w:val="22"/>
                <w:szCs w:val="22"/>
              </w:rPr>
              <w:t xml:space="preserve"> (ANLA)</w:t>
            </w:r>
            <w:r w:rsidRPr="00035506">
              <w:rPr>
                <w:rFonts w:ascii="Arial Narrow" w:hAnsi="Arial Narrow" w:cs="Arial"/>
                <w:iCs/>
                <w:sz w:val="22"/>
                <w:szCs w:val="22"/>
              </w:rPr>
              <w:t xml:space="preserve"> y las personas interesadas en adelantar o tramitar una licencia ambiental respecto de proyectos de generación de energía </w:t>
            </w:r>
            <w:r>
              <w:rPr>
                <w:rFonts w:ascii="Arial Narrow" w:hAnsi="Arial Narrow" w:cs="Arial"/>
                <w:iCs/>
                <w:sz w:val="22"/>
                <w:szCs w:val="22"/>
              </w:rPr>
              <w:t>eólica</w:t>
            </w:r>
            <w:r w:rsidRPr="00035506">
              <w:rPr>
                <w:rFonts w:ascii="Arial Narrow" w:hAnsi="Arial Narrow" w:cs="Arial"/>
                <w:iCs/>
                <w:sz w:val="22"/>
                <w:szCs w:val="22"/>
              </w:rPr>
              <w:t xml:space="preserve"> con una capacidad instalada igual o superior a diez (10) MW e igual a cien (100) MW.</w:t>
            </w:r>
          </w:p>
          <w:p w14:paraId="05854383" w14:textId="77777777" w:rsidR="00072956" w:rsidRPr="00431BB6" w:rsidRDefault="00072956" w:rsidP="007F5995">
            <w:pPr>
              <w:jc w:val="both"/>
              <w:rPr>
                <w:rFonts w:ascii="Arial Narrow" w:hAnsi="Arial Narrow" w:cs="Arial"/>
                <w:iCs/>
                <w:color w:val="000000"/>
                <w:sz w:val="22"/>
                <w:szCs w:val="22"/>
              </w:rPr>
            </w:pPr>
          </w:p>
        </w:tc>
      </w:tr>
      <w:tr w:rsidR="00072956" w:rsidRPr="00431BB6" w14:paraId="6C5E6A55" w14:textId="77777777" w:rsidTr="008BADD2">
        <w:trPr>
          <w:trHeight w:val="1883"/>
        </w:trPr>
        <w:tc>
          <w:tcPr>
            <w:tcW w:w="10740" w:type="dxa"/>
            <w:gridSpan w:val="3"/>
            <w:tcBorders>
              <w:bottom w:val="single" w:sz="4" w:space="0" w:color="auto"/>
            </w:tcBorders>
            <w:shd w:val="clear" w:color="auto" w:fill="FFFFFF" w:themeFill="background1"/>
            <w:vAlign w:val="center"/>
          </w:tcPr>
          <w:p w14:paraId="76E3E116" w14:textId="77777777" w:rsidR="00072956" w:rsidRPr="00431BB6" w:rsidRDefault="00072956" w:rsidP="007F5995">
            <w:pPr>
              <w:numPr>
                <w:ilvl w:val="0"/>
                <w:numId w:val="3"/>
              </w:numPr>
              <w:rPr>
                <w:rFonts w:ascii="Arial Narrow" w:hAnsi="Arial Narrow" w:cs="Arial"/>
                <w:b/>
                <w:color w:val="000000"/>
                <w:sz w:val="22"/>
                <w:szCs w:val="22"/>
              </w:rPr>
            </w:pPr>
            <w:r w:rsidRPr="00431BB6">
              <w:rPr>
                <w:rFonts w:ascii="Arial Narrow" w:hAnsi="Arial Narrow" w:cs="Arial"/>
                <w:b/>
                <w:color w:val="000000"/>
                <w:sz w:val="22"/>
                <w:szCs w:val="22"/>
              </w:rPr>
              <w:t>VIABILIDAD JURÍDICA</w:t>
            </w:r>
          </w:p>
          <w:p w14:paraId="1F3F0959" w14:textId="77777777" w:rsidR="00072956" w:rsidRPr="00431BB6" w:rsidRDefault="00072956" w:rsidP="007F5995">
            <w:pPr>
              <w:ind w:left="494" w:hanging="283"/>
              <w:rPr>
                <w:rFonts w:ascii="Arial Narrow" w:hAnsi="Arial Narrow" w:cs="Arial"/>
                <w:i/>
                <w:color w:val="808080"/>
                <w:sz w:val="18"/>
                <w:szCs w:val="22"/>
              </w:rPr>
            </w:pPr>
            <w:r w:rsidRPr="00431BB6">
              <w:rPr>
                <w:rFonts w:ascii="Arial Narrow" w:hAnsi="Arial Narrow" w:cs="Arial"/>
                <w:i/>
                <w:color w:val="808080"/>
                <w:sz w:val="18"/>
                <w:szCs w:val="22"/>
              </w:rPr>
              <w:t>(Por favor desarrolle cada uno de los siguientes puntos)</w:t>
            </w:r>
          </w:p>
          <w:p w14:paraId="505654A7" w14:textId="77777777" w:rsidR="00072956" w:rsidRPr="00431BB6" w:rsidRDefault="00072956" w:rsidP="007F5995">
            <w:pPr>
              <w:ind w:left="494" w:hanging="283"/>
              <w:rPr>
                <w:rFonts w:ascii="Arial Narrow" w:hAnsi="Arial Narrow" w:cs="Arial"/>
                <w:i/>
                <w:color w:val="808080"/>
                <w:sz w:val="22"/>
                <w:szCs w:val="22"/>
              </w:rPr>
            </w:pPr>
          </w:p>
          <w:p w14:paraId="1AFA62C9" w14:textId="77777777" w:rsidR="00072956" w:rsidRDefault="00072956" w:rsidP="007F5995">
            <w:pPr>
              <w:numPr>
                <w:ilvl w:val="1"/>
                <w:numId w:val="3"/>
              </w:numPr>
              <w:jc w:val="both"/>
              <w:rPr>
                <w:rFonts w:ascii="Arial Narrow" w:hAnsi="Arial Narrow" w:cs="Arial"/>
                <w:sz w:val="22"/>
                <w:szCs w:val="22"/>
                <w:lang w:val="es-CO" w:eastAsia="es-CO"/>
              </w:rPr>
            </w:pPr>
            <w:r w:rsidRPr="00431BB6">
              <w:rPr>
                <w:rFonts w:ascii="Arial Narrow" w:hAnsi="Arial Narrow" w:cs="Arial"/>
                <w:sz w:val="22"/>
                <w:szCs w:val="22"/>
                <w:lang w:val="es-CO" w:eastAsia="es-CO"/>
              </w:rPr>
              <w:t>Análisis de las normas que otorgan la competencia para la expedición del proyecto normativo</w:t>
            </w:r>
            <w:r>
              <w:rPr>
                <w:rFonts w:ascii="Arial Narrow" w:hAnsi="Arial Narrow" w:cs="Arial"/>
                <w:sz w:val="22"/>
                <w:szCs w:val="22"/>
                <w:lang w:val="es-CO" w:eastAsia="es-CO"/>
              </w:rPr>
              <w:t>.</w:t>
            </w:r>
          </w:p>
          <w:p w14:paraId="12AC83E0" w14:textId="77777777" w:rsidR="00072956" w:rsidRDefault="00072956" w:rsidP="007F5995">
            <w:pPr>
              <w:jc w:val="both"/>
              <w:rPr>
                <w:rFonts w:ascii="Arial Narrow" w:hAnsi="Arial Narrow" w:cs="Arial"/>
                <w:sz w:val="22"/>
                <w:szCs w:val="22"/>
                <w:lang w:val="es-CO" w:eastAsia="es-CO"/>
              </w:rPr>
            </w:pPr>
          </w:p>
          <w:p w14:paraId="7F4BED75" w14:textId="77777777" w:rsidR="00072956" w:rsidRPr="00625EA1" w:rsidRDefault="00072956" w:rsidP="007F5995">
            <w:pPr>
              <w:jc w:val="both"/>
              <w:rPr>
                <w:rFonts w:ascii="Arial Narrow" w:hAnsi="Arial Narrow" w:cs="Arial"/>
                <w:i/>
                <w:sz w:val="22"/>
                <w:szCs w:val="22"/>
                <w:lang w:eastAsia="es-CO"/>
              </w:rPr>
            </w:pPr>
            <w:r w:rsidRPr="00625EA1">
              <w:rPr>
                <w:rFonts w:ascii="Arial Narrow" w:hAnsi="Arial Narrow" w:cs="Arial"/>
                <w:b/>
                <w:bCs/>
                <w:sz w:val="22"/>
                <w:szCs w:val="22"/>
                <w:u w:val="single"/>
                <w:lang w:eastAsia="es-CO"/>
              </w:rPr>
              <w:t xml:space="preserve">Potestad reglamentaria del presidente: </w:t>
            </w:r>
            <w:bookmarkStart w:id="10" w:name="189"/>
            <w:bookmarkEnd w:id="10"/>
            <w:r w:rsidRPr="00625EA1">
              <w:rPr>
                <w:rFonts w:ascii="Arial Narrow" w:hAnsi="Arial Narrow" w:cs="Arial"/>
                <w:b/>
                <w:bCs/>
                <w:sz w:val="22"/>
                <w:szCs w:val="22"/>
                <w:u w:val="single"/>
                <w:lang w:eastAsia="es-CO"/>
              </w:rPr>
              <w:t>Artículo 189 de la Constitución Política</w:t>
            </w:r>
            <w:r w:rsidRPr="00625EA1">
              <w:rPr>
                <w:rFonts w:ascii="Arial Narrow" w:hAnsi="Arial Narrow" w:cs="Arial"/>
                <w:b/>
                <w:bCs/>
                <w:sz w:val="22"/>
                <w:szCs w:val="22"/>
                <w:lang w:eastAsia="es-CO"/>
              </w:rPr>
              <w:t>.</w:t>
            </w:r>
            <w:r w:rsidRPr="00625EA1">
              <w:rPr>
                <w:rFonts w:ascii="Arial Narrow" w:hAnsi="Arial Narrow" w:cs="Arial"/>
                <w:b/>
                <w:bCs/>
                <w:i/>
                <w:sz w:val="22"/>
                <w:szCs w:val="22"/>
                <w:lang w:eastAsia="es-CO"/>
              </w:rPr>
              <w:t> </w:t>
            </w:r>
            <w:r w:rsidRPr="00625EA1">
              <w:rPr>
                <w:rFonts w:ascii="Arial Narrow" w:hAnsi="Arial Narrow" w:cs="Arial"/>
                <w:i/>
                <w:sz w:val="22"/>
                <w:szCs w:val="22"/>
                <w:lang w:eastAsia="es-CO"/>
              </w:rPr>
              <w:t>Corresponde al presidente de la República como jefe de Estado, Jefe del Gobierno y Suprema Autoridad Administrativa: (…) 11. Ejercer la potestad reglamentaria, mediante la expedición de los decretos, resoluciones y ordenes necesarios para la cumplida ejecución de las leyes.</w:t>
            </w:r>
          </w:p>
          <w:p w14:paraId="1EE18D7A" w14:textId="77777777" w:rsidR="00072956" w:rsidRPr="00625EA1" w:rsidRDefault="00072956" w:rsidP="007F5995">
            <w:pPr>
              <w:jc w:val="both"/>
              <w:rPr>
                <w:rFonts w:ascii="Arial Narrow" w:hAnsi="Arial Narrow" w:cs="Arial"/>
                <w:i/>
                <w:sz w:val="22"/>
                <w:szCs w:val="22"/>
                <w:lang w:eastAsia="es-CO"/>
              </w:rPr>
            </w:pPr>
          </w:p>
          <w:p w14:paraId="4DFD516B" w14:textId="77777777" w:rsidR="00072956" w:rsidRPr="00625EA1" w:rsidRDefault="00072956" w:rsidP="007F5995">
            <w:pPr>
              <w:jc w:val="both"/>
              <w:rPr>
                <w:rFonts w:ascii="Arial Narrow" w:hAnsi="Arial Narrow" w:cs="Arial"/>
                <w:i/>
                <w:sz w:val="22"/>
                <w:szCs w:val="22"/>
                <w:lang w:eastAsia="es-CO"/>
              </w:rPr>
            </w:pPr>
            <w:r w:rsidRPr="00625EA1">
              <w:rPr>
                <w:rFonts w:ascii="Arial Narrow" w:hAnsi="Arial Narrow" w:cs="Arial"/>
                <w:i/>
                <w:sz w:val="22"/>
                <w:szCs w:val="22"/>
                <w:lang w:val="es-ES_tradnl" w:eastAsia="es-CO"/>
              </w:rPr>
              <w:t> “</w:t>
            </w:r>
            <w:r w:rsidRPr="00625EA1">
              <w:rPr>
                <w:rFonts w:ascii="Arial Narrow" w:hAnsi="Arial Narrow" w:cs="Arial"/>
                <w:i/>
                <w:sz w:val="22"/>
                <w:szCs w:val="22"/>
                <w:lang w:eastAsia="es-CO"/>
              </w:rPr>
              <w:t>La Corte Constitucional ha definido la potestad reglamentaria del presidente como la facultad general que la Constitución confiere al primer mandatario para </w:t>
            </w:r>
            <w:r w:rsidRPr="00625EA1">
              <w:rPr>
                <w:rFonts w:ascii="Arial Narrow" w:hAnsi="Arial Narrow" w:cs="Arial"/>
                <w:i/>
                <w:sz w:val="22"/>
                <w:szCs w:val="22"/>
                <w:lang w:val="es-ES_tradnl" w:eastAsia="es-CO"/>
              </w:rPr>
              <w:t>dictar</w:t>
            </w:r>
            <w:r w:rsidRPr="00625EA1">
              <w:rPr>
                <w:rFonts w:ascii="Arial Narrow" w:hAnsi="Arial Narrow" w:cs="Arial"/>
                <w:i/>
                <w:iCs/>
                <w:sz w:val="22"/>
                <w:szCs w:val="22"/>
                <w:lang w:val="es-ES_tradnl" w:eastAsia="es-CO"/>
              </w:rPr>
              <w:t> </w:t>
            </w:r>
            <w:r w:rsidRPr="00625EA1">
              <w:rPr>
                <w:rFonts w:ascii="Arial Narrow" w:hAnsi="Arial Narrow" w:cs="Arial"/>
                <w:i/>
                <w:sz w:val="22"/>
                <w:szCs w:val="22"/>
                <w:lang w:val="es-ES_tradnl" w:eastAsia="es-CO"/>
              </w:rPr>
              <w:t>“</w:t>
            </w:r>
            <w:r w:rsidRPr="00625EA1">
              <w:rPr>
                <w:rFonts w:ascii="Arial Narrow" w:hAnsi="Arial Narrow" w:cs="Arial"/>
                <w:i/>
                <w:iCs/>
                <w:sz w:val="22"/>
                <w:szCs w:val="22"/>
                <w:lang w:val="es-ES_tradnl" w:eastAsia="es-CO"/>
              </w:rPr>
              <w:t>normas de carácter general</w:t>
            </w:r>
            <w:r w:rsidRPr="00625EA1">
              <w:rPr>
                <w:rFonts w:ascii="Arial Narrow" w:hAnsi="Arial Narrow" w:cs="Arial"/>
                <w:i/>
                <w:sz w:val="22"/>
                <w:szCs w:val="22"/>
                <w:lang w:val="es-ES_tradnl" w:eastAsia="es-CO"/>
              </w:rPr>
              <w:t>” destinadas</w:t>
            </w:r>
            <w:r w:rsidRPr="00625EA1">
              <w:rPr>
                <w:rFonts w:ascii="Arial Narrow" w:hAnsi="Arial Narrow" w:cs="Arial"/>
                <w:i/>
                <w:iCs/>
                <w:sz w:val="22"/>
                <w:szCs w:val="22"/>
                <w:lang w:val="es-ES_tradnl" w:eastAsia="es-CO"/>
              </w:rPr>
              <w:t> </w:t>
            </w:r>
            <w:r w:rsidRPr="00625EA1">
              <w:rPr>
                <w:rFonts w:ascii="Arial Narrow" w:hAnsi="Arial Narrow" w:cs="Arial"/>
                <w:i/>
                <w:sz w:val="22"/>
                <w:szCs w:val="22"/>
                <w:lang w:val="es-ES_tradnl" w:eastAsia="es-CO"/>
              </w:rPr>
              <w:t>a “</w:t>
            </w:r>
            <w:r w:rsidRPr="00625EA1">
              <w:rPr>
                <w:rFonts w:ascii="Arial Narrow" w:hAnsi="Arial Narrow" w:cs="Arial"/>
                <w:i/>
                <w:iCs/>
                <w:sz w:val="22"/>
                <w:szCs w:val="22"/>
                <w:lang w:val="es-ES_tradnl" w:eastAsia="es-CO"/>
              </w:rPr>
              <w:t>la correcta ejecución y cumplimiento de la ley</w:t>
            </w:r>
            <w:r w:rsidRPr="00625EA1">
              <w:rPr>
                <w:rFonts w:ascii="Arial Narrow" w:hAnsi="Arial Narrow" w:cs="Arial"/>
                <w:i/>
                <w:sz w:val="22"/>
                <w:szCs w:val="22"/>
                <w:lang w:val="es-ES_tradnl" w:eastAsia="es-CO"/>
              </w:rPr>
              <w:t>. La potestad reglamentaria del presidente tiene como propósito “</w:t>
            </w:r>
            <w:r w:rsidRPr="00625EA1">
              <w:rPr>
                <w:rFonts w:ascii="Arial Narrow" w:hAnsi="Arial Narrow" w:cs="Arial"/>
                <w:i/>
                <w:iCs/>
                <w:sz w:val="22"/>
                <w:szCs w:val="22"/>
                <w:lang w:val="es-ES_tradnl" w:eastAsia="es-CO"/>
              </w:rPr>
              <w:t>desarrollar las reglas generales consagradas </w:t>
            </w:r>
            <w:r w:rsidRPr="00625EA1">
              <w:rPr>
                <w:rFonts w:ascii="Arial Narrow" w:hAnsi="Arial Narrow" w:cs="Arial"/>
                <w:i/>
                <w:sz w:val="22"/>
                <w:szCs w:val="22"/>
                <w:lang w:val="es-ES_tradnl" w:eastAsia="es-CO"/>
              </w:rPr>
              <w:t>en la ley, </w:t>
            </w:r>
            <w:r w:rsidRPr="00625EA1">
              <w:rPr>
                <w:rFonts w:ascii="Arial Narrow" w:hAnsi="Arial Narrow" w:cs="Arial"/>
                <w:i/>
                <w:iCs/>
                <w:sz w:val="22"/>
                <w:szCs w:val="22"/>
                <w:lang w:val="es-ES_tradnl" w:eastAsia="es-CO"/>
              </w:rPr>
              <w:t>explicitar sus contenidos, hipótesis y supuestos, e indicar la manera de cumplir lo reglado, es decir, hacerla operativa</w:t>
            </w:r>
            <w:r w:rsidRPr="00625EA1">
              <w:rPr>
                <w:rFonts w:ascii="Arial Narrow" w:hAnsi="Arial Narrow" w:cs="Arial"/>
                <w:i/>
                <w:sz w:val="22"/>
                <w:szCs w:val="22"/>
                <w:lang w:val="es-ES_tradnl" w:eastAsia="es-CO"/>
              </w:rPr>
              <w:t>”</w:t>
            </w:r>
            <w:r w:rsidRPr="00625EA1">
              <w:rPr>
                <w:rStyle w:val="Refdenotaalpie"/>
                <w:rFonts w:ascii="Arial Narrow" w:hAnsi="Arial Narrow" w:cs="Arial"/>
                <w:i/>
                <w:sz w:val="22"/>
                <w:szCs w:val="22"/>
                <w:lang w:val="es-ES_tradnl" w:eastAsia="es-CO"/>
              </w:rPr>
              <w:footnoteReference w:id="3"/>
            </w:r>
            <w:r w:rsidRPr="00625EA1">
              <w:rPr>
                <w:rFonts w:ascii="Arial Narrow" w:hAnsi="Arial Narrow" w:cs="Arial"/>
                <w:i/>
                <w:sz w:val="22"/>
                <w:szCs w:val="22"/>
                <w:lang w:val="es-ES_tradnl" w:eastAsia="es-CO"/>
              </w:rPr>
              <w:t>.</w:t>
            </w:r>
          </w:p>
          <w:p w14:paraId="0A295662" w14:textId="77777777" w:rsidR="00072956" w:rsidRPr="00625EA1" w:rsidRDefault="00072956" w:rsidP="007F5995">
            <w:pPr>
              <w:jc w:val="both"/>
              <w:rPr>
                <w:rFonts w:ascii="Arial Narrow" w:hAnsi="Arial Narrow" w:cs="Arial"/>
                <w:sz w:val="22"/>
                <w:szCs w:val="22"/>
                <w:lang w:val="es-CO" w:eastAsia="es-CO"/>
              </w:rPr>
            </w:pPr>
          </w:p>
          <w:p w14:paraId="6EE39F47" w14:textId="77777777" w:rsidR="00072956" w:rsidRPr="00625EA1" w:rsidRDefault="00072956" w:rsidP="007F5995">
            <w:pPr>
              <w:jc w:val="both"/>
              <w:rPr>
                <w:rFonts w:ascii="Arial Narrow" w:hAnsi="Arial Narrow" w:cs="Arial"/>
                <w:sz w:val="22"/>
                <w:szCs w:val="22"/>
                <w:lang w:val="es-CO" w:eastAsia="es-CO"/>
              </w:rPr>
            </w:pPr>
            <w:r w:rsidRPr="00625EA1">
              <w:rPr>
                <w:rFonts w:ascii="Arial Narrow" w:hAnsi="Arial Narrow" w:cs="Arial"/>
                <w:sz w:val="22"/>
                <w:szCs w:val="22"/>
                <w:lang w:val="es-CO" w:eastAsia="es-CO"/>
              </w:rPr>
              <w:t>En desarrollo de los artículos 8, 79, 80 y numeral 8 del artículo 95 de la Constitución Política se emitió la Ley 99 de 1993, a través de la cual, se restructuró la política ambiental nacional, donde se contempla diferentes instrumentos de manejo y control ambiental para dar cumplimiento a las obligaciones a cargo del Estado, como lo son: el trámite de Licencia Ambiental y el seguimiento ambiental de proyectos, entre otros.</w:t>
            </w:r>
          </w:p>
          <w:p w14:paraId="2D62510B" w14:textId="77777777" w:rsidR="00072956" w:rsidRPr="00625EA1" w:rsidRDefault="00072956" w:rsidP="007F5995">
            <w:pPr>
              <w:jc w:val="both"/>
              <w:rPr>
                <w:rFonts w:ascii="Arial Narrow" w:hAnsi="Arial Narrow" w:cs="Arial"/>
                <w:sz w:val="22"/>
                <w:szCs w:val="22"/>
                <w:lang w:val="es-CO" w:eastAsia="es-CO"/>
              </w:rPr>
            </w:pPr>
          </w:p>
          <w:p w14:paraId="2FCBDC5A" w14:textId="77777777" w:rsidR="00072956" w:rsidRDefault="00072956" w:rsidP="007F5995">
            <w:pPr>
              <w:jc w:val="both"/>
            </w:pPr>
            <w:r w:rsidRPr="00625EA1">
              <w:rPr>
                <w:rFonts w:ascii="Arial Narrow" w:hAnsi="Arial Narrow" w:cs="Arial"/>
                <w:sz w:val="22"/>
                <w:szCs w:val="22"/>
                <w:lang w:val="es-CO" w:eastAsia="es-CO"/>
              </w:rPr>
              <w:t>En el artículo 5 de la Ley 99 de 1993 se establecieron como funciones del Ministerio de Ambiente (hoy, Ministerio de Ambiente y Desarrollo Sostenible), la definición y regulación de los instrumentos administrativos y mecanismos necesarios para la prevención y el control de los factores de deterioro ambiental y determinar los criterios de evaluación, seguimiento y manejo ambiental de las actividades económicas.</w:t>
            </w:r>
            <w:r>
              <w:t xml:space="preserve"> </w:t>
            </w:r>
          </w:p>
          <w:p w14:paraId="3AD13BDE" w14:textId="77777777" w:rsidR="00072956" w:rsidRDefault="00072956" w:rsidP="007F5995">
            <w:pPr>
              <w:jc w:val="both"/>
            </w:pPr>
          </w:p>
          <w:p w14:paraId="07F27EF5" w14:textId="77777777" w:rsidR="00072956" w:rsidRPr="00625EA1" w:rsidRDefault="00072956" w:rsidP="007F5995">
            <w:pPr>
              <w:jc w:val="both"/>
              <w:rPr>
                <w:rFonts w:ascii="Arial Narrow" w:hAnsi="Arial Narrow" w:cs="Arial"/>
                <w:sz w:val="22"/>
                <w:szCs w:val="22"/>
                <w:lang w:val="es-CO" w:eastAsia="es-CO"/>
              </w:rPr>
            </w:pPr>
            <w:r w:rsidRPr="00895440">
              <w:rPr>
                <w:rFonts w:ascii="Arial Narrow" w:hAnsi="Arial Narrow" w:cs="Arial"/>
                <w:sz w:val="22"/>
                <w:szCs w:val="22"/>
                <w:lang w:val="es-CO" w:eastAsia="es-CO"/>
              </w:rPr>
              <w:t>Así mismo, en los artículos 49 y 50 ibidem, se dispone que el licenciamiento ambiental es un instrumento previsto para aquellas actividades o proyectos que en su ejecución potencialmente puedan generar un deterioro grave a los recursos naturales renovables o al medio ambiente o introducir modificaciones considerables o notorias al paisaje; y que, por medio de este instrumento se imponen obligaciones al titular de la misma para contrarrestar los impactos adversos que puedan generarse con su ejecución en el entorno.</w:t>
            </w:r>
          </w:p>
          <w:p w14:paraId="7CFD1F2B" w14:textId="77777777" w:rsidR="00072956" w:rsidRPr="00625EA1" w:rsidRDefault="00072956" w:rsidP="007F5995">
            <w:pPr>
              <w:jc w:val="both"/>
              <w:rPr>
                <w:rFonts w:ascii="Arial Narrow" w:hAnsi="Arial Narrow" w:cs="Arial"/>
                <w:sz w:val="22"/>
                <w:szCs w:val="22"/>
                <w:lang w:val="es-CO" w:eastAsia="es-CO"/>
              </w:rPr>
            </w:pPr>
          </w:p>
          <w:p w14:paraId="15A1AE3C" w14:textId="77777777" w:rsidR="00072956" w:rsidRPr="00625EA1" w:rsidRDefault="00072956" w:rsidP="007F5995">
            <w:pPr>
              <w:jc w:val="both"/>
              <w:rPr>
                <w:rFonts w:ascii="Arial Narrow" w:hAnsi="Arial Narrow" w:cs="Arial"/>
                <w:sz w:val="22"/>
                <w:szCs w:val="22"/>
                <w:lang w:val="es-CO" w:eastAsia="es-CO"/>
              </w:rPr>
            </w:pPr>
            <w:r w:rsidRPr="00625EA1">
              <w:rPr>
                <w:rFonts w:ascii="Arial Narrow" w:hAnsi="Arial Narrow"/>
                <w:sz w:val="22"/>
                <w:szCs w:val="22"/>
                <w:lang w:val="es-CO" w:eastAsia="es-CO"/>
              </w:rPr>
              <w:t>El artículo 53 de la Ley 99 de 1993 establece que el Gobierno Nacional por medio de reglamento establecerá los casos en que las Corporaciones Autónomas Regionales otorgarán Licencias Ambientales y aquellos en que se requiera Estudio de Impacto Ambiental y Diagnóstico Ambiental de Alternativas.</w:t>
            </w:r>
          </w:p>
          <w:p w14:paraId="76A5DFC7" w14:textId="77777777" w:rsidR="00072956" w:rsidRPr="00625EA1" w:rsidRDefault="00072956" w:rsidP="007F5995">
            <w:pPr>
              <w:jc w:val="both"/>
              <w:rPr>
                <w:rFonts w:ascii="Arial Narrow" w:hAnsi="Arial Narrow" w:cs="Arial"/>
                <w:sz w:val="22"/>
                <w:szCs w:val="22"/>
                <w:lang w:val="es-CO" w:eastAsia="es-CO"/>
              </w:rPr>
            </w:pPr>
          </w:p>
          <w:p w14:paraId="5486C708" w14:textId="77777777" w:rsidR="00072956" w:rsidRDefault="00072956" w:rsidP="007F5995">
            <w:pPr>
              <w:jc w:val="both"/>
              <w:rPr>
                <w:rFonts w:ascii="Arial Narrow" w:hAnsi="Arial Narrow" w:cs="Arial"/>
                <w:sz w:val="22"/>
                <w:szCs w:val="22"/>
                <w:lang w:val="es-CO" w:eastAsia="es-CO"/>
              </w:rPr>
            </w:pPr>
            <w:r w:rsidRPr="00625EA1">
              <w:rPr>
                <w:rFonts w:ascii="Arial Narrow" w:hAnsi="Arial Narrow" w:cs="Arial"/>
                <w:sz w:val="22"/>
                <w:szCs w:val="22"/>
                <w:lang w:val="es-CO" w:eastAsia="es-CO"/>
              </w:rPr>
              <w:t>A su turno, el Decreto 3570 del 27 de septiembre de 2011, consagró como objetivos del Ministerio de Ambiente y Desarrollo Sostenible, la definición de las regulaciones a las que se sujetarán la recuperación, conservación, protección, ordenamiento, manejo, uso y aprovechamiento de los recursos naturales renovables y el ambiente de la Nación, a fin de asegurar el desarrollo sostenible.</w:t>
            </w:r>
          </w:p>
          <w:p w14:paraId="518E73EB" w14:textId="77777777" w:rsidR="00072956" w:rsidRDefault="00072956" w:rsidP="007F5995">
            <w:pPr>
              <w:jc w:val="both"/>
              <w:rPr>
                <w:rFonts w:ascii="Arial Narrow" w:hAnsi="Arial Narrow" w:cs="Arial"/>
                <w:sz w:val="22"/>
                <w:szCs w:val="22"/>
                <w:lang w:val="es-CO" w:eastAsia="es-CO"/>
              </w:rPr>
            </w:pPr>
          </w:p>
          <w:p w14:paraId="6101DB6E" w14:textId="77777777" w:rsidR="00072956" w:rsidRPr="00C976EE" w:rsidRDefault="00072956" w:rsidP="007F5995">
            <w:pPr>
              <w:numPr>
                <w:ilvl w:val="1"/>
                <w:numId w:val="3"/>
              </w:numPr>
              <w:jc w:val="both"/>
              <w:rPr>
                <w:rFonts w:ascii="Arial Narrow" w:hAnsi="Arial Narrow" w:cs="Arial"/>
                <w:b/>
                <w:bCs/>
                <w:sz w:val="22"/>
                <w:szCs w:val="22"/>
                <w:lang w:val="es-CO" w:eastAsia="es-CO"/>
              </w:rPr>
            </w:pPr>
            <w:r w:rsidRPr="00C976EE">
              <w:rPr>
                <w:rFonts w:ascii="Arial Narrow" w:hAnsi="Arial Narrow" w:cs="Arial"/>
                <w:b/>
                <w:bCs/>
                <w:sz w:val="22"/>
                <w:szCs w:val="22"/>
                <w:lang w:val="es-CO" w:eastAsia="es-CO"/>
              </w:rPr>
              <w:t>Vigencia de la ley o norma reglamentada o desarrollada.</w:t>
            </w:r>
          </w:p>
          <w:p w14:paraId="1F4BFBBB" w14:textId="77777777" w:rsidR="00072956" w:rsidRDefault="00072956" w:rsidP="007F5995">
            <w:pPr>
              <w:ind w:left="720"/>
              <w:jc w:val="both"/>
              <w:rPr>
                <w:rFonts w:ascii="Arial Narrow" w:hAnsi="Arial Narrow" w:cs="Arial"/>
                <w:sz w:val="22"/>
                <w:szCs w:val="22"/>
                <w:lang w:val="es-CO" w:eastAsia="es-CO"/>
              </w:rPr>
            </w:pPr>
          </w:p>
          <w:p w14:paraId="4104F692" w14:textId="77777777" w:rsidR="00072956" w:rsidRPr="00431BB6" w:rsidRDefault="00072956" w:rsidP="007F5995">
            <w:pPr>
              <w:jc w:val="both"/>
              <w:rPr>
                <w:rFonts w:ascii="Arial Narrow" w:hAnsi="Arial Narrow" w:cs="Arial"/>
                <w:sz w:val="22"/>
                <w:szCs w:val="22"/>
                <w:lang w:val="es-CO" w:eastAsia="es-CO"/>
              </w:rPr>
            </w:pPr>
            <w:r>
              <w:rPr>
                <w:rFonts w:ascii="Arial Narrow" w:hAnsi="Arial Narrow" w:cs="Arial"/>
                <w:sz w:val="22"/>
                <w:szCs w:val="22"/>
                <w:lang w:val="es-CO" w:eastAsia="es-CO"/>
              </w:rPr>
              <w:t>La Ley 99 de 1993 y el Decreto 1076 de 2015 se encuentran vigentes.</w:t>
            </w:r>
          </w:p>
          <w:p w14:paraId="76741D5F" w14:textId="77777777" w:rsidR="00072956" w:rsidRPr="00431BB6" w:rsidRDefault="00072956" w:rsidP="007F5995">
            <w:pPr>
              <w:ind w:left="494" w:hanging="283"/>
              <w:jc w:val="both"/>
              <w:rPr>
                <w:rFonts w:ascii="Arial Narrow" w:hAnsi="Arial Narrow" w:cs="Arial"/>
                <w:sz w:val="22"/>
                <w:szCs w:val="22"/>
                <w:lang w:val="es-CO" w:eastAsia="es-CO"/>
              </w:rPr>
            </w:pPr>
          </w:p>
          <w:p w14:paraId="5F97B9A6" w14:textId="77777777" w:rsidR="00072956" w:rsidRPr="00C976EE" w:rsidRDefault="00072956" w:rsidP="007F5995">
            <w:pPr>
              <w:ind w:left="494" w:hanging="283"/>
              <w:jc w:val="both"/>
              <w:rPr>
                <w:rFonts w:ascii="Arial Narrow" w:hAnsi="Arial Narrow" w:cs="Arial"/>
                <w:b/>
                <w:bCs/>
                <w:sz w:val="22"/>
                <w:szCs w:val="22"/>
                <w:lang w:val="es-CO" w:eastAsia="es-CO"/>
              </w:rPr>
            </w:pPr>
            <w:r w:rsidRPr="00C976EE">
              <w:rPr>
                <w:rFonts w:ascii="Arial Narrow" w:hAnsi="Arial Narrow" w:cs="Arial"/>
                <w:b/>
                <w:bCs/>
                <w:sz w:val="22"/>
                <w:szCs w:val="22"/>
                <w:lang w:val="es-CO" w:eastAsia="es-CO"/>
              </w:rPr>
              <w:t>3.3. Disposiciones derogadas, subrogadas, modificadas, adicionadas o sustituidas.</w:t>
            </w:r>
          </w:p>
          <w:p w14:paraId="5ABA041F" w14:textId="77777777" w:rsidR="00072956" w:rsidRDefault="00072956" w:rsidP="007F5995">
            <w:pPr>
              <w:jc w:val="both"/>
              <w:rPr>
                <w:rFonts w:ascii="Arial Narrow" w:hAnsi="Arial Narrow" w:cs="Arial"/>
                <w:sz w:val="22"/>
                <w:szCs w:val="22"/>
                <w:lang w:val="es-CO" w:eastAsia="es-CO"/>
              </w:rPr>
            </w:pPr>
          </w:p>
          <w:p w14:paraId="2D3D0BE7" w14:textId="77777777" w:rsidR="00072956" w:rsidRPr="00431BB6" w:rsidRDefault="00072956" w:rsidP="007F5995">
            <w:pPr>
              <w:jc w:val="both"/>
              <w:rPr>
                <w:rFonts w:ascii="Arial Narrow" w:hAnsi="Arial Narrow" w:cs="Arial"/>
                <w:sz w:val="22"/>
                <w:szCs w:val="22"/>
                <w:lang w:val="es-CO" w:eastAsia="es-CO"/>
              </w:rPr>
            </w:pPr>
            <w:r>
              <w:rPr>
                <w:rFonts w:ascii="Arial Narrow" w:hAnsi="Arial Narrow" w:cs="Arial"/>
                <w:sz w:val="22"/>
                <w:szCs w:val="22"/>
                <w:lang w:eastAsia="es-CO"/>
              </w:rPr>
              <w:t xml:space="preserve">Se </w:t>
            </w:r>
            <w:r w:rsidRPr="00C976EE">
              <w:rPr>
                <w:rFonts w:ascii="Arial Narrow" w:hAnsi="Arial Narrow" w:cs="Arial"/>
                <w:sz w:val="22"/>
                <w:szCs w:val="22"/>
                <w:lang w:eastAsia="es-CO"/>
              </w:rPr>
              <w:t>adici</w:t>
            </w:r>
            <w:r>
              <w:rPr>
                <w:rFonts w:ascii="Arial Narrow" w:hAnsi="Arial Narrow" w:cs="Arial"/>
                <w:sz w:val="22"/>
                <w:szCs w:val="22"/>
                <w:lang w:eastAsia="es-CO"/>
              </w:rPr>
              <w:t xml:space="preserve">ona </w:t>
            </w:r>
            <w:r w:rsidRPr="009008E4">
              <w:rPr>
                <w:rFonts w:ascii="Arial Narrow" w:hAnsi="Arial Narrow" w:cs="Arial"/>
                <w:sz w:val="22"/>
                <w:szCs w:val="22"/>
                <w:lang w:eastAsia="es-CO"/>
              </w:rPr>
              <w:t xml:space="preserve">el </w:t>
            </w:r>
            <w:r w:rsidRPr="00607A06">
              <w:rPr>
                <w:rFonts w:ascii="Arial Narrow" w:hAnsi="Arial Narrow" w:cs="Arial"/>
                <w:sz w:val="22"/>
                <w:szCs w:val="22"/>
                <w:lang w:eastAsia="es-CO"/>
              </w:rPr>
              <w:t xml:space="preserve">capítulo 11, </w:t>
            </w:r>
            <w:r w:rsidRPr="009008E4">
              <w:rPr>
                <w:rFonts w:ascii="Arial Narrow" w:hAnsi="Arial Narrow" w:cs="Arial"/>
                <w:sz w:val="22"/>
                <w:szCs w:val="22"/>
                <w:lang w:eastAsia="es-CO"/>
              </w:rPr>
              <w:t xml:space="preserve">al Título 2, de la Parte 2, del Libro 2 del Decreto 1076 de 2015, Único Reglamentario del Sector Ambiente y Desarrollo Sostenible, en lo relacionado con los proyectos de generación de </w:t>
            </w:r>
            <w:r w:rsidRPr="00607A06">
              <w:rPr>
                <w:rFonts w:ascii="Arial Narrow" w:hAnsi="Arial Narrow" w:cs="Arial"/>
                <w:sz w:val="22"/>
                <w:szCs w:val="22"/>
                <w:lang w:eastAsia="es-CO"/>
              </w:rPr>
              <w:t xml:space="preserve">energía eólica, </w:t>
            </w:r>
            <w:r>
              <w:rPr>
                <w:rFonts w:ascii="Arial Narrow" w:hAnsi="Arial Narrow" w:cs="Arial"/>
                <w:sz w:val="22"/>
                <w:szCs w:val="22"/>
                <w:lang w:eastAsia="es-CO"/>
              </w:rPr>
              <w:t xml:space="preserve">luego no se deroga ninguna norma. </w:t>
            </w:r>
          </w:p>
          <w:p w14:paraId="19FE7350" w14:textId="77777777" w:rsidR="00072956" w:rsidRPr="000E33DF" w:rsidRDefault="00072956" w:rsidP="007F5995">
            <w:pPr>
              <w:ind w:left="494" w:hanging="283"/>
              <w:jc w:val="both"/>
              <w:rPr>
                <w:rFonts w:ascii="Arial Narrow" w:hAnsi="Arial Narrow" w:cs="Arial"/>
                <w:b/>
                <w:bCs/>
                <w:sz w:val="22"/>
                <w:szCs w:val="22"/>
                <w:lang w:val="es-CO" w:eastAsia="es-CO"/>
              </w:rPr>
            </w:pPr>
          </w:p>
          <w:p w14:paraId="519A8819" w14:textId="77777777" w:rsidR="00072956" w:rsidRPr="0027504D" w:rsidRDefault="00072956" w:rsidP="007F5995">
            <w:pPr>
              <w:pStyle w:val="Prrafodelista"/>
              <w:numPr>
                <w:ilvl w:val="1"/>
                <w:numId w:val="8"/>
              </w:numPr>
              <w:rPr>
                <w:rFonts w:ascii="Arial Narrow" w:hAnsi="Arial Narrow"/>
                <w:b/>
                <w:bCs/>
                <w:lang w:eastAsia="es-CO"/>
              </w:rPr>
            </w:pPr>
            <w:r w:rsidRPr="0027504D">
              <w:rPr>
                <w:rFonts w:ascii="Arial Narrow" w:hAnsi="Arial Narrow"/>
                <w:b/>
                <w:bCs/>
                <w:lang w:eastAsia="es-CO"/>
              </w:rPr>
              <w:t>Revisión y análisis de la jurisprudencia que tenga impacto o sea relevante para la expedición del proyecto normativo.</w:t>
            </w:r>
          </w:p>
          <w:p w14:paraId="3063FE3A" w14:textId="77777777" w:rsidR="00072956" w:rsidRPr="000E33DF" w:rsidRDefault="00072956" w:rsidP="007F5995">
            <w:pPr>
              <w:ind w:left="720"/>
              <w:jc w:val="both"/>
              <w:rPr>
                <w:rFonts w:ascii="Arial Narrow" w:hAnsi="Arial Narrow" w:cs="Arial"/>
                <w:b/>
                <w:bCs/>
                <w:sz w:val="22"/>
                <w:szCs w:val="22"/>
                <w:lang w:val="es-CO" w:eastAsia="es-CO"/>
              </w:rPr>
            </w:pPr>
          </w:p>
          <w:p w14:paraId="071CB411" w14:textId="77777777" w:rsidR="00072956" w:rsidRPr="00625EA1" w:rsidRDefault="00072956" w:rsidP="007F5995">
            <w:pPr>
              <w:jc w:val="both"/>
              <w:rPr>
                <w:rFonts w:ascii="Arial Narrow" w:hAnsi="Arial Narrow" w:cs="Arial"/>
                <w:bCs/>
                <w:sz w:val="22"/>
                <w:szCs w:val="22"/>
                <w:lang w:val="es-CO" w:eastAsia="es-CO"/>
              </w:rPr>
            </w:pPr>
            <w:r w:rsidRPr="00625EA1">
              <w:rPr>
                <w:rFonts w:ascii="Arial Narrow" w:hAnsi="Arial Narrow" w:cs="Arial"/>
                <w:bCs/>
                <w:sz w:val="22"/>
                <w:szCs w:val="22"/>
                <w:lang w:val="es-CO" w:eastAsia="es-CO"/>
              </w:rPr>
              <w:t>La sentencia C-056 de 2021, emitida por la Honorable Corte Constitucional, marcó un hito significativo en el análisis de la constitucionalidad del artículo 296 de la Ley 1955 de 2019, "Plan Nacional de Desarrollo 2018-2022 ‘Pacto por Colombia, Pacto por la Equidad’". En su profundo examen, la Corte Constitucional llevó a cabo una exhaustiva revisión de la política nacional relacionada con el cambio climático.</w:t>
            </w:r>
          </w:p>
          <w:p w14:paraId="73349E1B" w14:textId="77777777" w:rsidR="00072956" w:rsidRPr="00625EA1" w:rsidRDefault="00072956" w:rsidP="007F5995">
            <w:pPr>
              <w:jc w:val="both"/>
              <w:rPr>
                <w:rFonts w:ascii="Arial Narrow" w:hAnsi="Arial Narrow" w:cs="Arial"/>
                <w:bCs/>
                <w:sz w:val="22"/>
                <w:szCs w:val="22"/>
                <w:lang w:val="es-CO" w:eastAsia="es-CO"/>
              </w:rPr>
            </w:pPr>
          </w:p>
          <w:p w14:paraId="44A258E9" w14:textId="77777777" w:rsidR="00072956" w:rsidRPr="00625EA1" w:rsidRDefault="00072956" w:rsidP="007F5995">
            <w:pPr>
              <w:jc w:val="both"/>
              <w:rPr>
                <w:rFonts w:ascii="Arial Narrow" w:hAnsi="Arial Narrow" w:cs="Arial"/>
                <w:bCs/>
                <w:sz w:val="22"/>
                <w:szCs w:val="22"/>
                <w:lang w:val="es-CO" w:eastAsia="es-CO"/>
              </w:rPr>
            </w:pPr>
            <w:r w:rsidRPr="00625EA1">
              <w:rPr>
                <w:rFonts w:ascii="Arial Narrow" w:hAnsi="Arial Narrow" w:cs="Arial"/>
                <w:bCs/>
                <w:sz w:val="22"/>
                <w:szCs w:val="22"/>
                <w:lang w:val="es-CO" w:eastAsia="es-CO"/>
              </w:rPr>
              <w:t>Este análisis meticuloso no solo se limitó a examinar las disposiciones legales en cuestión, sino que también abordó las obligaciones internacionales que nuestro país ha asumido en el contexto del cambio climático. La sentencia resaltó la importancia crucial de cumplir con estos compromisos para salvaguardar nuestro entorno y garantizar un futuro sostenible para las generaciones venideras.</w:t>
            </w:r>
          </w:p>
          <w:p w14:paraId="2339BA17" w14:textId="77777777" w:rsidR="00072956" w:rsidRPr="00625EA1" w:rsidRDefault="00072956" w:rsidP="007F5995">
            <w:pPr>
              <w:jc w:val="both"/>
              <w:rPr>
                <w:rFonts w:ascii="Arial Narrow" w:hAnsi="Arial Narrow" w:cs="Arial"/>
                <w:bCs/>
                <w:sz w:val="22"/>
                <w:szCs w:val="22"/>
                <w:lang w:val="es-CO" w:eastAsia="es-CO"/>
              </w:rPr>
            </w:pPr>
          </w:p>
          <w:p w14:paraId="78A4B6DB" w14:textId="77777777" w:rsidR="00072956" w:rsidRPr="00625EA1" w:rsidRDefault="00072956" w:rsidP="007F5995">
            <w:pPr>
              <w:jc w:val="both"/>
              <w:rPr>
                <w:rFonts w:ascii="Arial Narrow" w:hAnsi="Arial Narrow" w:cs="Arial"/>
                <w:bCs/>
                <w:sz w:val="22"/>
                <w:szCs w:val="22"/>
                <w:lang w:val="es-CO" w:eastAsia="es-CO"/>
              </w:rPr>
            </w:pPr>
            <w:r w:rsidRPr="00625EA1">
              <w:rPr>
                <w:rFonts w:ascii="Arial Narrow" w:hAnsi="Arial Narrow" w:cs="Arial"/>
                <w:bCs/>
                <w:sz w:val="22"/>
                <w:szCs w:val="22"/>
                <w:lang w:val="es-CO" w:eastAsia="es-CO"/>
              </w:rPr>
              <w:t>En particular, la Corte Constitucional subrayó la relevancia de las Fuentes No Convencionales de Energía Renovable (FNCER) en la lucha contra el cambio climático. Estas fuentes de energía, que incluyen fuentes como la solar, eólica y la biomasa, se presentan como alternativas prometedoras a los combustibles fósiles tradicionales. La Corte enfatizó que la transición hacia estas fuentes de energía renovable es fundamental para lograr una disminución significativa en las emisiones de gases de efecto invernadero y mitigar así los impactos del cambio climático.</w:t>
            </w:r>
          </w:p>
          <w:p w14:paraId="6207D9BB" w14:textId="77777777" w:rsidR="00072956" w:rsidRPr="00625EA1" w:rsidRDefault="00072956" w:rsidP="007F5995">
            <w:pPr>
              <w:jc w:val="both"/>
              <w:rPr>
                <w:rFonts w:ascii="Arial Narrow" w:hAnsi="Arial Narrow" w:cs="Arial"/>
                <w:bCs/>
                <w:sz w:val="22"/>
                <w:szCs w:val="22"/>
                <w:lang w:val="es-CO" w:eastAsia="es-CO"/>
              </w:rPr>
            </w:pPr>
          </w:p>
          <w:p w14:paraId="6238C39B" w14:textId="77777777" w:rsidR="00072956" w:rsidRPr="00625EA1" w:rsidRDefault="00072956" w:rsidP="007F5995">
            <w:pPr>
              <w:jc w:val="both"/>
              <w:rPr>
                <w:rFonts w:ascii="Arial Narrow" w:hAnsi="Arial Narrow" w:cs="Arial"/>
                <w:bCs/>
                <w:sz w:val="22"/>
                <w:szCs w:val="22"/>
                <w:lang w:val="es-CO" w:eastAsia="es-CO"/>
              </w:rPr>
            </w:pPr>
            <w:r w:rsidRPr="00625EA1">
              <w:rPr>
                <w:rFonts w:ascii="Arial Narrow" w:hAnsi="Arial Narrow" w:cs="Arial"/>
                <w:bCs/>
                <w:sz w:val="22"/>
                <w:szCs w:val="22"/>
                <w:lang w:val="es-CO" w:eastAsia="es-CO"/>
              </w:rPr>
              <w:t>En este contexto, la sentencia C-056 de 2021 sirve como un llamado sobre la urgencia de adoptar medidas efectivas para enfrentar el cambio climático. Además, destaca la necesidad imperativa de promover políticas y prácticas que fomenten la adopción generalizada de las Fuentes No Convencionales de Energía Renovable (FNCER). Esta decisión judicial no solo reafirma el compromiso del país con la protección del medio ambiente, sino que también establece un precedente importante para futuras políticas y legislaciones relacionadas con el cambio climático y la energía sostenible.</w:t>
            </w:r>
          </w:p>
          <w:p w14:paraId="36B507FF" w14:textId="77777777" w:rsidR="00072956" w:rsidRPr="00625EA1" w:rsidRDefault="00072956" w:rsidP="007F5995">
            <w:pPr>
              <w:jc w:val="both"/>
              <w:rPr>
                <w:rFonts w:ascii="Arial Narrow" w:hAnsi="Arial Narrow" w:cs="Arial"/>
                <w:bCs/>
                <w:sz w:val="22"/>
                <w:szCs w:val="22"/>
                <w:lang w:val="es-CO" w:eastAsia="es-CO"/>
              </w:rPr>
            </w:pPr>
          </w:p>
          <w:p w14:paraId="5A0090AF" w14:textId="77777777" w:rsidR="00072956" w:rsidRDefault="00072956" w:rsidP="007F5995">
            <w:pPr>
              <w:pStyle w:val="Prrafodelista"/>
              <w:numPr>
                <w:ilvl w:val="2"/>
                <w:numId w:val="8"/>
              </w:numPr>
              <w:rPr>
                <w:rFonts w:ascii="Arial Narrow" w:hAnsi="Arial Narrow"/>
                <w:b/>
                <w:lang w:eastAsia="es-CO"/>
              </w:rPr>
            </w:pPr>
            <w:r>
              <w:rPr>
                <w:rFonts w:ascii="Arial Narrow" w:hAnsi="Arial Narrow"/>
                <w:b/>
                <w:lang w:eastAsia="es-CO"/>
              </w:rPr>
              <w:t>Síntesis de</w:t>
            </w:r>
            <w:r w:rsidRPr="003314F7">
              <w:rPr>
                <w:rFonts w:ascii="Arial Narrow" w:hAnsi="Arial Narrow"/>
                <w:b/>
                <w:lang w:eastAsia="es-CO"/>
              </w:rPr>
              <w:t xml:space="preserve"> la mencionada Sentencia C-056 de 2021</w:t>
            </w:r>
          </w:p>
          <w:p w14:paraId="62BB7B9D" w14:textId="77777777" w:rsidR="00072956" w:rsidRPr="00625EA1" w:rsidRDefault="00072956" w:rsidP="007F5995">
            <w:pPr>
              <w:jc w:val="both"/>
              <w:rPr>
                <w:rFonts w:ascii="Arial Narrow" w:hAnsi="Arial Narrow" w:cs="Arial"/>
                <w:bCs/>
                <w:sz w:val="22"/>
                <w:szCs w:val="22"/>
                <w:lang w:val="es-CO" w:eastAsia="es-CO"/>
              </w:rPr>
            </w:pPr>
          </w:p>
          <w:p w14:paraId="4D822168" w14:textId="77777777" w:rsidR="00072956" w:rsidRDefault="00072956" w:rsidP="007F5995">
            <w:pPr>
              <w:jc w:val="both"/>
              <w:rPr>
                <w:rFonts w:ascii="Arial Narrow" w:hAnsi="Arial Narrow" w:cs="Arial"/>
                <w:bCs/>
                <w:sz w:val="22"/>
                <w:szCs w:val="22"/>
                <w:lang w:val="es-CO" w:eastAsia="es-CO"/>
              </w:rPr>
            </w:pPr>
            <w:bookmarkStart w:id="11" w:name="_Toc67069284"/>
            <w:bookmarkEnd w:id="11"/>
            <w:r>
              <w:t xml:space="preserve">El </w:t>
            </w:r>
            <w:r w:rsidRPr="0037595F">
              <w:rPr>
                <w:rFonts w:ascii="Arial Narrow" w:hAnsi="Arial Narrow" w:cs="Arial"/>
                <w:bCs/>
                <w:sz w:val="22"/>
                <w:szCs w:val="22"/>
                <w:lang w:val="es-CO" w:eastAsia="es-CO"/>
              </w:rPr>
              <w:t>cambio climático constituye una amenaza grave, irreversible y estructural para el medio ambiente, el desarrollo económico y la garantía de los derechos fundamentales. Según lo indicado por la Corte Constitucional, este fenómeno obedece principalmente a las emisiones antropogénicas de gases de efecto invernadero (GEI), cuyas concentraciones han alcanzado niveles sin precedentes, acelerando el calentamiento global (Sentencia C-056 de 2021, Art. 59). El sector energético es señalado como el mayor emisor de GEI a nivel mundial, responsable de aproximadamente dos tercios de las emisiones globales. En Colombia, este sector incrementó sus emisiones de 75,86 millones de toneladas métricas de CO</w:t>
            </w:r>
            <w:r w:rsidRPr="0037595F">
              <w:rPr>
                <w:rFonts w:ascii="Cambria Math" w:hAnsi="Cambria Math" w:cs="Cambria Math"/>
                <w:bCs/>
                <w:sz w:val="22"/>
                <w:szCs w:val="22"/>
                <w:lang w:val="es-CO" w:eastAsia="es-CO"/>
              </w:rPr>
              <w:t>₂</w:t>
            </w:r>
            <w:r w:rsidRPr="0037595F">
              <w:rPr>
                <w:rFonts w:ascii="Arial Narrow" w:hAnsi="Arial Narrow" w:cs="Arial"/>
                <w:bCs/>
                <w:sz w:val="22"/>
                <w:szCs w:val="22"/>
                <w:lang w:val="es-CO" w:eastAsia="es-CO"/>
              </w:rPr>
              <w:t xml:space="preserve"> en 2010 a 88,60 en 2020, representando el 10 % del total nacional (Sentencia C-056 de 2021, Art. 60). Estos efectos no solo comprometen los ecosistemas, sino que también afectan de forma desproporcionada a las poblaciones vulnerables, especialmente aquellas que dependen de la agricultura y la pesca, como los pueblos indígenas, comunidades rurales y trabajadores pobres, vulnerando derechos fundamentales como la vida digna (Art. 11), la salud (Art. 49), la alimentación (Art. 65) y el ambiente sano (Art. 79) de la Constitución Política.</w:t>
            </w:r>
          </w:p>
          <w:p w14:paraId="144877CA" w14:textId="77777777" w:rsidR="00072956" w:rsidRPr="0037595F" w:rsidRDefault="00072956" w:rsidP="007F5995">
            <w:pPr>
              <w:jc w:val="both"/>
              <w:rPr>
                <w:rFonts w:ascii="Arial Narrow" w:hAnsi="Arial Narrow" w:cs="Arial"/>
                <w:bCs/>
                <w:sz w:val="22"/>
                <w:szCs w:val="22"/>
                <w:lang w:val="es-CO" w:eastAsia="es-CO"/>
              </w:rPr>
            </w:pPr>
          </w:p>
          <w:p w14:paraId="3B282E2A" w14:textId="77777777" w:rsidR="00072956" w:rsidRDefault="00072956" w:rsidP="007F5995">
            <w:pPr>
              <w:jc w:val="both"/>
              <w:rPr>
                <w:rFonts w:ascii="Arial Narrow" w:hAnsi="Arial Narrow" w:cs="Arial"/>
                <w:bCs/>
                <w:sz w:val="22"/>
                <w:szCs w:val="22"/>
                <w:lang w:val="es-CO" w:eastAsia="es-CO"/>
              </w:rPr>
            </w:pPr>
            <w:r w:rsidRPr="0037595F">
              <w:rPr>
                <w:rFonts w:ascii="Arial Narrow" w:hAnsi="Arial Narrow" w:cs="Arial"/>
                <w:bCs/>
                <w:sz w:val="22"/>
                <w:szCs w:val="22"/>
                <w:lang w:val="es-CO" w:eastAsia="es-CO"/>
              </w:rPr>
              <w:t>Frente a este panorama, el Estado colombiano ha asumido compromisos internacionales vinculantes en el marco de la Convención Marco de las Naciones Unidas sobre el Cambio Climático (CMNUCC), el Protocolo de Kioto y el Acuerdo de París, los cuales establecen obligaciones diferenciadas pero comunes para la mitigación y adaptación frente al cambio climático (Sentencia C-056 de 2021, Art. 62). Estas obligaciones se expresan en las Contribuciones Determinadas a Nivel Nacional (NDC), que deben ser actualizadas cada cinco años con mayor ambición, en concordancia con el principio de responsabilidades comunes pero diferenciadas (Sentencia C-056 de 2021, Art. 64). A nivel interno, el marco normativo se ha consolidado con la Ley 1931 de 2018, que fija directrices para la gestión del cambio climático, y con la Política Nacional de Cambio Climático (PNCC), orientada a incorporar la resiliencia climática y la descarbonización en las decisiones públicas y privadas (Sentencia C-056 de 2021, Art. 65). En desarrollo de esta política, el Ministerio de Minas y Energía expidió la Resolución 40807 de 2018, mediante la cual adoptó el Plan Integral de Gestión del Cambio Climático del sector minero-energético (PIGCCm).</w:t>
            </w:r>
          </w:p>
          <w:p w14:paraId="0F7FDA6D" w14:textId="77777777" w:rsidR="00072956" w:rsidRPr="0037595F" w:rsidRDefault="00072956" w:rsidP="007F5995">
            <w:pPr>
              <w:jc w:val="both"/>
              <w:rPr>
                <w:rFonts w:ascii="Arial Narrow" w:hAnsi="Arial Narrow" w:cs="Arial"/>
                <w:bCs/>
                <w:sz w:val="22"/>
                <w:szCs w:val="22"/>
                <w:lang w:val="es-CO" w:eastAsia="es-CO"/>
              </w:rPr>
            </w:pPr>
          </w:p>
          <w:p w14:paraId="36EB40EB" w14:textId="77777777" w:rsidR="00072956" w:rsidRPr="0037595F" w:rsidRDefault="00072956" w:rsidP="007F5995">
            <w:pPr>
              <w:jc w:val="both"/>
              <w:rPr>
                <w:rFonts w:ascii="Arial Narrow" w:hAnsi="Arial Narrow" w:cs="Arial"/>
                <w:bCs/>
                <w:sz w:val="22"/>
                <w:szCs w:val="22"/>
                <w:lang w:val="es-CO" w:eastAsia="es-CO"/>
              </w:rPr>
            </w:pPr>
            <w:r w:rsidRPr="0037595F">
              <w:rPr>
                <w:rFonts w:ascii="Arial Narrow" w:hAnsi="Arial Narrow" w:cs="Arial"/>
                <w:bCs/>
                <w:sz w:val="22"/>
                <w:szCs w:val="22"/>
                <w:lang w:val="es-CO" w:eastAsia="es-CO"/>
              </w:rPr>
              <w:t>Los compromisos específicos del sector energético abarcan tanto obligaciones de mitigación como de adaptación (Sentencia C-056 de 2021, Art. 66). En mitigación, la NDC establece: (i) la diversificación de la matriz energética mediante la promoción de fuentes no convencionales de energías renovables (FNCER) y autogeneración; (ii) la mejora de la eficiencia energética; (iii) la reducción de emisiones fugitivas asociadas a la cadena de hidrocarburos; y (iv) la optimización de la gestión de la demanda eléctrica, particularmente entre horas pico y valle. En cuanto a la adaptación, se definieron tres líneas estratégicas: (i) infraestructura resiliente frente a la variabilidad climática; (ii) generación de información técnica para identificar riesgos en la canasta energética y evaluar nuevas tecnologías; y (iii) gestión del entorno territorial en zonas de desarrollo minero-energético. Estas acciones buscan contribuir a la transformación energética del país, garantizando su sostenibilidad y cumplimiento con los mandatos constitucionales de protección del ambiente (Art. 79), planificación ambiental del desarrollo (Art. 80) y equidad intergeneracional.</w:t>
            </w:r>
          </w:p>
          <w:p w14:paraId="7A264F7C" w14:textId="77777777" w:rsidR="00072956" w:rsidRPr="00625EA1" w:rsidRDefault="00072956" w:rsidP="007F5995">
            <w:pPr>
              <w:jc w:val="both"/>
              <w:rPr>
                <w:rFonts w:ascii="Arial Narrow" w:hAnsi="Arial Narrow" w:cs="Arial"/>
                <w:sz w:val="22"/>
                <w:szCs w:val="22"/>
                <w:lang w:val="es-CO" w:eastAsia="es-CO"/>
              </w:rPr>
            </w:pPr>
          </w:p>
          <w:p w14:paraId="2AC43944" w14:textId="77777777" w:rsidR="00072956" w:rsidRPr="009B7264" w:rsidRDefault="00072956" w:rsidP="007F5995">
            <w:pPr>
              <w:pStyle w:val="Prrafodelista"/>
              <w:numPr>
                <w:ilvl w:val="1"/>
                <w:numId w:val="8"/>
              </w:numPr>
              <w:rPr>
                <w:rFonts w:ascii="Arial Narrow" w:hAnsi="Arial Narrow"/>
                <w:b/>
                <w:bCs/>
                <w:lang w:eastAsia="es-CO"/>
              </w:rPr>
            </w:pPr>
            <w:r w:rsidRPr="009B7264">
              <w:rPr>
                <w:rFonts w:ascii="Arial Narrow" w:hAnsi="Arial Narrow"/>
                <w:b/>
                <w:bCs/>
                <w:lang w:eastAsia="es-CO"/>
              </w:rPr>
              <w:t>Circunstancias jurídicas adicionales.</w:t>
            </w:r>
          </w:p>
          <w:p w14:paraId="44D5AADD" w14:textId="77777777" w:rsidR="00072956" w:rsidRDefault="00072956" w:rsidP="007F5995">
            <w:pPr>
              <w:ind w:left="360"/>
              <w:jc w:val="both"/>
              <w:rPr>
                <w:rFonts w:ascii="Arial Narrow" w:hAnsi="Arial Narrow" w:cs="Arial"/>
                <w:b/>
                <w:bCs/>
                <w:sz w:val="22"/>
                <w:szCs w:val="22"/>
                <w:lang w:val="es-CO" w:eastAsia="es-CO"/>
              </w:rPr>
            </w:pPr>
          </w:p>
          <w:p w14:paraId="5408ACDC" w14:textId="77777777" w:rsidR="00072956" w:rsidRDefault="00072956" w:rsidP="007F5995">
            <w:pPr>
              <w:jc w:val="both"/>
              <w:rPr>
                <w:rFonts w:ascii="Arial Narrow" w:hAnsi="Arial Narrow" w:cs="Arial"/>
                <w:sz w:val="22"/>
                <w:szCs w:val="22"/>
                <w:lang w:val="es-CO" w:eastAsia="es-CO"/>
              </w:rPr>
            </w:pPr>
            <w:r>
              <w:rPr>
                <w:rFonts w:ascii="Arial Narrow" w:hAnsi="Arial Narrow" w:cs="Arial"/>
                <w:sz w:val="22"/>
                <w:szCs w:val="22"/>
                <w:lang w:val="es-CO" w:eastAsia="es-CO"/>
              </w:rPr>
              <w:t>El presente proyecto normativo será publicado durante el término de 15 días en la página web del Ministerio de Ambiente y Desarrollo Sostenible.</w:t>
            </w:r>
          </w:p>
          <w:p w14:paraId="6BDC662F" w14:textId="77777777" w:rsidR="00072956" w:rsidRDefault="00072956" w:rsidP="007F5995">
            <w:pPr>
              <w:jc w:val="both"/>
              <w:rPr>
                <w:rFonts w:ascii="Arial Narrow" w:hAnsi="Arial Narrow" w:cs="Arial"/>
                <w:sz w:val="22"/>
                <w:szCs w:val="22"/>
                <w:lang w:val="es-CO" w:eastAsia="es-CO"/>
              </w:rPr>
            </w:pPr>
          </w:p>
          <w:p w14:paraId="0149195B" w14:textId="77777777" w:rsidR="00072956" w:rsidRPr="001C01FA" w:rsidRDefault="00072956" w:rsidP="007F5995">
            <w:pPr>
              <w:jc w:val="both"/>
              <w:rPr>
                <w:rFonts w:ascii="Arial Narrow" w:hAnsi="Arial Narrow" w:cs="Arial"/>
                <w:sz w:val="22"/>
                <w:szCs w:val="22"/>
                <w:lang w:val="es-CO" w:eastAsia="es-CO"/>
              </w:rPr>
            </w:pPr>
          </w:p>
        </w:tc>
      </w:tr>
      <w:tr w:rsidR="00072956" w:rsidRPr="0047266C" w14:paraId="63ED652C" w14:textId="77777777" w:rsidTr="008BADD2">
        <w:tblPrEx>
          <w:tblCellMar>
            <w:left w:w="70" w:type="dxa"/>
            <w:right w:w="70" w:type="dxa"/>
          </w:tblCellMar>
        </w:tblPrEx>
        <w:trPr>
          <w:trHeight w:val="24"/>
        </w:trPr>
        <w:tc>
          <w:tcPr>
            <w:tcW w:w="10740"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223A82" w14:textId="77777777" w:rsidR="00072956" w:rsidRPr="000B0504" w:rsidRDefault="00072956" w:rsidP="007F5995">
            <w:pPr>
              <w:numPr>
                <w:ilvl w:val="0"/>
                <w:numId w:val="8"/>
              </w:numPr>
              <w:rPr>
                <w:rFonts w:ascii="Arial Narrow" w:hAnsi="Arial Narrow" w:cs="Arial"/>
                <w:sz w:val="22"/>
                <w:szCs w:val="22"/>
                <w:lang w:val="es-CO"/>
              </w:rPr>
            </w:pPr>
            <w:r w:rsidRPr="000B0504">
              <w:rPr>
                <w:rFonts w:ascii="Arial Narrow" w:hAnsi="Arial Narrow" w:cs="Arial"/>
                <w:b/>
                <w:color w:val="000000"/>
                <w:sz w:val="22"/>
                <w:szCs w:val="22"/>
              </w:rPr>
              <w:t>IMPACTO ECONÓMICO</w:t>
            </w:r>
          </w:p>
          <w:p w14:paraId="252B8DBB" w14:textId="77777777" w:rsidR="00072956" w:rsidRPr="0047266C" w:rsidRDefault="00072956" w:rsidP="007F5995">
            <w:pPr>
              <w:jc w:val="both"/>
              <w:rPr>
                <w:rFonts w:ascii="Arial Narrow" w:hAnsi="Arial Narrow" w:cs="Arial"/>
                <w:bCs/>
                <w:color w:val="000000"/>
                <w:sz w:val="22"/>
                <w:szCs w:val="22"/>
              </w:rPr>
            </w:pPr>
          </w:p>
          <w:p w14:paraId="12E90632" w14:textId="77777777" w:rsidR="00072956" w:rsidRPr="0047266C" w:rsidRDefault="00072956" w:rsidP="007F5995">
            <w:pPr>
              <w:jc w:val="both"/>
              <w:rPr>
                <w:rFonts w:ascii="Arial Narrow" w:hAnsi="Arial Narrow" w:cs="Arial"/>
                <w:bCs/>
                <w:color w:val="000000"/>
                <w:sz w:val="22"/>
                <w:szCs w:val="22"/>
              </w:rPr>
            </w:pPr>
            <w:r w:rsidRPr="0047266C">
              <w:rPr>
                <w:rFonts w:ascii="Arial Narrow" w:hAnsi="Arial Narrow" w:cs="Arial"/>
                <w:bCs/>
                <w:color w:val="000000"/>
                <w:sz w:val="22"/>
                <w:szCs w:val="22"/>
              </w:rPr>
              <w:t>Actualmente, los datos del Departamento Administrativo Nacional de Estadística (DANE) muestran un crecimiento del Producto Interno Bruto (PIB) interanual del 2,7%</w:t>
            </w:r>
            <w:r w:rsidRPr="0047266C">
              <w:rPr>
                <w:rStyle w:val="Refdenotaalpie"/>
                <w:rFonts w:ascii="Arial Narrow" w:hAnsi="Arial Narrow" w:cs="Arial"/>
                <w:bCs/>
                <w:color w:val="000000"/>
                <w:sz w:val="22"/>
                <w:szCs w:val="22"/>
              </w:rPr>
              <w:footnoteReference w:id="4"/>
            </w:r>
            <w:r w:rsidRPr="0047266C">
              <w:rPr>
                <w:rFonts w:ascii="Arial Narrow" w:hAnsi="Arial Narrow" w:cs="Arial"/>
                <w:bCs/>
                <w:color w:val="000000"/>
                <w:sz w:val="22"/>
                <w:szCs w:val="22"/>
              </w:rPr>
              <w:t>, impulsado principalmente por los sectores de</w:t>
            </w:r>
            <w:r w:rsidRPr="0047266C">
              <w:rPr>
                <w:sz w:val="22"/>
                <w:szCs w:val="22"/>
              </w:rPr>
              <w:t xml:space="preserve"> </w:t>
            </w:r>
            <w:r w:rsidRPr="0047266C">
              <w:rPr>
                <w:rFonts w:ascii="Arial Narrow" w:hAnsi="Arial Narrow" w:cs="Arial"/>
                <w:bCs/>
                <w:color w:val="000000"/>
                <w:sz w:val="22"/>
                <w:szCs w:val="22"/>
              </w:rPr>
              <w:t>Comercio, Agricultura y Actividades artísticas. Estos resultados dan indicios de que el ciclo expansivo sostenido, lo que lleva a tener unas proyecciones de crecimiento en torno al 2,6% en 2025 y 3,4% en 2026</w:t>
            </w:r>
            <w:r w:rsidRPr="0047266C">
              <w:rPr>
                <w:rStyle w:val="Refdenotaalpie"/>
                <w:rFonts w:ascii="Arial Narrow" w:hAnsi="Arial Narrow" w:cs="Arial"/>
                <w:bCs/>
                <w:color w:val="000000"/>
                <w:sz w:val="22"/>
                <w:szCs w:val="22"/>
              </w:rPr>
              <w:footnoteReference w:id="5"/>
            </w:r>
            <w:r w:rsidRPr="0047266C">
              <w:rPr>
                <w:rFonts w:ascii="Arial Narrow" w:hAnsi="Arial Narrow" w:cs="Arial"/>
                <w:bCs/>
                <w:color w:val="000000"/>
                <w:sz w:val="22"/>
                <w:szCs w:val="22"/>
              </w:rPr>
              <w:t xml:space="preserve">. </w:t>
            </w:r>
          </w:p>
          <w:p w14:paraId="109F55AD" w14:textId="77777777" w:rsidR="00072956" w:rsidRPr="0047266C" w:rsidRDefault="00072956" w:rsidP="007F5995">
            <w:pPr>
              <w:jc w:val="both"/>
              <w:rPr>
                <w:rFonts w:ascii="Arial Narrow" w:hAnsi="Arial Narrow" w:cs="Arial"/>
                <w:bCs/>
                <w:color w:val="000000"/>
                <w:sz w:val="22"/>
                <w:szCs w:val="22"/>
              </w:rPr>
            </w:pPr>
          </w:p>
          <w:p w14:paraId="4BA69973" w14:textId="77777777" w:rsidR="00072956" w:rsidRPr="0047266C" w:rsidRDefault="00072956" w:rsidP="007F5995">
            <w:pPr>
              <w:jc w:val="both"/>
              <w:rPr>
                <w:rFonts w:ascii="Arial Narrow" w:hAnsi="Arial Narrow" w:cs="Arial"/>
                <w:bCs/>
                <w:color w:val="000000"/>
                <w:sz w:val="22"/>
                <w:szCs w:val="22"/>
              </w:rPr>
            </w:pPr>
            <w:r w:rsidRPr="0047266C">
              <w:rPr>
                <w:rFonts w:ascii="Arial Narrow" w:hAnsi="Arial Narrow" w:cs="Arial"/>
                <w:bCs/>
                <w:color w:val="000000"/>
                <w:sz w:val="22"/>
                <w:szCs w:val="22"/>
              </w:rPr>
              <w:t>Así mismo, los datos del Índice de Precios al Consumidor IPC calculados por el Departamento Administrativo Nacional de Estadística (DANE), siguen mostrando una tendencia al rango meta de política monetaria, al alcanzar una variación mensual para el mes de abril del 0,66%, frente al alcanzado en marzo de 2025. De igual forma, se observa que la variación año corrido fue de 3,30% y la variación anual frente al mismo periodo de la vigencia 2024 fue del 5,16%</w:t>
            </w:r>
            <w:r w:rsidRPr="0047266C">
              <w:rPr>
                <w:rStyle w:val="Refdenotaalpie"/>
                <w:rFonts w:ascii="Arial Narrow" w:hAnsi="Arial Narrow" w:cs="Arial"/>
                <w:bCs/>
                <w:color w:val="000000"/>
                <w:sz w:val="22"/>
                <w:szCs w:val="22"/>
              </w:rPr>
              <w:footnoteReference w:id="6"/>
            </w:r>
            <w:r w:rsidRPr="0047266C">
              <w:rPr>
                <w:rFonts w:ascii="Arial Narrow" w:hAnsi="Arial Narrow" w:cs="Arial"/>
                <w:bCs/>
                <w:color w:val="000000"/>
                <w:sz w:val="22"/>
                <w:szCs w:val="22"/>
              </w:rPr>
              <w:t>. Este panorama refleja una reducción de la inflación más rápida de lo previsto, donde se espera una inflación al cierre del 2025 en un rango cercano al 4,1%, y del 3% al cierre de 2026</w:t>
            </w:r>
            <w:r w:rsidRPr="0047266C">
              <w:rPr>
                <w:rStyle w:val="Refdenotaalpie"/>
                <w:rFonts w:ascii="Arial Narrow" w:hAnsi="Arial Narrow" w:cs="Arial"/>
                <w:bCs/>
                <w:color w:val="000000"/>
                <w:sz w:val="22"/>
                <w:szCs w:val="22"/>
              </w:rPr>
              <w:footnoteReference w:id="7"/>
            </w:r>
            <w:r w:rsidRPr="0047266C">
              <w:rPr>
                <w:rFonts w:ascii="Arial Narrow" w:hAnsi="Arial Narrow" w:cs="Arial"/>
                <w:bCs/>
                <w:color w:val="000000"/>
                <w:sz w:val="22"/>
                <w:szCs w:val="22"/>
              </w:rPr>
              <w:t xml:space="preserve">. </w:t>
            </w:r>
          </w:p>
          <w:p w14:paraId="5159B52E" w14:textId="77777777" w:rsidR="00072956" w:rsidRPr="0047266C" w:rsidRDefault="00072956" w:rsidP="007F5995">
            <w:pPr>
              <w:jc w:val="both"/>
              <w:rPr>
                <w:rFonts w:ascii="Arial Narrow" w:hAnsi="Arial Narrow" w:cs="Arial"/>
                <w:bCs/>
                <w:color w:val="000000"/>
                <w:sz w:val="22"/>
                <w:szCs w:val="22"/>
              </w:rPr>
            </w:pPr>
          </w:p>
          <w:p w14:paraId="79888ED5" w14:textId="77777777" w:rsidR="00072956" w:rsidRPr="0047266C" w:rsidRDefault="00072956" w:rsidP="007F5995">
            <w:pPr>
              <w:jc w:val="both"/>
              <w:rPr>
                <w:rFonts w:ascii="Arial Narrow" w:hAnsi="Arial Narrow" w:cs="Arial"/>
                <w:bCs/>
                <w:color w:val="000000"/>
                <w:sz w:val="22"/>
                <w:szCs w:val="22"/>
              </w:rPr>
            </w:pPr>
            <w:r w:rsidRPr="0047266C">
              <w:rPr>
                <w:rFonts w:ascii="Arial Narrow" w:hAnsi="Arial Narrow" w:cs="Arial"/>
                <w:bCs/>
                <w:color w:val="000000"/>
                <w:sz w:val="22"/>
                <w:szCs w:val="22"/>
              </w:rPr>
              <w:t>Estos escenarios de recuperación resultan determinantes para las decisiones de política monetaria en los próximos periodos, donde el Banco de la República BANREP ha venido reduciendo la tasa de interés de política monetaria, llevándola en la última reunión de la junta directiva al 9,25%</w:t>
            </w:r>
            <w:r w:rsidRPr="0047266C">
              <w:rPr>
                <w:rStyle w:val="Refdenotaalpie"/>
                <w:rFonts w:ascii="Arial Narrow" w:hAnsi="Arial Narrow" w:cs="Arial"/>
                <w:bCs/>
                <w:color w:val="000000"/>
                <w:sz w:val="22"/>
                <w:szCs w:val="22"/>
              </w:rPr>
              <w:footnoteReference w:id="8"/>
            </w:r>
            <w:r w:rsidRPr="0047266C">
              <w:rPr>
                <w:rFonts w:ascii="Arial Narrow" w:hAnsi="Arial Narrow" w:cs="Arial"/>
                <w:bCs/>
                <w:color w:val="000000"/>
                <w:sz w:val="22"/>
                <w:szCs w:val="22"/>
              </w:rPr>
              <w:t>, en línea con las proyecciones de los principales centros de análisis del país que proyectan que la tasa de interés se sitúe en torno al 7,0% al cierre de 2025</w:t>
            </w:r>
            <w:r w:rsidRPr="0047266C">
              <w:rPr>
                <w:rStyle w:val="Refdenotaalpie"/>
                <w:rFonts w:ascii="Arial Narrow" w:hAnsi="Arial Narrow" w:cs="Arial"/>
                <w:bCs/>
                <w:color w:val="000000"/>
                <w:sz w:val="22"/>
                <w:szCs w:val="22"/>
              </w:rPr>
              <w:footnoteReference w:id="9"/>
            </w:r>
            <w:r w:rsidRPr="0047266C">
              <w:rPr>
                <w:rFonts w:ascii="Arial Narrow" w:hAnsi="Arial Narrow" w:cs="Arial"/>
                <w:bCs/>
                <w:color w:val="000000"/>
                <w:sz w:val="22"/>
                <w:szCs w:val="22"/>
              </w:rPr>
              <w:t>. Vale mencionar que, en la reunión de la junta directiva del 30 de abril de 2025, se decidió por unanimidad la reducción de 25 puntos básicos, lo que arroja un mensaje positivo a los mercados para dinamizar la economía y apostar a un crecimiento más alto en el mediano plazo</w:t>
            </w:r>
            <w:r w:rsidRPr="0047266C">
              <w:rPr>
                <w:rStyle w:val="Refdenotaalpie"/>
                <w:rFonts w:ascii="Arial Narrow" w:hAnsi="Arial Narrow" w:cs="Arial"/>
                <w:bCs/>
                <w:color w:val="000000"/>
                <w:sz w:val="22"/>
                <w:szCs w:val="22"/>
              </w:rPr>
              <w:footnoteReference w:id="10"/>
            </w:r>
            <w:r w:rsidRPr="0047266C">
              <w:rPr>
                <w:rFonts w:ascii="Arial Narrow" w:hAnsi="Arial Narrow" w:cs="Arial"/>
                <w:bCs/>
                <w:color w:val="000000"/>
                <w:sz w:val="22"/>
                <w:szCs w:val="22"/>
              </w:rPr>
              <w:t xml:space="preserve">.   </w:t>
            </w:r>
          </w:p>
          <w:p w14:paraId="06DC7B84" w14:textId="77777777" w:rsidR="00072956" w:rsidRPr="0047266C" w:rsidRDefault="00072956" w:rsidP="007F5995">
            <w:pPr>
              <w:jc w:val="both"/>
              <w:rPr>
                <w:rFonts w:ascii="Arial Narrow" w:hAnsi="Arial Narrow" w:cs="Arial"/>
                <w:bCs/>
                <w:color w:val="000000"/>
                <w:sz w:val="22"/>
                <w:szCs w:val="22"/>
              </w:rPr>
            </w:pPr>
          </w:p>
          <w:p w14:paraId="537B2D6D" w14:textId="77777777" w:rsidR="00072956" w:rsidRPr="0047266C" w:rsidRDefault="00072956" w:rsidP="007F5995">
            <w:pPr>
              <w:jc w:val="both"/>
              <w:rPr>
                <w:rFonts w:ascii="Arial Narrow" w:hAnsi="Arial Narrow" w:cs="Arial"/>
                <w:bCs/>
                <w:color w:val="000000"/>
                <w:sz w:val="22"/>
                <w:szCs w:val="22"/>
              </w:rPr>
            </w:pPr>
            <w:r w:rsidRPr="0047266C">
              <w:rPr>
                <w:rFonts w:ascii="Arial Narrow" w:hAnsi="Arial Narrow" w:cs="Arial"/>
                <w:bCs/>
                <w:color w:val="000000"/>
                <w:sz w:val="22"/>
                <w:szCs w:val="22"/>
              </w:rPr>
              <w:t>Estas proyecciones resultan determinantes en las dinámicas de estímulos para canalizar inversión el sector energía, que para 2024 alcanzó un valor aproximado de 1,12 GW</w:t>
            </w:r>
            <w:r w:rsidRPr="0047266C">
              <w:rPr>
                <w:rStyle w:val="Refdenotaalpie"/>
                <w:rFonts w:ascii="Arial Narrow" w:hAnsi="Arial Narrow" w:cs="Arial"/>
                <w:bCs/>
                <w:color w:val="000000"/>
                <w:sz w:val="22"/>
                <w:szCs w:val="22"/>
              </w:rPr>
              <w:footnoteReference w:id="11"/>
            </w:r>
            <w:r w:rsidRPr="0047266C">
              <w:rPr>
                <w:rFonts w:ascii="Arial Narrow" w:hAnsi="Arial Narrow" w:cs="Arial"/>
                <w:bCs/>
                <w:color w:val="000000"/>
                <w:sz w:val="22"/>
                <w:szCs w:val="22"/>
              </w:rPr>
              <w:t>, y se calcula que el mercado crecerá a una tasa anual compuesta del 6,7% entre 2025 y 2034, para alcanzar una capacidad de 2,01 GW en 2034</w:t>
            </w:r>
            <w:r w:rsidRPr="0047266C">
              <w:rPr>
                <w:rStyle w:val="Refdenotaalpie"/>
                <w:rFonts w:ascii="Arial Narrow" w:hAnsi="Arial Narrow" w:cs="Arial"/>
                <w:bCs/>
                <w:color w:val="000000"/>
                <w:sz w:val="22"/>
                <w:szCs w:val="22"/>
              </w:rPr>
              <w:footnoteReference w:id="12"/>
            </w:r>
            <w:r w:rsidRPr="0047266C">
              <w:rPr>
                <w:rFonts w:ascii="Arial Narrow" w:hAnsi="Arial Narrow" w:cs="Arial"/>
                <w:bCs/>
                <w:color w:val="000000"/>
                <w:sz w:val="22"/>
                <w:szCs w:val="22"/>
              </w:rPr>
              <w:t>. Así mismo, el crecimiento de la población y la reactivación económica llevarán a una mayor demanda de energía que tiene una proyección de crecimiento del 2% en 2025</w:t>
            </w:r>
            <w:r w:rsidRPr="0047266C">
              <w:rPr>
                <w:rStyle w:val="Refdenotaalpie"/>
                <w:rFonts w:ascii="Arial Narrow" w:hAnsi="Arial Narrow" w:cs="Arial"/>
                <w:bCs/>
                <w:color w:val="000000"/>
                <w:sz w:val="22"/>
                <w:szCs w:val="22"/>
              </w:rPr>
              <w:footnoteReference w:id="13"/>
            </w:r>
            <w:r w:rsidRPr="0047266C">
              <w:rPr>
                <w:rFonts w:ascii="Arial Narrow" w:hAnsi="Arial Narrow" w:cs="Arial"/>
                <w:bCs/>
                <w:color w:val="000000"/>
                <w:sz w:val="22"/>
                <w:szCs w:val="22"/>
              </w:rPr>
              <w:t xml:space="preserve">. </w:t>
            </w:r>
          </w:p>
          <w:p w14:paraId="378A8A76" w14:textId="77777777" w:rsidR="00072956" w:rsidRPr="0047266C" w:rsidRDefault="00072956" w:rsidP="007F5995">
            <w:pPr>
              <w:jc w:val="both"/>
              <w:rPr>
                <w:rFonts w:ascii="Arial Narrow" w:hAnsi="Arial Narrow" w:cs="Arial"/>
                <w:bCs/>
                <w:color w:val="000000"/>
                <w:sz w:val="22"/>
                <w:szCs w:val="22"/>
              </w:rPr>
            </w:pPr>
          </w:p>
          <w:p w14:paraId="58EE9EDE" w14:textId="77777777" w:rsidR="00072956" w:rsidRPr="0047266C" w:rsidRDefault="00072956" w:rsidP="007F5995">
            <w:pPr>
              <w:jc w:val="both"/>
              <w:rPr>
                <w:rFonts w:ascii="Arial Narrow" w:hAnsi="Arial Narrow" w:cs="Arial"/>
                <w:bCs/>
                <w:color w:val="000000"/>
                <w:sz w:val="22"/>
                <w:szCs w:val="22"/>
              </w:rPr>
            </w:pPr>
            <w:r w:rsidRPr="0047266C">
              <w:rPr>
                <w:rFonts w:ascii="Arial Narrow" w:hAnsi="Arial Narrow" w:cs="Arial"/>
                <w:bCs/>
                <w:color w:val="000000"/>
                <w:sz w:val="22"/>
                <w:szCs w:val="22"/>
              </w:rPr>
              <w:t>Bajo este escenario macroeconómico y sectorial, la ANLA proyecta tener un crecimiento considerable en las solicitudes de evaluación de licencias ambientales para el sector energía para los años 2025 y 2026, teniendo en cuenta el comportamiento observado desde el año 2018 al 2025</w:t>
            </w:r>
            <w:r w:rsidRPr="0047266C">
              <w:rPr>
                <w:rStyle w:val="Refdenotaalpie"/>
                <w:rFonts w:ascii="Arial Narrow" w:hAnsi="Arial Narrow" w:cs="Arial"/>
                <w:bCs/>
                <w:color w:val="000000"/>
                <w:sz w:val="22"/>
                <w:szCs w:val="22"/>
              </w:rPr>
              <w:footnoteReference w:id="14"/>
            </w:r>
            <w:r w:rsidRPr="0047266C">
              <w:rPr>
                <w:rFonts w:ascii="Arial Narrow" w:hAnsi="Arial Narrow" w:cs="Arial"/>
                <w:bCs/>
                <w:color w:val="000000"/>
                <w:sz w:val="22"/>
                <w:szCs w:val="22"/>
              </w:rPr>
              <w:t xml:space="preserve">, donde la ANLA ha evaluado y aprobado en total 54 licencias ambientales de proyectos FNCER, , de las cuales 26 proyectos (48%) correspondían a proyectos fotovoltaicos, 21 (39%) a líneas de transmisión y 7 (13%) a proyectos eólicos. </w:t>
            </w:r>
          </w:p>
          <w:p w14:paraId="555187DC" w14:textId="77777777" w:rsidR="00072956" w:rsidRPr="0047266C" w:rsidRDefault="00072956" w:rsidP="007F5995">
            <w:pPr>
              <w:jc w:val="both"/>
              <w:rPr>
                <w:rFonts w:ascii="Arial Narrow" w:hAnsi="Arial Narrow" w:cs="Arial"/>
                <w:bCs/>
                <w:color w:val="000000"/>
                <w:sz w:val="22"/>
                <w:szCs w:val="22"/>
              </w:rPr>
            </w:pPr>
          </w:p>
          <w:p w14:paraId="33D5DB43" w14:textId="77777777" w:rsidR="00072956" w:rsidRDefault="00072956" w:rsidP="007F5995">
            <w:pPr>
              <w:jc w:val="center"/>
              <w:rPr>
                <w:rFonts w:ascii="Arial Narrow" w:hAnsi="Arial Narrow" w:cs="Arial"/>
                <w:b/>
                <w:color w:val="000000"/>
                <w:sz w:val="22"/>
                <w:szCs w:val="22"/>
              </w:rPr>
            </w:pPr>
          </w:p>
          <w:p w14:paraId="2E497919" w14:textId="77777777" w:rsidR="00072956" w:rsidRDefault="00072956" w:rsidP="007F5995">
            <w:pPr>
              <w:jc w:val="center"/>
              <w:rPr>
                <w:rFonts w:ascii="Arial Narrow" w:hAnsi="Arial Narrow" w:cs="Arial"/>
                <w:b/>
                <w:color w:val="000000"/>
                <w:sz w:val="22"/>
                <w:szCs w:val="22"/>
              </w:rPr>
            </w:pPr>
          </w:p>
          <w:p w14:paraId="53B7932A" w14:textId="77777777" w:rsidR="00072956" w:rsidRDefault="00072956" w:rsidP="007F5995">
            <w:pPr>
              <w:jc w:val="center"/>
              <w:rPr>
                <w:rFonts w:ascii="Arial Narrow" w:hAnsi="Arial Narrow" w:cs="Arial"/>
                <w:b/>
                <w:color w:val="000000"/>
                <w:sz w:val="22"/>
                <w:szCs w:val="22"/>
              </w:rPr>
            </w:pPr>
          </w:p>
          <w:p w14:paraId="44959F5A" w14:textId="77777777" w:rsidR="00072956" w:rsidRDefault="00072956" w:rsidP="007F5995">
            <w:pPr>
              <w:jc w:val="center"/>
              <w:rPr>
                <w:rFonts w:ascii="Arial Narrow" w:hAnsi="Arial Narrow" w:cs="Arial"/>
                <w:b/>
                <w:color w:val="000000"/>
                <w:sz w:val="22"/>
                <w:szCs w:val="22"/>
              </w:rPr>
            </w:pPr>
          </w:p>
          <w:p w14:paraId="3B0F2B85" w14:textId="77777777" w:rsidR="00072956" w:rsidRDefault="00072956" w:rsidP="007F5995">
            <w:pPr>
              <w:jc w:val="center"/>
              <w:rPr>
                <w:rFonts w:ascii="Arial Narrow" w:hAnsi="Arial Narrow" w:cs="Arial"/>
                <w:b/>
                <w:color w:val="000000"/>
                <w:sz w:val="22"/>
                <w:szCs w:val="22"/>
              </w:rPr>
            </w:pPr>
          </w:p>
          <w:p w14:paraId="50054F67" w14:textId="77777777" w:rsidR="00072956" w:rsidRDefault="00072956" w:rsidP="007F5995">
            <w:pPr>
              <w:jc w:val="center"/>
              <w:rPr>
                <w:rFonts w:ascii="Arial Narrow" w:hAnsi="Arial Narrow" w:cs="Arial"/>
                <w:b/>
                <w:color w:val="000000"/>
                <w:sz w:val="22"/>
                <w:szCs w:val="22"/>
              </w:rPr>
            </w:pPr>
          </w:p>
          <w:p w14:paraId="76C40432" w14:textId="77777777" w:rsidR="00072956" w:rsidRDefault="00072956" w:rsidP="007F5995">
            <w:pPr>
              <w:jc w:val="center"/>
              <w:rPr>
                <w:rFonts w:ascii="Arial Narrow" w:hAnsi="Arial Narrow" w:cs="Arial"/>
                <w:b/>
                <w:color w:val="000000"/>
                <w:sz w:val="22"/>
                <w:szCs w:val="22"/>
              </w:rPr>
            </w:pPr>
          </w:p>
          <w:p w14:paraId="58E1F3F0" w14:textId="77777777" w:rsidR="00072956" w:rsidRDefault="00072956" w:rsidP="007F5995">
            <w:pPr>
              <w:jc w:val="center"/>
              <w:rPr>
                <w:rFonts w:ascii="Arial Narrow" w:hAnsi="Arial Narrow" w:cs="Arial"/>
                <w:b/>
                <w:color w:val="000000"/>
                <w:sz w:val="22"/>
                <w:szCs w:val="22"/>
              </w:rPr>
            </w:pPr>
          </w:p>
          <w:p w14:paraId="6F582F1A" w14:textId="77777777" w:rsidR="00072956" w:rsidRDefault="00072956" w:rsidP="007F5995">
            <w:pPr>
              <w:jc w:val="center"/>
              <w:rPr>
                <w:rFonts w:ascii="Arial Narrow" w:hAnsi="Arial Narrow" w:cs="Arial"/>
                <w:b/>
                <w:color w:val="000000"/>
                <w:sz w:val="22"/>
                <w:szCs w:val="22"/>
              </w:rPr>
            </w:pPr>
          </w:p>
          <w:p w14:paraId="2513EE62" w14:textId="77777777" w:rsidR="00072956" w:rsidRDefault="00072956" w:rsidP="007F5995">
            <w:pPr>
              <w:jc w:val="center"/>
              <w:rPr>
                <w:rFonts w:ascii="Arial Narrow" w:hAnsi="Arial Narrow" w:cs="Arial"/>
                <w:b/>
                <w:color w:val="000000"/>
                <w:sz w:val="22"/>
                <w:szCs w:val="22"/>
              </w:rPr>
            </w:pPr>
          </w:p>
          <w:p w14:paraId="08ACFBD9" w14:textId="77777777" w:rsidR="00072956" w:rsidRDefault="00072956" w:rsidP="007F5995">
            <w:pPr>
              <w:jc w:val="center"/>
              <w:rPr>
                <w:rFonts w:ascii="Arial Narrow" w:hAnsi="Arial Narrow" w:cs="Arial"/>
                <w:b/>
                <w:color w:val="000000"/>
                <w:sz w:val="22"/>
                <w:szCs w:val="22"/>
              </w:rPr>
            </w:pPr>
          </w:p>
          <w:p w14:paraId="6F4669ED" w14:textId="77777777" w:rsidR="00072956" w:rsidRDefault="00072956" w:rsidP="007F5995">
            <w:pPr>
              <w:jc w:val="center"/>
              <w:rPr>
                <w:rFonts w:ascii="Arial Narrow" w:hAnsi="Arial Narrow" w:cs="Arial"/>
                <w:b/>
                <w:color w:val="000000"/>
                <w:sz w:val="22"/>
                <w:szCs w:val="22"/>
              </w:rPr>
            </w:pPr>
          </w:p>
          <w:p w14:paraId="7B5AAED7" w14:textId="77777777" w:rsidR="00072956" w:rsidRDefault="00072956" w:rsidP="007F5995">
            <w:pPr>
              <w:jc w:val="center"/>
              <w:rPr>
                <w:rFonts w:ascii="Arial Narrow" w:hAnsi="Arial Narrow" w:cs="Arial"/>
                <w:b/>
                <w:color w:val="000000"/>
                <w:sz w:val="22"/>
                <w:szCs w:val="22"/>
              </w:rPr>
            </w:pPr>
          </w:p>
          <w:p w14:paraId="60F27726" w14:textId="77777777" w:rsidR="00072956" w:rsidRDefault="00072956" w:rsidP="007F5995">
            <w:pPr>
              <w:jc w:val="center"/>
              <w:rPr>
                <w:rFonts w:ascii="Arial Narrow" w:hAnsi="Arial Narrow" w:cs="Arial"/>
                <w:b/>
                <w:color w:val="000000"/>
                <w:sz w:val="22"/>
                <w:szCs w:val="22"/>
              </w:rPr>
            </w:pPr>
          </w:p>
          <w:p w14:paraId="50D1CF2F" w14:textId="77777777" w:rsidR="00072956" w:rsidRDefault="00072956" w:rsidP="007F5995">
            <w:pPr>
              <w:jc w:val="center"/>
              <w:rPr>
                <w:rFonts w:ascii="Arial Narrow" w:hAnsi="Arial Narrow" w:cs="Arial"/>
                <w:b/>
                <w:color w:val="000000"/>
                <w:sz w:val="22"/>
                <w:szCs w:val="22"/>
              </w:rPr>
            </w:pPr>
          </w:p>
          <w:p w14:paraId="1C062ADF" w14:textId="77777777" w:rsidR="00072956" w:rsidRPr="0047266C" w:rsidRDefault="00072956" w:rsidP="007F5995">
            <w:pPr>
              <w:jc w:val="center"/>
              <w:rPr>
                <w:rFonts w:ascii="Arial Narrow" w:hAnsi="Arial Narrow" w:cs="Arial"/>
                <w:bCs/>
                <w:color w:val="000000"/>
                <w:sz w:val="22"/>
                <w:szCs w:val="22"/>
              </w:rPr>
            </w:pPr>
            <w:r w:rsidRPr="00EF1E66">
              <w:rPr>
                <w:rFonts w:ascii="Arial Narrow" w:hAnsi="Arial Narrow" w:cs="Arial"/>
                <w:sz w:val="24"/>
                <w:szCs w:val="24"/>
                <w:shd w:val="clear" w:color="auto" w:fill="FFFFFF"/>
                <w:lang w:val="es-CO"/>
              </w:rPr>
              <w:t xml:space="preserve">Figura </w:t>
            </w:r>
            <w:r w:rsidRPr="00EF1E66">
              <w:rPr>
                <w:rFonts w:ascii="Arial Narrow" w:hAnsi="Arial Narrow" w:cs="Arial"/>
                <w:sz w:val="24"/>
                <w:szCs w:val="24"/>
                <w:shd w:val="clear" w:color="auto" w:fill="FFFFFF"/>
                <w:lang w:val="es-CO"/>
              </w:rPr>
              <w:fldChar w:fldCharType="begin"/>
            </w:r>
            <w:r w:rsidRPr="00EF1E66">
              <w:rPr>
                <w:rFonts w:ascii="Arial Narrow" w:hAnsi="Arial Narrow" w:cs="Arial"/>
                <w:sz w:val="24"/>
                <w:szCs w:val="24"/>
                <w:shd w:val="clear" w:color="auto" w:fill="FFFFFF"/>
                <w:lang w:val="es-CO"/>
              </w:rPr>
              <w:instrText xml:space="preserve"> SEQ Figura \* ARABIC </w:instrText>
            </w:r>
            <w:r w:rsidRPr="00EF1E66">
              <w:rPr>
                <w:rFonts w:ascii="Arial Narrow" w:hAnsi="Arial Narrow" w:cs="Arial"/>
                <w:sz w:val="24"/>
                <w:szCs w:val="24"/>
                <w:shd w:val="clear" w:color="auto" w:fill="FFFFFF"/>
                <w:lang w:val="es-CO"/>
              </w:rPr>
              <w:fldChar w:fldCharType="separate"/>
            </w:r>
            <w:r>
              <w:rPr>
                <w:rFonts w:ascii="Arial Narrow" w:hAnsi="Arial Narrow" w:cs="Arial"/>
                <w:noProof/>
                <w:sz w:val="24"/>
                <w:szCs w:val="24"/>
                <w:shd w:val="clear" w:color="auto" w:fill="FFFFFF"/>
                <w:lang w:val="es-CO"/>
              </w:rPr>
              <w:t>12</w:t>
            </w:r>
            <w:r w:rsidRPr="00EF1E66">
              <w:rPr>
                <w:rFonts w:ascii="Arial Narrow" w:hAnsi="Arial Narrow" w:cs="Arial"/>
                <w:sz w:val="24"/>
                <w:szCs w:val="24"/>
                <w:shd w:val="clear" w:color="auto" w:fill="FFFFFF"/>
                <w:lang w:val="es-CO"/>
              </w:rPr>
              <w:fldChar w:fldCharType="end"/>
            </w:r>
            <w:r>
              <w:rPr>
                <w:rFonts w:ascii="Arial Narrow" w:hAnsi="Arial Narrow"/>
                <w:sz w:val="24"/>
                <w:szCs w:val="24"/>
                <w:shd w:val="clear" w:color="auto" w:fill="FFFFFF"/>
              </w:rPr>
              <w:t xml:space="preserve">: </w:t>
            </w:r>
            <w:r w:rsidRPr="0047266C">
              <w:rPr>
                <w:rFonts w:ascii="Arial Narrow" w:hAnsi="Arial Narrow" w:cs="Arial"/>
                <w:bCs/>
                <w:color w:val="000000"/>
                <w:sz w:val="22"/>
                <w:szCs w:val="22"/>
              </w:rPr>
              <w:t>Proyectos FNCER licenciados por la ANLA 2018-2025</w:t>
            </w:r>
          </w:p>
          <w:p w14:paraId="33A77CF6" w14:textId="77777777" w:rsidR="00072956" w:rsidRPr="0047266C" w:rsidRDefault="00072956" w:rsidP="007F5995">
            <w:pPr>
              <w:jc w:val="center"/>
              <w:rPr>
                <w:rFonts w:cs="Arial"/>
                <w:bCs/>
                <w:sz w:val="22"/>
                <w:szCs w:val="22"/>
              </w:rPr>
            </w:pPr>
            <w:r w:rsidRPr="00235C3F">
              <w:rPr>
                <w:noProof/>
                <w:sz w:val="22"/>
                <w:szCs w:val="22"/>
              </w:rPr>
              <w:drawing>
                <wp:inline distT="0" distB="0" distL="0" distR="0" wp14:anchorId="33E5A98A" wp14:editId="52A70382">
                  <wp:extent cx="6305550" cy="2895600"/>
                  <wp:effectExtent l="0" t="0" r="0" b="0"/>
                  <wp:docPr id="44" name="Gráfico 1" descr="Gráfico, Gráfico de barras&#10;&#10;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Gráfico 1" descr="Gráfico, Gráfico de barras&#10;&#10;El contenido generado por IA puede ser incorrecto."/>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05550" cy="2895600"/>
                          </a:xfrm>
                          <a:prstGeom prst="rect">
                            <a:avLst/>
                          </a:prstGeom>
                          <a:noFill/>
                          <a:ln>
                            <a:noFill/>
                          </a:ln>
                        </pic:spPr>
                      </pic:pic>
                    </a:graphicData>
                  </a:graphic>
                </wp:inline>
              </w:drawing>
            </w:r>
          </w:p>
          <w:p w14:paraId="3B71BBF0" w14:textId="77777777" w:rsidR="00072956" w:rsidRPr="00BC2933" w:rsidRDefault="00072956" w:rsidP="007F5995">
            <w:pPr>
              <w:jc w:val="center"/>
              <w:rPr>
                <w:rFonts w:ascii="Arial Narrow" w:hAnsi="Arial Narrow" w:cs="Arial"/>
                <w:sz w:val="22"/>
                <w:szCs w:val="22"/>
              </w:rPr>
            </w:pPr>
            <w:r w:rsidRPr="00BC2933">
              <w:rPr>
                <w:rFonts w:ascii="Arial Narrow" w:hAnsi="Arial Narrow" w:cs="Arial"/>
                <w:sz w:val="22"/>
                <w:szCs w:val="22"/>
              </w:rPr>
              <w:t>Fuente. Tablero de control FNCER, Centro Monitoreo ANLA</w:t>
            </w:r>
            <w:r>
              <w:rPr>
                <w:rFonts w:ascii="Arial Narrow" w:hAnsi="Arial Narrow" w:cs="Arial"/>
                <w:sz w:val="22"/>
                <w:szCs w:val="22"/>
              </w:rPr>
              <w:t xml:space="preserve"> (</w:t>
            </w:r>
            <w:r w:rsidRPr="00BC2933">
              <w:rPr>
                <w:rFonts w:ascii="Arial Narrow" w:hAnsi="Arial Narrow" w:cs="Arial"/>
                <w:sz w:val="22"/>
                <w:szCs w:val="22"/>
              </w:rPr>
              <w:t>2025</w:t>
            </w:r>
            <w:r>
              <w:rPr>
                <w:rFonts w:ascii="Arial Narrow" w:hAnsi="Arial Narrow" w:cs="Arial"/>
                <w:sz w:val="22"/>
                <w:szCs w:val="22"/>
              </w:rPr>
              <w:t>)</w:t>
            </w:r>
          </w:p>
          <w:p w14:paraId="1543C679" w14:textId="77777777" w:rsidR="00072956" w:rsidRPr="0047266C" w:rsidRDefault="00072956" w:rsidP="007F5995">
            <w:pPr>
              <w:jc w:val="center"/>
              <w:rPr>
                <w:rFonts w:ascii="Arial Narrow" w:hAnsi="Arial Narrow" w:cs="Arial"/>
                <w:bCs/>
                <w:color w:val="000000"/>
                <w:sz w:val="22"/>
                <w:szCs w:val="22"/>
              </w:rPr>
            </w:pPr>
          </w:p>
          <w:p w14:paraId="6421D317" w14:textId="77777777" w:rsidR="00072956" w:rsidRPr="00865A2F" w:rsidRDefault="00072956" w:rsidP="007F5995">
            <w:pPr>
              <w:pStyle w:val="NormalWeb"/>
              <w:jc w:val="both"/>
              <w:rPr>
                <w:rFonts w:ascii="Arial Narrow" w:hAnsi="Arial Narrow"/>
                <w:lang w:val="es-CO" w:eastAsia="es-CO"/>
              </w:rPr>
            </w:pPr>
            <w:r>
              <w:rPr>
                <w:rFonts w:ascii="Arial Narrow" w:hAnsi="Arial Narrow"/>
                <w:lang w:val="es-CO" w:eastAsia="es-CO"/>
              </w:rPr>
              <w:t>La</w:t>
            </w:r>
            <w:r w:rsidRPr="00865A2F">
              <w:rPr>
                <w:rFonts w:ascii="Arial Narrow" w:hAnsi="Arial Narrow"/>
                <w:lang w:val="es-CO" w:eastAsia="es-CO"/>
              </w:rPr>
              <w:t xml:space="preserve"> medida </w:t>
            </w:r>
            <w:r>
              <w:rPr>
                <w:rFonts w:ascii="Arial Narrow" w:hAnsi="Arial Narrow"/>
                <w:lang w:val="es-CO" w:eastAsia="es-CO"/>
              </w:rPr>
              <w:t xml:space="preserve">aquí propuesta </w:t>
            </w:r>
            <w:r w:rsidRPr="00865A2F">
              <w:rPr>
                <w:rFonts w:ascii="Arial Narrow" w:hAnsi="Arial Narrow"/>
                <w:lang w:val="es-CO" w:eastAsia="es-CO"/>
              </w:rPr>
              <w:t xml:space="preserve">no tiene un </w:t>
            </w:r>
            <w:r w:rsidRPr="00B82FB0">
              <w:rPr>
                <w:rFonts w:ascii="Arial Narrow" w:hAnsi="Arial Narrow"/>
                <w:lang w:val="es-CO" w:eastAsia="es-CO"/>
              </w:rPr>
              <w:t xml:space="preserve">impacto financiero significativo sobre la sostenibilidad de las </w:t>
            </w:r>
            <w:r w:rsidRPr="00865A2F">
              <w:rPr>
                <w:rFonts w:ascii="Arial Narrow" w:hAnsi="Arial Narrow"/>
                <w:lang w:val="es-CO" w:eastAsia="es-CO"/>
              </w:rPr>
              <w:t xml:space="preserve">Corporaciones Autónomas Regionales (CAR). En primer lugar porque las licencias de FNCER no constituyen su fuente principal de financiamiento. Para tomar un ejemplo, </w:t>
            </w:r>
            <w:r w:rsidRPr="00B82FB0">
              <w:rPr>
                <w:rFonts w:ascii="Arial Narrow" w:hAnsi="Arial Narrow"/>
                <w:lang w:val="es-CO" w:eastAsia="es-CO"/>
              </w:rPr>
              <w:t>la CAR Cundinamarca, esta fuente de ingresos representó apenas el 0,4% en 2024. En segundo lugar</w:t>
            </w:r>
            <w:r w:rsidRPr="00865A2F">
              <w:rPr>
                <w:rFonts w:ascii="Arial Narrow" w:hAnsi="Arial Narrow"/>
                <w:lang w:val="es-CO" w:eastAsia="es-CO"/>
              </w:rPr>
              <w:t xml:space="preserve">, porque las CAR conservarán su facultad y las finanzas derivadas del otorgamiento de licencias ambientales ordinarias en proyectos de generación a partir de fuentes convencionales de energía, así como a los proyectos </w:t>
            </w:r>
            <w:r>
              <w:rPr>
                <w:rFonts w:ascii="Arial Narrow" w:hAnsi="Arial Narrow"/>
                <w:lang w:val="es-CO" w:eastAsia="es-CO"/>
              </w:rPr>
              <w:t>eolicos</w:t>
            </w:r>
            <w:r w:rsidRPr="00865A2F">
              <w:rPr>
                <w:rFonts w:ascii="Arial Narrow" w:hAnsi="Arial Narrow"/>
                <w:lang w:val="es-CO" w:eastAsia="es-CO"/>
              </w:rPr>
              <w:t xml:space="preserve"> en una capacidad de generación entre 10 y </w:t>
            </w:r>
            <w:r>
              <w:rPr>
                <w:rFonts w:ascii="Arial Narrow" w:hAnsi="Arial Narrow"/>
                <w:lang w:val="es-CO" w:eastAsia="es-CO"/>
              </w:rPr>
              <w:t>5</w:t>
            </w:r>
            <w:r w:rsidRPr="00865A2F">
              <w:rPr>
                <w:rFonts w:ascii="Arial Narrow" w:hAnsi="Arial Narrow"/>
                <w:lang w:val="es-CO" w:eastAsia="es-CO"/>
              </w:rPr>
              <w:t xml:space="preserve">0 MW que no cumplan con los requisitos para acceder a la licencia </w:t>
            </w:r>
            <w:r>
              <w:rPr>
                <w:rFonts w:ascii="Arial Narrow" w:hAnsi="Arial Narrow"/>
                <w:lang w:val="es-CO" w:eastAsia="es-CO"/>
              </w:rPr>
              <w:t>racionalizada</w:t>
            </w:r>
            <w:r w:rsidRPr="00865A2F">
              <w:rPr>
                <w:rFonts w:ascii="Arial Narrow" w:hAnsi="Arial Narrow"/>
                <w:lang w:val="es-CO" w:eastAsia="es-CO"/>
              </w:rPr>
              <w:t xml:space="preserve">. Y, en tercer lugar, las corporaciones continúan con su competencia y finanzas asociadas a la expedición de permisos menores, autorizaciones y concesiones relacionados con el uso y aprovechamiento de los recursos naturales renovables, particularmente las que se necesiten para proyectos de FNCER en una capacidad de generación hasta 10MW. </w:t>
            </w:r>
          </w:p>
          <w:p w14:paraId="00AC0FF9" w14:textId="77777777" w:rsidR="00072956" w:rsidRPr="000B0504" w:rsidRDefault="00072956" w:rsidP="007F5995">
            <w:pPr>
              <w:shd w:val="clear" w:color="auto" w:fill="FFFFFF"/>
              <w:spacing w:before="100" w:beforeAutospacing="1" w:after="100" w:afterAutospacing="1"/>
              <w:jc w:val="both"/>
              <w:rPr>
                <w:rFonts w:ascii="Arial Narrow" w:eastAsia="Arial" w:hAnsi="Arial Narrow" w:cs="Arial"/>
                <w:sz w:val="22"/>
                <w:szCs w:val="22"/>
                <w:lang w:eastAsia="es-CO"/>
              </w:rPr>
            </w:pPr>
          </w:p>
        </w:tc>
      </w:tr>
      <w:tr w:rsidR="00072956" w:rsidRPr="00431BB6" w14:paraId="3AEC928A" w14:textId="77777777" w:rsidTr="008BADD2">
        <w:trPr>
          <w:trHeight w:val="66"/>
        </w:trPr>
        <w:tc>
          <w:tcPr>
            <w:tcW w:w="10740"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4F3F26" w14:textId="77777777" w:rsidR="00072956" w:rsidRPr="00B13365" w:rsidRDefault="00072956" w:rsidP="007F5995">
            <w:pPr>
              <w:numPr>
                <w:ilvl w:val="0"/>
                <w:numId w:val="8"/>
              </w:numPr>
              <w:rPr>
                <w:rFonts w:ascii="Arial Narrow" w:hAnsi="Arial Narrow" w:cs="Arial"/>
                <w:b/>
                <w:color w:val="000000"/>
                <w:sz w:val="22"/>
                <w:szCs w:val="22"/>
              </w:rPr>
            </w:pPr>
            <w:r w:rsidRPr="00431BB6">
              <w:rPr>
                <w:rFonts w:ascii="Arial Narrow" w:hAnsi="Arial Narrow" w:cs="Arial"/>
                <w:b/>
                <w:color w:val="000000"/>
                <w:sz w:val="22"/>
                <w:szCs w:val="22"/>
              </w:rPr>
              <w:t xml:space="preserve">VIABILIDAD O DISPONIBILIDAD PRESUPUESTAL </w:t>
            </w:r>
          </w:p>
          <w:p w14:paraId="6C3664E7" w14:textId="77777777" w:rsidR="00072956" w:rsidRDefault="00072956" w:rsidP="007F5995">
            <w:pPr>
              <w:rPr>
                <w:rFonts w:ascii="Arial Narrow" w:hAnsi="Arial Narrow" w:cs="Arial"/>
                <w:color w:val="000000"/>
                <w:sz w:val="22"/>
                <w:szCs w:val="22"/>
              </w:rPr>
            </w:pPr>
          </w:p>
          <w:p w14:paraId="7DC9D26C" w14:textId="77777777" w:rsidR="00072956" w:rsidRDefault="00072956" w:rsidP="007F5995">
            <w:pPr>
              <w:rPr>
                <w:rFonts w:ascii="Arial Narrow" w:hAnsi="Arial Narrow" w:cs="Arial"/>
                <w:color w:val="000000"/>
                <w:sz w:val="22"/>
                <w:szCs w:val="22"/>
              </w:rPr>
            </w:pPr>
            <w:r>
              <w:rPr>
                <w:rFonts w:ascii="Arial Narrow" w:hAnsi="Arial Narrow" w:cs="Arial"/>
                <w:color w:val="000000"/>
                <w:sz w:val="22"/>
                <w:szCs w:val="22"/>
              </w:rPr>
              <w:t xml:space="preserve">No se requiere. </w:t>
            </w:r>
          </w:p>
          <w:p w14:paraId="429A77A3" w14:textId="77777777" w:rsidR="00072956" w:rsidRPr="00865A2F" w:rsidRDefault="00072956" w:rsidP="007F5995">
            <w:pPr>
              <w:rPr>
                <w:rFonts w:ascii="Arial Narrow" w:hAnsi="Arial Narrow" w:cs="Arial"/>
                <w:b/>
                <w:color w:val="000000"/>
                <w:sz w:val="22"/>
                <w:szCs w:val="22"/>
              </w:rPr>
            </w:pPr>
          </w:p>
        </w:tc>
      </w:tr>
      <w:tr w:rsidR="00072956" w:rsidRPr="00431BB6" w14:paraId="45382375" w14:textId="77777777" w:rsidTr="008BADD2">
        <w:trPr>
          <w:trHeight w:val="687"/>
        </w:trPr>
        <w:tc>
          <w:tcPr>
            <w:tcW w:w="10740" w:type="dxa"/>
            <w:gridSpan w:val="3"/>
            <w:tcBorders>
              <w:top w:val="single" w:sz="4" w:space="0" w:color="auto"/>
              <w:bottom w:val="single" w:sz="4" w:space="0" w:color="auto"/>
            </w:tcBorders>
            <w:shd w:val="clear" w:color="auto" w:fill="FFFFFF" w:themeFill="background1"/>
            <w:vAlign w:val="center"/>
          </w:tcPr>
          <w:p w14:paraId="20BE884F" w14:textId="77777777" w:rsidR="00072956" w:rsidRPr="00207B0A" w:rsidRDefault="00072956" w:rsidP="007F5995">
            <w:pPr>
              <w:numPr>
                <w:ilvl w:val="0"/>
                <w:numId w:val="8"/>
              </w:numPr>
              <w:jc w:val="both"/>
              <w:rPr>
                <w:rFonts w:ascii="Arial Narrow" w:hAnsi="Arial Narrow" w:cs="Arial"/>
                <w:b/>
                <w:color w:val="000000"/>
                <w:sz w:val="24"/>
                <w:szCs w:val="24"/>
              </w:rPr>
            </w:pPr>
            <w:r w:rsidRPr="00207B0A">
              <w:rPr>
                <w:rFonts w:ascii="Arial Narrow" w:hAnsi="Arial Narrow" w:cs="Arial"/>
                <w:b/>
                <w:color w:val="000000"/>
                <w:sz w:val="24"/>
                <w:szCs w:val="24"/>
              </w:rPr>
              <w:t xml:space="preserve">IMPACTO MEDIOAMBIENTAL O SOBRE EL PATRIMONIO CULTURAL DE LA NACIÓN </w:t>
            </w:r>
            <w:r w:rsidRPr="00207B0A">
              <w:rPr>
                <w:rFonts w:ascii="Arial Narrow" w:hAnsi="Arial Narrow" w:cs="Arial"/>
                <w:color w:val="000000"/>
                <w:sz w:val="24"/>
                <w:szCs w:val="24"/>
              </w:rPr>
              <w:t>(Si se requiere)</w:t>
            </w:r>
          </w:p>
          <w:p w14:paraId="487FFFD0" w14:textId="77777777" w:rsidR="00072956" w:rsidRPr="00207B0A" w:rsidRDefault="00072956" w:rsidP="007F5995">
            <w:pPr>
              <w:jc w:val="both"/>
              <w:rPr>
                <w:rFonts w:ascii="Arial Narrow" w:hAnsi="Arial Narrow" w:cs="Arial"/>
                <w:i/>
                <w:color w:val="808080"/>
                <w:sz w:val="24"/>
                <w:szCs w:val="24"/>
              </w:rPr>
            </w:pPr>
          </w:p>
          <w:p w14:paraId="7185A27B" w14:textId="77777777" w:rsidR="00072956" w:rsidRPr="00607A06" w:rsidRDefault="00072956" w:rsidP="007F5995">
            <w:pPr>
              <w:jc w:val="both"/>
              <w:rPr>
                <w:rFonts w:ascii="Arial Narrow" w:hAnsi="Arial Narrow"/>
                <w:sz w:val="24"/>
                <w:szCs w:val="24"/>
              </w:rPr>
            </w:pPr>
            <w:r w:rsidRPr="00607A06">
              <w:rPr>
                <w:rFonts w:ascii="Arial Narrow" w:hAnsi="Arial Narrow"/>
                <w:sz w:val="24"/>
                <w:szCs w:val="24"/>
              </w:rPr>
              <w:t>Incentivar el uso de la energía eólica tiene un impacto ambiental profundamente positivo, al ser una fuente de energía limpia y renovable que aprovecha la fuerza inagotable del viento. Al sustituir la quema de combustibles fósiles, la energía eólica reduce drásticamente las emisiones de gases de efecto invernadero, como el dióxido de carbono (CO2), que son los principales causantes del cambio climático y la contaminación del aire. Además, a diferencia de las centrales térmicas, la generación eólica no consume grandes cantidades de agua ni produce residuos tóxicos o nucleares, contribuyendo a la preservación de los recursos hídricos y a la salud de los ecosistemas, lo que la posiciona como una estrategia fundamental en la descarbonización de la matriz energética y la construcción de un futuro más sostenible.</w:t>
            </w:r>
          </w:p>
          <w:p w14:paraId="2EB7334F" w14:textId="77777777" w:rsidR="00072956" w:rsidRPr="001A1E25" w:rsidRDefault="00072956" w:rsidP="007F5995">
            <w:pPr>
              <w:ind w:left="778"/>
              <w:jc w:val="both"/>
              <w:rPr>
                <w:rFonts w:ascii="Arial Narrow" w:hAnsi="Arial Narrow" w:cs="Arial"/>
                <w:iCs/>
                <w:color w:val="808080"/>
                <w:sz w:val="18"/>
              </w:rPr>
            </w:pPr>
          </w:p>
        </w:tc>
      </w:tr>
      <w:tr w:rsidR="00072956" w:rsidRPr="00EF7931" w14:paraId="06283E4C" w14:textId="77777777" w:rsidTr="008BADD2">
        <w:trPr>
          <w:trHeight w:val="317"/>
        </w:trPr>
        <w:tc>
          <w:tcPr>
            <w:tcW w:w="10740" w:type="dxa"/>
            <w:gridSpan w:val="3"/>
            <w:tcBorders>
              <w:top w:val="single" w:sz="4" w:space="0" w:color="auto"/>
              <w:bottom w:val="single" w:sz="4" w:space="0" w:color="auto"/>
            </w:tcBorders>
            <w:shd w:val="clear" w:color="auto" w:fill="FFFFFF" w:themeFill="background1"/>
            <w:vAlign w:val="center"/>
          </w:tcPr>
          <w:p w14:paraId="15B51D78" w14:textId="77777777" w:rsidR="00072956" w:rsidRPr="00607A06" w:rsidRDefault="00072956" w:rsidP="007F5995">
            <w:pPr>
              <w:numPr>
                <w:ilvl w:val="0"/>
                <w:numId w:val="8"/>
              </w:numPr>
              <w:jc w:val="both"/>
              <w:rPr>
                <w:rFonts w:ascii="Arial Narrow" w:hAnsi="Arial Narrow" w:cs="Arial"/>
                <w:b/>
                <w:bCs/>
                <w:sz w:val="22"/>
                <w:szCs w:val="22"/>
              </w:rPr>
            </w:pPr>
            <w:r w:rsidRPr="00607A06">
              <w:rPr>
                <w:rFonts w:ascii="Arial Narrow" w:hAnsi="Arial Narrow" w:cs="Arial"/>
                <w:b/>
                <w:sz w:val="22"/>
                <w:szCs w:val="22"/>
              </w:rPr>
              <w:t>ESTUDIOS TÉCNICOS QUE SUSTENTEN EL PROYECTO NORMATIVO</w:t>
            </w:r>
            <w:r w:rsidRPr="00607A06">
              <w:rPr>
                <w:rFonts w:ascii="Arial Narrow" w:hAnsi="Arial Narrow" w:cs="Arial"/>
                <w:b/>
                <w:bCs/>
                <w:sz w:val="22"/>
                <w:szCs w:val="22"/>
              </w:rPr>
              <w:t xml:space="preserve">. </w:t>
            </w:r>
          </w:p>
          <w:p w14:paraId="60382F87" w14:textId="77777777" w:rsidR="00072956" w:rsidRPr="00607A06" w:rsidRDefault="00072956" w:rsidP="007F5995">
            <w:pPr>
              <w:jc w:val="both"/>
              <w:rPr>
                <w:rFonts w:ascii="Arial Narrow" w:hAnsi="Arial Narrow" w:cs="Arial"/>
                <w:b/>
                <w:sz w:val="22"/>
                <w:szCs w:val="22"/>
              </w:rPr>
            </w:pPr>
          </w:p>
          <w:p w14:paraId="66842AF4" w14:textId="77777777" w:rsidR="00072956" w:rsidRPr="00607A06" w:rsidRDefault="00072956" w:rsidP="007F5995">
            <w:pPr>
              <w:jc w:val="both"/>
              <w:rPr>
                <w:rFonts w:ascii="Arial Narrow" w:hAnsi="Arial Narrow" w:cs="Arial"/>
                <w:bCs/>
                <w:sz w:val="22"/>
                <w:szCs w:val="22"/>
              </w:rPr>
            </w:pPr>
            <w:r w:rsidRPr="00607A06">
              <w:rPr>
                <w:rFonts w:ascii="Arial Narrow" w:hAnsi="Arial Narrow" w:cs="Arial"/>
                <w:bCs/>
                <w:sz w:val="22"/>
                <w:szCs w:val="22"/>
              </w:rPr>
              <w:t>Los siguientes estudios técnicos permiten fundamentar los criterios de incorporación de la Licencia Racionalizada LAEolica:</w:t>
            </w:r>
          </w:p>
          <w:p w14:paraId="7770B578" w14:textId="77777777" w:rsidR="00072956" w:rsidRPr="00607A06" w:rsidRDefault="00072956" w:rsidP="007F5995">
            <w:pPr>
              <w:jc w:val="both"/>
              <w:rPr>
                <w:rFonts w:ascii="Arial Narrow" w:hAnsi="Arial Narrow" w:cs="Arial"/>
                <w:bCs/>
                <w:sz w:val="22"/>
                <w:szCs w:val="22"/>
              </w:rPr>
            </w:pPr>
          </w:p>
          <w:p w14:paraId="39EEACD6"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rPr>
              <w:t xml:space="preserve">Martínez Arias, V. M. (2018). </w:t>
            </w:r>
            <w:r w:rsidRPr="00607A06">
              <w:rPr>
                <w:rFonts w:ascii="Arial Narrow" w:hAnsi="Arial Narrow"/>
                <w:b/>
              </w:rPr>
              <w:t>Áreas naturales protegidas, áreas prioritarias y diversidad de murciélagos en el Caribe colombiano</w:t>
            </w:r>
            <w:r w:rsidRPr="00607A06">
              <w:rPr>
                <w:rFonts w:ascii="Arial Narrow" w:hAnsi="Arial Narrow"/>
                <w:bCs/>
              </w:rPr>
              <w:t xml:space="preserve"> (Doctoral dissertation, Medellín-Ciencias Agrarias-Maestría en Bosques y Conservación Ambiental).</w:t>
            </w:r>
          </w:p>
          <w:p w14:paraId="14696B7B" w14:textId="77777777" w:rsidR="00072956" w:rsidRPr="00607A06" w:rsidRDefault="00072956" w:rsidP="007F5995">
            <w:pPr>
              <w:pStyle w:val="Prrafodelista"/>
              <w:numPr>
                <w:ilvl w:val="1"/>
                <w:numId w:val="21"/>
              </w:numPr>
              <w:rPr>
                <w:rFonts w:ascii="Arial Narrow" w:hAnsi="Arial Narrow"/>
                <w:bCs/>
              </w:rPr>
            </w:pPr>
            <w:r w:rsidRPr="00EF7931">
              <w:rPr>
                <w:rFonts w:ascii="Arial Narrow" w:hAnsi="Arial Narrow"/>
                <w:bCs/>
                <w:lang w:val="en-US"/>
              </w:rPr>
              <w:t xml:space="preserve">Linero-Triana, D., Correa-Ayram, C. A., &amp; Velásquez-Tibatá, J. (2023). </w:t>
            </w:r>
            <w:r w:rsidRPr="00607A06">
              <w:rPr>
                <w:rFonts w:ascii="Arial Narrow" w:hAnsi="Arial Narrow"/>
                <w:b/>
                <w:lang w:val="en-US"/>
              </w:rPr>
              <w:t>Prioritizing ecological connectivity among protected areas in Colombia using a functional approach for birds.</w:t>
            </w:r>
            <w:r w:rsidRPr="00607A06">
              <w:rPr>
                <w:rFonts w:ascii="Arial Narrow" w:hAnsi="Arial Narrow"/>
                <w:bCs/>
                <w:lang w:val="en-US"/>
              </w:rPr>
              <w:t> </w:t>
            </w:r>
            <w:r w:rsidRPr="00607A06">
              <w:rPr>
                <w:rFonts w:ascii="Arial Narrow" w:hAnsi="Arial Narrow"/>
                <w:bCs/>
                <w:i/>
                <w:iCs/>
                <w:lang w:val="en-US"/>
              </w:rPr>
              <w:t>Global Ecology and Conservation</w:t>
            </w:r>
            <w:r w:rsidRPr="00607A06">
              <w:rPr>
                <w:rFonts w:ascii="Arial Narrow" w:hAnsi="Arial Narrow"/>
                <w:bCs/>
                <w:lang w:val="en-US"/>
              </w:rPr>
              <w:t>, </w:t>
            </w:r>
            <w:r w:rsidRPr="00607A06">
              <w:rPr>
                <w:rFonts w:ascii="Arial Narrow" w:hAnsi="Arial Narrow"/>
                <w:bCs/>
                <w:i/>
                <w:iCs/>
                <w:lang w:val="en-US"/>
              </w:rPr>
              <w:t>48</w:t>
            </w:r>
            <w:r w:rsidRPr="00607A06">
              <w:rPr>
                <w:rFonts w:ascii="Arial Narrow" w:hAnsi="Arial Narrow"/>
                <w:bCs/>
                <w:lang w:val="en-US"/>
              </w:rPr>
              <w:t>, e02713.</w:t>
            </w:r>
          </w:p>
          <w:p w14:paraId="2B4D0A14"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lang w:val="en-US"/>
              </w:rPr>
              <w:t xml:space="preserve">VSW, L. (2015). </w:t>
            </w:r>
            <w:r w:rsidRPr="00607A06">
              <w:rPr>
                <w:rFonts w:ascii="Arial Narrow" w:hAnsi="Arial Narrow"/>
                <w:b/>
                <w:lang w:val="en-US"/>
              </w:rPr>
              <w:t xml:space="preserve">Recommendations for distances of wind turbines to important areas for birds as well as breeding sites of selected bird species </w:t>
            </w:r>
            <w:r w:rsidRPr="00607A06">
              <w:rPr>
                <w:rFonts w:ascii="Arial Narrow" w:hAnsi="Arial Narrow"/>
                <w:bCs/>
                <w:lang w:val="en-US"/>
              </w:rPr>
              <w:t xml:space="preserve">(as at April 2015). </w:t>
            </w:r>
            <w:r w:rsidRPr="00607A06">
              <w:rPr>
                <w:rFonts w:ascii="Arial Narrow" w:hAnsi="Arial Narrow"/>
                <w:bCs/>
              </w:rPr>
              <w:t>Ber. Zum Vogelschutz, 51(15-42), 58.</w:t>
            </w:r>
          </w:p>
          <w:p w14:paraId="4588642D"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lang w:val="en-US"/>
              </w:rPr>
              <w:t xml:space="preserve">Nebel, C., Stjernberg, T., Tikkanen, H., &amp; Laaksonen, T. (2024). </w:t>
            </w:r>
            <w:r w:rsidRPr="00607A06">
              <w:rPr>
                <w:rFonts w:ascii="Arial Narrow" w:hAnsi="Arial Narrow"/>
                <w:b/>
                <w:lang w:val="en-US"/>
              </w:rPr>
              <w:t>Reduced survival in a soaring bird breeding in wind turbine proximity along the northern Baltic Sea coast</w:t>
            </w:r>
            <w:r w:rsidRPr="00607A06">
              <w:rPr>
                <w:rFonts w:ascii="Arial Narrow" w:hAnsi="Arial Narrow"/>
                <w:bCs/>
                <w:lang w:val="en-US"/>
              </w:rPr>
              <w:t xml:space="preserve">. </w:t>
            </w:r>
            <w:r w:rsidRPr="00607A06">
              <w:rPr>
                <w:rFonts w:ascii="Arial Narrow" w:hAnsi="Arial Narrow"/>
                <w:bCs/>
              </w:rPr>
              <w:t>Biological Conservation, 294, 110604.</w:t>
            </w:r>
          </w:p>
          <w:p w14:paraId="1C77F40F"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lang w:val="en-US"/>
              </w:rPr>
              <w:t xml:space="preserve">Eichhorn, M., Johst, K., Seppelt, R., &amp; Drechsler, M. (2012). </w:t>
            </w:r>
            <w:r w:rsidRPr="00607A06">
              <w:rPr>
                <w:rFonts w:ascii="Arial Narrow" w:hAnsi="Arial Narrow"/>
                <w:b/>
                <w:lang w:val="en-US"/>
              </w:rPr>
              <w:t>Model-based estimation of collision risks of predatory birds with wind turbines.</w:t>
            </w:r>
            <w:r w:rsidRPr="00607A06">
              <w:rPr>
                <w:rFonts w:ascii="Arial Narrow" w:hAnsi="Arial Narrow"/>
                <w:bCs/>
                <w:lang w:val="en-US"/>
              </w:rPr>
              <w:t xml:space="preserve"> </w:t>
            </w:r>
            <w:r w:rsidRPr="00607A06">
              <w:rPr>
                <w:rFonts w:ascii="Arial Narrow" w:hAnsi="Arial Narrow"/>
                <w:bCs/>
              </w:rPr>
              <w:t>Ecology and Society, 17(2).</w:t>
            </w:r>
          </w:p>
          <w:p w14:paraId="40DA9188" w14:textId="77777777" w:rsidR="00072956" w:rsidRPr="00607A06" w:rsidRDefault="00072956" w:rsidP="007F5995">
            <w:pPr>
              <w:pStyle w:val="Prrafodelista"/>
              <w:numPr>
                <w:ilvl w:val="1"/>
                <w:numId w:val="21"/>
              </w:numPr>
              <w:rPr>
                <w:rFonts w:ascii="Arial Narrow" w:hAnsi="Arial Narrow"/>
                <w:bCs/>
                <w:lang w:val="en-US"/>
              </w:rPr>
            </w:pPr>
            <w:r w:rsidRPr="00607A06">
              <w:rPr>
                <w:rFonts w:ascii="Arial Narrow" w:hAnsi="Arial Narrow"/>
                <w:bCs/>
                <w:lang w:val="en-US"/>
              </w:rPr>
              <w:t xml:space="preserve">Schaub, T. (2024). </w:t>
            </w:r>
            <w:r w:rsidRPr="00607A06">
              <w:rPr>
                <w:rFonts w:ascii="Arial Narrow" w:hAnsi="Arial Narrow"/>
                <w:b/>
                <w:lang w:val="en-US"/>
              </w:rPr>
              <w:t>Reconciling wind energy development with bird conservation: A comparative study of flight behaviour in raptors to understand and mitigate wind turbine collision risk</w:t>
            </w:r>
            <w:r w:rsidRPr="00607A06">
              <w:rPr>
                <w:rFonts w:ascii="Arial Narrow" w:hAnsi="Arial Narrow"/>
                <w:bCs/>
                <w:lang w:val="en-US"/>
              </w:rPr>
              <w:t xml:space="preserve"> (Doctoral dissertation, Aix-Marseille Université).</w:t>
            </w:r>
          </w:p>
          <w:p w14:paraId="1C0DDD15"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lang w:val="en-US"/>
              </w:rPr>
              <w:t xml:space="preserve">Meyers, J., &amp; Meneveau, C. (2012). </w:t>
            </w:r>
            <w:r w:rsidRPr="00607A06">
              <w:rPr>
                <w:rFonts w:ascii="Arial Narrow" w:hAnsi="Arial Narrow"/>
                <w:b/>
                <w:lang w:val="en-US"/>
              </w:rPr>
              <w:t xml:space="preserve">Optimal turbine spacing in fully developed wind farm boundary layers. </w:t>
            </w:r>
            <w:r w:rsidRPr="00607A06">
              <w:rPr>
                <w:rFonts w:ascii="Arial Narrow" w:hAnsi="Arial Narrow"/>
                <w:b/>
              </w:rPr>
              <w:t>Wind energy</w:t>
            </w:r>
            <w:r w:rsidRPr="00607A06">
              <w:rPr>
                <w:rFonts w:ascii="Arial Narrow" w:hAnsi="Arial Narrow"/>
                <w:bCs/>
              </w:rPr>
              <w:t>, 15(2), 305-317.</w:t>
            </w:r>
          </w:p>
          <w:p w14:paraId="5AE73DD4" w14:textId="77777777" w:rsidR="00072956" w:rsidRPr="00607A06" w:rsidRDefault="00072956" w:rsidP="007F5995">
            <w:pPr>
              <w:pStyle w:val="Prrafodelista"/>
              <w:numPr>
                <w:ilvl w:val="1"/>
                <w:numId w:val="21"/>
              </w:numPr>
              <w:rPr>
                <w:rFonts w:ascii="Arial Narrow" w:hAnsi="Arial Narrow"/>
              </w:rPr>
            </w:pPr>
            <w:r w:rsidRPr="00607A06">
              <w:rPr>
                <w:rFonts w:ascii="Arial Narrow" w:hAnsi="Arial Narrow"/>
                <w:lang w:val="en-US"/>
              </w:rPr>
              <w:t xml:space="preserve">Baerwald, E. F., D’Amours, G. H., Klug, B. J., &amp; Barclay, R. M. R. (2008). </w:t>
            </w:r>
            <w:r w:rsidRPr="00607A06">
              <w:rPr>
                <w:rFonts w:ascii="Arial Narrow" w:hAnsi="Arial Narrow"/>
                <w:b/>
                <w:lang w:val="en-US"/>
              </w:rPr>
              <w:t>Barotrauma is a significant cause of bat fatalities at wind turbines</w:t>
            </w:r>
            <w:r w:rsidRPr="00607A06">
              <w:rPr>
                <w:rFonts w:ascii="Arial Narrow" w:hAnsi="Arial Narrow"/>
                <w:lang w:val="en-US"/>
              </w:rPr>
              <w:t xml:space="preserve">. </w:t>
            </w:r>
            <w:r w:rsidRPr="00607A06">
              <w:rPr>
                <w:rFonts w:ascii="Arial Narrow" w:hAnsi="Arial Narrow"/>
                <w:i/>
              </w:rPr>
              <w:t>Current Biology</w:t>
            </w:r>
            <w:r w:rsidRPr="00607A06">
              <w:rPr>
                <w:rFonts w:ascii="Arial Narrow" w:hAnsi="Arial Narrow"/>
              </w:rPr>
              <w:t>, 18(16), R695–R696. https://doi.org/10.1016/j.cub.2008.06.029</w:t>
            </w:r>
          </w:p>
          <w:p w14:paraId="743BC7A1" w14:textId="77777777" w:rsidR="00072956" w:rsidRPr="00607A06" w:rsidRDefault="00072956" w:rsidP="007F5995">
            <w:pPr>
              <w:pStyle w:val="Prrafodelista"/>
              <w:numPr>
                <w:ilvl w:val="1"/>
                <w:numId w:val="21"/>
              </w:numPr>
              <w:rPr>
                <w:rFonts w:ascii="Arial Narrow" w:hAnsi="Arial Narrow"/>
              </w:rPr>
            </w:pPr>
            <w:r w:rsidRPr="00607A06">
              <w:rPr>
                <w:rFonts w:ascii="Arial Narrow" w:hAnsi="Arial Narrow"/>
                <w:lang w:val="en-US"/>
              </w:rPr>
              <w:t xml:space="preserve">Arnett, E. B., et al. (2011). </w:t>
            </w:r>
            <w:r w:rsidRPr="00607A06">
              <w:rPr>
                <w:rFonts w:ascii="Arial Narrow" w:hAnsi="Arial Narrow"/>
                <w:b/>
                <w:lang w:val="en-US"/>
              </w:rPr>
              <w:t>Effectiveness of changing wind turbine cut-in speed to reduce bat fatalities at wind energy facilities</w:t>
            </w:r>
            <w:r w:rsidRPr="00607A06">
              <w:rPr>
                <w:rFonts w:ascii="Arial Narrow" w:hAnsi="Arial Narrow"/>
                <w:lang w:val="en-US"/>
              </w:rPr>
              <w:t xml:space="preserve">. </w:t>
            </w:r>
            <w:r w:rsidRPr="00607A06">
              <w:rPr>
                <w:rFonts w:ascii="Arial Narrow" w:hAnsi="Arial Narrow"/>
                <w:i/>
              </w:rPr>
              <w:t>Journal of Wildlife Management</w:t>
            </w:r>
            <w:r w:rsidRPr="00607A06">
              <w:rPr>
                <w:rFonts w:ascii="Arial Narrow" w:hAnsi="Arial Narrow"/>
              </w:rPr>
              <w:t>, 75(5), 1237–1245. https://doi.org/10.1002/jwmg.260</w:t>
            </w:r>
          </w:p>
          <w:p w14:paraId="34664E9F" w14:textId="77777777" w:rsidR="00072956" w:rsidRPr="00607A06" w:rsidRDefault="00072956" w:rsidP="007F5995">
            <w:pPr>
              <w:pStyle w:val="Prrafodelista"/>
              <w:numPr>
                <w:ilvl w:val="1"/>
                <w:numId w:val="21"/>
              </w:numPr>
              <w:rPr>
                <w:rFonts w:ascii="Arial Narrow" w:hAnsi="Arial Narrow"/>
              </w:rPr>
            </w:pPr>
            <w:r w:rsidRPr="00607A06">
              <w:rPr>
                <w:rFonts w:ascii="Arial Narrow" w:hAnsi="Arial Narrow"/>
                <w:lang w:val="en-US"/>
              </w:rPr>
              <w:t xml:space="preserve">Behr, O., Brinkmann, R., Hochradel, K., Mages, J., &amp; Niermann, I. (2017). </w:t>
            </w:r>
            <w:r w:rsidRPr="00607A06">
              <w:rPr>
                <w:rFonts w:ascii="Arial Narrow" w:hAnsi="Arial Narrow"/>
                <w:b/>
                <w:lang w:val="en-US"/>
              </w:rPr>
              <w:t>Effectiveness of operational mitigation measures to reduce bat mortality at onshore wind turbines in Europe</w:t>
            </w:r>
            <w:r w:rsidRPr="00607A06">
              <w:rPr>
                <w:rFonts w:ascii="Arial Narrow" w:hAnsi="Arial Narrow"/>
                <w:lang w:val="en-US"/>
              </w:rPr>
              <w:t xml:space="preserve">. </w:t>
            </w:r>
            <w:r w:rsidRPr="00607A06">
              <w:rPr>
                <w:rFonts w:ascii="Arial Narrow" w:hAnsi="Arial Narrow"/>
                <w:i/>
              </w:rPr>
              <w:t>Conference on Wind Energy and Wildlife Impacts</w:t>
            </w:r>
            <w:r w:rsidRPr="00607A06">
              <w:rPr>
                <w:rFonts w:ascii="Arial Narrow" w:hAnsi="Arial Narrow"/>
              </w:rPr>
              <w:t>.</w:t>
            </w:r>
          </w:p>
          <w:p w14:paraId="53E2E93A" w14:textId="77777777" w:rsidR="00072956" w:rsidRPr="00607A06" w:rsidRDefault="00072956" w:rsidP="007F5995">
            <w:pPr>
              <w:pStyle w:val="Prrafodelista"/>
              <w:numPr>
                <w:ilvl w:val="1"/>
                <w:numId w:val="21"/>
              </w:numPr>
              <w:rPr>
                <w:rFonts w:ascii="Arial Narrow" w:hAnsi="Arial Narrow"/>
              </w:rPr>
            </w:pPr>
            <w:r w:rsidRPr="00607A06">
              <w:rPr>
                <w:rFonts w:ascii="Arial Narrow" w:hAnsi="Arial Narrow"/>
                <w:b/>
                <w:bCs/>
                <w:lang w:val="en-US"/>
              </w:rPr>
              <w:t>Global Wind Atlas.</w:t>
            </w:r>
            <w:r w:rsidRPr="00607A06">
              <w:rPr>
                <w:rFonts w:ascii="Arial Narrow" w:hAnsi="Arial Narrow"/>
                <w:lang w:val="en-US"/>
              </w:rPr>
              <w:t> (2023). </w:t>
            </w:r>
            <w:r w:rsidRPr="00607A06">
              <w:rPr>
                <w:rFonts w:ascii="Arial Narrow" w:hAnsi="Arial Narrow"/>
                <w:i/>
                <w:iCs/>
                <w:lang w:val="en-US"/>
              </w:rPr>
              <w:t>Colombia - Wind Map</w:t>
            </w:r>
            <w:r w:rsidRPr="00607A06">
              <w:rPr>
                <w:rFonts w:ascii="Arial Narrow" w:hAnsi="Arial Narrow"/>
                <w:lang w:val="en-US"/>
              </w:rPr>
              <w:t>. Technical University of Denmark (DTU) &amp; World Bank Group. </w:t>
            </w:r>
            <w:hyperlink r:id="rId29" w:tgtFrame="_blank" w:history="1">
              <w:r w:rsidRPr="00607A06">
                <w:rPr>
                  <w:rStyle w:val="Hipervnculo"/>
                  <w:rFonts w:ascii="Arial Narrow" w:hAnsi="Arial Narrow"/>
                  <w:color w:val="auto"/>
                  <w:lang w:val="es-ES"/>
                </w:rPr>
                <w:t>https://globalwindatlas.info/en/area/Colombia</w:t>
              </w:r>
            </w:hyperlink>
          </w:p>
          <w:p w14:paraId="431A2A24"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lang w:val="en-US"/>
              </w:rPr>
              <w:t xml:space="preserve">U.S. Fish and Wildlife Service (2016). </w:t>
            </w:r>
            <w:r w:rsidRPr="00607A06">
              <w:rPr>
                <w:rFonts w:ascii="Arial Narrow" w:hAnsi="Arial Narrow"/>
                <w:bCs/>
                <w:i/>
                <w:iCs/>
              </w:rPr>
              <w:t>Wind Energy Guidelines</w:t>
            </w:r>
            <w:r w:rsidRPr="00607A06">
              <w:rPr>
                <w:rFonts w:ascii="Arial Narrow" w:hAnsi="Arial Narrow"/>
                <w:bCs/>
              </w:rPr>
              <w:t>.</w:t>
            </w:r>
          </w:p>
          <w:p w14:paraId="5DCF7946" w14:textId="77777777" w:rsidR="00072956" w:rsidRPr="00607A06" w:rsidRDefault="00072956" w:rsidP="007F5995">
            <w:pPr>
              <w:pStyle w:val="Prrafodelista"/>
              <w:numPr>
                <w:ilvl w:val="1"/>
                <w:numId w:val="21"/>
              </w:numPr>
              <w:rPr>
                <w:rFonts w:ascii="Arial Narrow" w:hAnsi="Arial Narrow"/>
                <w:lang w:val="en-US"/>
              </w:rPr>
            </w:pPr>
            <w:r w:rsidRPr="00607A06">
              <w:rPr>
                <w:rFonts w:ascii="Arial Narrow" w:hAnsi="Arial Narrow"/>
                <w:lang w:val="en-US"/>
              </w:rPr>
              <w:t xml:space="preserve">Bat Conservation Trust (2022). </w:t>
            </w:r>
            <w:r w:rsidRPr="00607A06">
              <w:rPr>
                <w:rFonts w:ascii="Arial Narrow" w:hAnsi="Arial Narrow"/>
                <w:i/>
                <w:lang w:val="en-US"/>
              </w:rPr>
              <w:t>Mitigating the impacts of wind turbines on bats: Guidelines and tools</w:t>
            </w:r>
            <w:r w:rsidRPr="00607A06">
              <w:rPr>
                <w:rFonts w:ascii="Arial Narrow" w:hAnsi="Arial Narrow"/>
                <w:lang w:val="en-US"/>
              </w:rPr>
              <w:t>.</w:t>
            </w:r>
          </w:p>
          <w:p w14:paraId="7B6C563B"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lang w:val="en-US"/>
              </w:rPr>
              <w:t xml:space="preserve">May, R., et al. (2015). </w:t>
            </w:r>
            <w:r w:rsidRPr="00607A06">
              <w:rPr>
                <w:rFonts w:ascii="Arial Narrow" w:hAnsi="Arial Narrow"/>
                <w:bCs/>
                <w:i/>
                <w:iCs/>
                <w:lang w:val="en-US"/>
              </w:rPr>
              <w:t>Paint it black: Efficacy of increased wind turbine rotor blade visibility to reduce avian fatalities</w:t>
            </w:r>
            <w:r w:rsidRPr="00607A06">
              <w:rPr>
                <w:rFonts w:ascii="Arial Narrow" w:hAnsi="Arial Narrow"/>
                <w:bCs/>
                <w:lang w:val="en-US"/>
              </w:rPr>
              <w:t xml:space="preserve">. </w:t>
            </w:r>
            <w:r w:rsidRPr="00607A06">
              <w:rPr>
                <w:rFonts w:ascii="Arial Narrow" w:hAnsi="Arial Narrow"/>
                <w:bCs/>
              </w:rPr>
              <w:t>Ecology and Evolution, 10(15), 8927–8935.</w:t>
            </w:r>
          </w:p>
          <w:p w14:paraId="0635138B"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lang w:val="en-US"/>
              </w:rPr>
              <w:t xml:space="preserve">Bennett, V. J., Hale, A. M., &amp; Williams, D. A. (2022). </w:t>
            </w:r>
            <w:r w:rsidRPr="00607A06">
              <w:rPr>
                <w:rFonts w:ascii="Arial Narrow" w:hAnsi="Arial Narrow"/>
                <w:bCs/>
                <w:i/>
                <w:iCs/>
                <w:lang w:val="en-US"/>
              </w:rPr>
              <w:t>Emerging mitigation technologies to reduce bat mortality at wind energy facilities: A review</w:t>
            </w:r>
            <w:r w:rsidRPr="00607A06">
              <w:rPr>
                <w:rFonts w:ascii="Arial Narrow" w:hAnsi="Arial Narrow"/>
                <w:bCs/>
                <w:lang w:val="en-US"/>
              </w:rPr>
              <w:t xml:space="preserve">. </w:t>
            </w:r>
            <w:r w:rsidRPr="00607A06">
              <w:rPr>
                <w:rFonts w:ascii="Arial Narrow" w:hAnsi="Arial Narrow"/>
                <w:bCs/>
              </w:rPr>
              <w:t>Renewable and Sustainable Energy Reviews, 160, 112280.</w:t>
            </w:r>
          </w:p>
          <w:p w14:paraId="3D3B6395"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lang w:val="en-US"/>
              </w:rPr>
              <w:t xml:space="preserve">Smallwood, K. S. (2013). </w:t>
            </w:r>
            <w:r w:rsidRPr="00607A06">
              <w:rPr>
                <w:rFonts w:ascii="Arial Narrow" w:hAnsi="Arial Narrow"/>
                <w:bCs/>
                <w:i/>
                <w:iCs/>
                <w:lang w:val="en-US"/>
              </w:rPr>
              <w:t>Comparing bird and bat fatality-rate estimates among North American wind-energy projects</w:t>
            </w:r>
            <w:r w:rsidRPr="00607A06">
              <w:rPr>
                <w:rFonts w:ascii="Arial Narrow" w:hAnsi="Arial Narrow"/>
                <w:bCs/>
                <w:lang w:val="en-US"/>
              </w:rPr>
              <w:t xml:space="preserve">. </w:t>
            </w:r>
            <w:r w:rsidRPr="00607A06">
              <w:rPr>
                <w:rFonts w:ascii="Arial Narrow" w:hAnsi="Arial Narrow"/>
                <w:bCs/>
              </w:rPr>
              <w:t>Wildlife Society Bulletin, 37(1), 19–33.</w:t>
            </w:r>
          </w:p>
          <w:p w14:paraId="2A682BCA"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rPr>
              <w:t xml:space="preserve">Herráez, I., Munduate, X., &amp; Sørensen, N. N. (2016). </w:t>
            </w:r>
            <w:r w:rsidRPr="00607A06">
              <w:rPr>
                <w:rFonts w:ascii="Arial Narrow" w:hAnsi="Arial Narrow"/>
                <w:bCs/>
                <w:i/>
                <w:iCs/>
                <w:lang w:val="en-US"/>
              </w:rPr>
              <w:t>Impact of winglets on wind turbine blade tip aerodynamics and aeroacoustics</w:t>
            </w:r>
            <w:r w:rsidRPr="00607A06">
              <w:rPr>
                <w:rFonts w:ascii="Arial Narrow" w:hAnsi="Arial Narrow"/>
                <w:bCs/>
                <w:lang w:val="en-US"/>
              </w:rPr>
              <w:t xml:space="preserve">. </w:t>
            </w:r>
            <w:r w:rsidRPr="00607A06">
              <w:rPr>
                <w:rFonts w:ascii="Arial Narrow" w:hAnsi="Arial Narrow"/>
                <w:bCs/>
              </w:rPr>
              <w:t>Journal of Physics: Conference Series, 753, 052015.</w:t>
            </w:r>
          </w:p>
          <w:p w14:paraId="7964A3FE"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lang w:val="en-US"/>
              </w:rPr>
              <w:t xml:space="preserve">Oerlemans, S., &amp; Migliore, P. G. (2004). </w:t>
            </w:r>
            <w:r w:rsidRPr="00607A06">
              <w:rPr>
                <w:rFonts w:ascii="Arial Narrow" w:hAnsi="Arial Narrow"/>
                <w:bCs/>
                <w:i/>
                <w:iCs/>
                <w:lang w:val="en-US"/>
              </w:rPr>
              <w:t>Reduction of wind turbine noise using optimized airfoils and trailing-edge serrations</w:t>
            </w:r>
            <w:r w:rsidRPr="00607A06">
              <w:rPr>
                <w:rFonts w:ascii="Arial Narrow" w:hAnsi="Arial Narrow"/>
                <w:bCs/>
                <w:lang w:val="en-US"/>
              </w:rPr>
              <w:t xml:space="preserve">. </w:t>
            </w:r>
            <w:r w:rsidRPr="00607A06">
              <w:rPr>
                <w:rFonts w:ascii="Arial Narrow" w:hAnsi="Arial Narrow"/>
                <w:bCs/>
              </w:rPr>
              <w:t>National Renewable Energy Laboratory (NREL), USA.</w:t>
            </w:r>
          </w:p>
          <w:p w14:paraId="24F44FA5" w14:textId="77777777" w:rsidR="00072956" w:rsidRPr="00607A06" w:rsidRDefault="00072956" w:rsidP="007F5995">
            <w:pPr>
              <w:pStyle w:val="Prrafodelista"/>
              <w:numPr>
                <w:ilvl w:val="1"/>
                <w:numId w:val="21"/>
              </w:numPr>
              <w:rPr>
                <w:rFonts w:ascii="Arial Narrow" w:hAnsi="Arial Narrow"/>
                <w:bCs/>
              </w:rPr>
            </w:pPr>
            <w:r w:rsidRPr="00607A06">
              <w:rPr>
                <w:rFonts w:ascii="Arial Narrow" w:hAnsi="Arial Narrow"/>
                <w:bCs/>
                <w:lang w:val="en-US"/>
              </w:rPr>
              <w:t xml:space="preserve">Fernández, J., et al. (2018). </w:t>
            </w:r>
            <w:r w:rsidRPr="00607A06">
              <w:rPr>
                <w:rFonts w:ascii="Arial Narrow" w:hAnsi="Arial Narrow"/>
                <w:bCs/>
                <w:i/>
                <w:iCs/>
                <w:lang w:val="en-US"/>
              </w:rPr>
              <w:t>Noise reduction technologies in wind turbines: State of the art and future directions</w:t>
            </w:r>
            <w:r w:rsidRPr="00607A06">
              <w:rPr>
                <w:rFonts w:ascii="Arial Narrow" w:hAnsi="Arial Narrow"/>
                <w:bCs/>
                <w:lang w:val="en-US"/>
              </w:rPr>
              <w:t xml:space="preserve">. </w:t>
            </w:r>
            <w:r w:rsidRPr="00607A06">
              <w:rPr>
                <w:rFonts w:ascii="Arial Narrow" w:hAnsi="Arial Narrow"/>
                <w:bCs/>
              </w:rPr>
              <w:t>Renewable and Sustainable Energy Reviews, 90, 261–272.</w:t>
            </w:r>
          </w:p>
          <w:p w14:paraId="4BA036E5" w14:textId="77777777" w:rsidR="00072956" w:rsidRPr="00607A06" w:rsidRDefault="00072956" w:rsidP="007F5995">
            <w:pPr>
              <w:pStyle w:val="Prrafodelista"/>
              <w:numPr>
                <w:ilvl w:val="1"/>
                <w:numId w:val="21"/>
              </w:numPr>
              <w:rPr>
                <w:rFonts w:ascii="Arial Narrow" w:hAnsi="Arial Narrow"/>
                <w:bCs/>
                <w:lang w:val="en-US"/>
              </w:rPr>
            </w:pPr>
            <w:r w:rsidRPr="00607A06">
              <w:rPr>
                <w:rFonts w:ascii="Arial Narrow" w:hAnsi="Arial Narrow"/>
                <w:bCs/>
                <w:lang w:val="en-US"/>
              </w:rPr>
              <w:t xml:space="preserve">DTU Wind Energy (2019). </w:t>
            </w:r>
            <w:r w:rsidRPr="00607A06">
              <w:rPr>
                <w:rFonts w:ascii="Arial Narrow" w:hAnsi="Arial Narrow"/>
                <w:bCs/>
                <w:i/>
                <w:iCs/>
                <w:lang w:val="en-US"/>
              </w:rPr>
              <w:t>Effectiveness of trailing edge serrations for wind turbine noise reduction</w:t>
            </w:r>
            <w:r w:rsidRPr="00607A06">
              <w:rPr>
                <w:rFonts w:ascii="Arial Narrow" w:hAnsi="Arial Narrow"/>
                <w:bCs/>
                <w:lang w:val="en-US"/>
              </w:rPr>
              <w:t>.</w:t>
            </w:r>
          </w:p>
          <w:p w14:paraId="5C66D3BE" w14:textId="77777777" w:rsidR="00072956" w:rsidRPr="00607A06" w:rsidRDefault="00072956" w:rsidP="007F5995">
            <w:pPr>
              <w:pStyle w:val="Prrafodelista"/>
              <w:numPr>
                <w:ilvl w:val="1"/>
                <w:numId w:val="21"/>
              </w:numPr>
              <w:rPr>
                <w:rFonts w:ascii="Arial Narrow" w:hAnsi="Arial Narrow"/>
                <w:bCs/>
                <w:lang w:val="en-US"/>
              </w:rPr>
            </w:pPr>
            <w:r w:rsidRPr="00607A06">
              <w:rPr>
                <w:rFonts w:ascii="Arial Narrow" w:hAnsi="Arial Narrow"/>
                <w:bCs/>
                <w:lang w:val="en-US"/>
              </w:rPr>
              <w:t xml:space="preserve">Fraunhofer IWES (2020). </w:t>
            </w:r>
            <w:r w:rsidRPr="00607A06">
              <w:rPr>
                <w:rFonts w:ascii="Arial Narrow" w:hAnsi="Arial Narrow"/>
                <w:bCs/>
                <w:i/>
                <w:iCs/>
                <w:lang w:val="en-US"/>
              </w:rPr>
              <w:t>Acoustic optimization of wind turbine blades</w:t>
            </w:r>
            <w:r w:rsidRPr="00607A06">
              <w:rPr>
                <w:rFonts w:ascii="Arial Narrow" w:hAnsi="Arial Narrow"/>
                <w:bCs/>
                <w:lang w:val="en-US"/>
              </w:rPr>
              <w:t>.</w:t>
            </w:r>
          </w:p>
          <w:p w14:paraId="6FD61715" w14:textId="77777777" w:rsidR="00072956" w:rsidRPr="00607A06" w:rsidRDefault="00072956" w:rsidP="007F5995">
            <w:pPr>
              <w:pStyle w:val="Prrafodelista"/>
              <w:numPr>
                <w:ilvl w:val="1"/>
                <w:numId w:val="21"/>
              </w:numPr>
              <w:spacing w:after="160" w:line="278" w:lineRule="auto"/>
              <w:rPr>
                <w:rFonts w:ascii="Arial Narrow" w:hAnsi="Arial Narrow"/>
              </w:rPr>
            </w:pPr>
            <w:r w:rsidRPr="00607A06">
              <w:rPr>
                <w:rFonts w:ascii="Arial Narrow" w:hAnsi="Arial Narrow"/>
                <w:lang w:val="en-US"/>
              </w:rPr>
              <w:t xml:space="preserve">May, R., Nygård, T., Falkdalen, U., Åström, J., Hamre, Ø., &amp; Stokke, B. G. (2020). </w:t>
            </w:r>
            <w:r w:rsidRPr="00607A06">
              <w:rPr>
                <w:rFonts w:ascii="Arial Narrow" w:hAnsi="Arial Narrow"/>
                <w:i/>
                <w:iCs/>
                <w:lang w:val="en-US"/>
              </w:rPr>
              <w:t>Paint it black: Efficacy of increased wind turbine rotor blade visibility to reduce avian fatalities</w:t>
            </w:r>
            <w:r w:rsidRPr="00607A06">
              <w:rPr>
                <w:rFonts w:ascii="Arial Narrow" w:hAnsi="Arial Narrow"/>
                <w:lang w:val="en-US"/>
              </w:rPr>
              <w:t xml:space="preserve">. </w:t>
            </w:r>
            <w:r w:rsidRPr="00607A06">
              <w:rPr>
                <w:rFonts w:ascii="Arial Narrow" w:hAnsi="Arial Narrow"/>
                <w:i/>
                <w:iCs/>
              </w:rPr>
              <w:t>Ecology and Evolution</w:t>
            </w:r>
            <w:r w:rsidRPr="00607A06">
              <w:rPr>
                <w:rFonts w:ascii="Arial Narrow" w:hAnsi="Arial Narrow"/>
              </w:rPr>
              <w:t>, 10(15), 8927–8935. https://doi.org/10.1002/ece3.6592</w:t>
            </w:r>
          </w:p>
          <w:p w14:paraId="03407286" w14:textId="77777777" w:rsidR="00072956" w:rsidRPr="00607A06" w:rsidRDefault="00072956" w:rsidP="007F5995">
            <w:pPr>
              <w:pStyle w:val="Prrafodelista"/>
              <w:numPr>
                <w:ilvl w:val="1"/>
                <w:numId w:val="21"/>
              </w:numPr>
              <w:spacing w:after="160" w:line="278" w:lineRule="auto"/>
              <w:rPr>
                <w:rFonts w:ascii="Arial Narrow" w:hAnsi="Arial Narrow"/>
                <w:lang w:val="en-US"/>
              </w:rPr>
            </w:pPr>
            <w:r w:rsidRPr="00607A06">
              <w:rPr>
                <w:rFonts w:ascii="Arial Narrow" w:hAnsi="Arial Narrow"/>
                <w:lang w:val="en-US"/>
              </w:rPr>
              <w:t xml:space="preserve">Weaver, S. P., Hein, C. D., Simpson, T. R., Evans, J. W., &amp; Schirmacher, M. R. (2020). </w:t>
            </w:r>
            <w:r w:rsidRPr="00607A06">
              <w:rPr>
                <w:rFonts w:ascii="Arial Narrow" w:hAnsi="Arial Narrow"/>
                <w:i/>
                <w:iCs/>
                <w:lang w:val="en-US"/>
              </w:rPr>
              <w:t>Ultrasonic acoustic deterrents significantly reduce bat fatalities at wind turbines</w:t>
            </w:r>
            <w:r w:rsidRPr="00607A06">
              <w:rPr>
                <w:rFonts w:ascii="Arial Narrow" w:hAnsi="Arial Narrow"/>
                <w:lang w:val="en-US"/>
              </w:rPr>
              <w:t xml:space="preserve">. </w:t>
            </w:r>
            <w:r w:rsidRPr="00607A06">
              <w:rPr>
                <w:rFonts w:ascii="Arial Narrow" w:hAnsi="Arial Narrow"/>
                <w:i/>
                <w:iCs/>
                <w:lang w:val="en-US"/>
              </w:rPr>
              <w:t>Global Ecology and Conservation</w:t>
            </w:r>
            <w:r w:rsidRPr="00607A06">
              <w:rPr>
                <w:rFonts w:ascii="Arial Narrow" w:hAnsi="Arial Narrow"/>
                <w:lang w:val="en-US"/>
              </w:rPr>
              <w:t>, 24, e01224. https://doi.org/10.1016/j.gecco.2020.e01224</w:t>
            </w:r>
          </w:p>
          <w:p w14:paraId="5A7635C0" w14:textId="77777777" w:rsidR="00072956" w:rsidRPr="00607A06" w:rsidRDefault="00072956" w:rsidP="007F5995">
            <w:pPr>
              <w:pStyle w:val="Prrafodelista"/>
              <w:numPr>
                <w:ilvl w:val="1"/>
                <w:numId w:val="21"/>
              </w:numPr>
              <w:spacing w:after="160" w:line="278" w:lineRule="auto"/>
              <w:rPr>
                <w:rFonts w:ascii="Arial Narrow" w:hAnsi="Arial Narrow"/>
              </w:rPr>
            </w:pPr>
            <w:r w:rsidRPr="00607A06">
              <w:rPr>
                <w:rFonts w:ascii="Arial Narrow" w:hAnsi="Arial Narrow"/>
                <w:lang w:val="en-US"/>
              </w:rPr>
              <w:t xml:space="preserve">Arnett, E. B., Baerwald, E. F., Mathews, F., Rodrigues, L., Rodríguez-Durán, A., Rydell, J., ... &amp; Voigt, C. C. (2016). </w:t>
            </w:r>
            <w:r w:rsidRPr="00607A06">
              <w:rPr>
                <w:rFonts w:ascii="Arial Narrow" w:hAnsi="Arial Narrow"/>
                <w:i/>
                <w:iCs/>
                <w:lang w:val="en-US"/>
              </w:rPr>
              <w:t>Impacts of wind energy development on bats: a global perspective</w:t>
            </w:r>
            <w:r w:rsidRPr="00607A06">
              <w:rPr>
                <w:rFonts w:ascii="Arial Narrow" w:hAnsi="Arial Narrow"/>
                <w:lang w:val="en-US"/>
              </w:rPr>
              <w:t xml:space="preserve">. In </w:t>
            </w:r>
            <w:r w:rsidRPr="00607A06">
              <w:rPr>
                <w:rFonts w:ascii="Arial Narrow" w:hAnsi="Arial Narrow"/>
                <w:i/>
                <w:iCs/>
                <w:lang w:val="en-US"/>
              </w:rPr>
              <w:t>Bats in the Anthropocene: Conservation of Bats in a Changing World</w:t>
            </w:r>
            <w:r w:rsidRPr="00607A06">
              <w:rPr>
                <w:rFonts w:ascii="Arial Narrow" w:hAnsi="Arial Narrow"/>
                <w:lang w:val="en-US"/>
              </w:rPr>
              <w:t xml:space="preserve"> (pp. 295-323). </w:t>
            </w:r>
            <w:r w:rsidRPr="00607A06">
              <w:rPr>
                <w:rFonts w:ascii="Arial Narrow" w:hAnsi="Arial Narrow"/>
              </w:rPr>
              <w:t>Springer.</w:t>
            </w:r>
          </w:p>
          <w:p w14:paraId="03F8F400" w14:textId="77777777" w:rsidR="00072956" w:rsidRPr="00607A06" w:rsidRDefault="00072956" w:rsidP="007F5995">
            <w:pPr>
              <w:pStyle w:val="Prrafodelista"/>
              <w:numPr>
                <w:ilvl w:val="1"/>
                <w:numId w:val="21"/>
              </w:numPr>
              <w:spacing w:after="160" w:line="278" w:lineRule="auto"/>
              <w:rPr>
                <w:rFonts w:ascii="Arial Narrow" w:hAnsi="Arial Narrow"/>
              </w:rPr>
            </w:pPr>
            <w:r w:rsidRPr="00607A06">
              <w:rPr>
                <w:rFonts w:ascii="Arial Narrow" w:hAnsi="Arial Narrow"/>
                <w:lang w:val="en-US"/>
              </w:rPr>
              <w:t xml:space="preserve">Bennett, V. J. (2019). </w:t>
            </w:r>
            <w:r w:rsidRPr="00607A06">
              <w:rPr>
                <w:rFonts w:ascii="Arial Narrow" w:hAnsi="Arial Narrow"/>
                <w:i/>
                <w:iCs/>
                <w:lang w:val="en-US"/>
              </w:rPr>
              <w:t>Effects of wind turbine lighting on nocturnally migrating birds</w:t>
            </w:r>
            <w:r w:rsidRPr="00607A06">
              <w:rPr>
                <w:rFonts w:ascii="Arial Narrow" w:hAnsi="Arial Narrow"/>
                <w:lang w:val="en-US"/>
              </w:rPr>
              <w:t xml:space="preserve">. </w:t>
            </w:r>
            <w:r w:rsidRPr="00607A06">
              <w:rPr>
                <w:rFonts w:ascii="Arial Narrow" w:hAnsi="Arial Narrow"/>
                <w:i/>
                <w:iCs/>
              </w:rPr>
              <w:t>Environmental Reviews</w:t>
            </w:r>
            <w:r w:rsidRPr="00607A06">
              <w:rPr>
                <w:rFonts w:ascii="Arial Narrow" w:hAnsi="Arial Narrow"/>
              </w:rPr>
              <w:t>, 27(4), 289-310. https://doi.org/10.1139/er-2018-0085</w:t>
            </w:r>
          </w:p>
          <w:p w14:paraId="00B5680A" w14:textId="77777777" w:rsidR="00072956" w:rsidRPr="00607A06" w:rsidRDefault="00072956" w:rsidP="007F5995">
            <w:pPr>
              <w:pStyle w:val="Prrafodelista"/>
              <w:numPr>
                <w:ilvl w:val="1"/>
                <w:numId w:val="21"/>
              </w:numPr>
              <w:spacing w:after="160" w:line="278" w:lineRule="auto"/>
              <w:rPr>
                <w:rFonts w:ascii="Arial Narrow" w:hAnsi="Arial Narrow"/>
              </w:rPr>
            </w:pPr>
            <w:r w:rsidRPr="00607A06">
              <w:rPr>
                <w:rFonts w:ascii="Arial Narrow" w:hAnsi="Arial Narrow"/>
                <w:lang w:val="en-US"/>
              </w:rPr>
              <w:t xml:space="preserve">Lensink, R., van der Winden, J., &amp; Dirksen, S. (2017). </w:t>
            </w:r>
            <w:r w:rsidRPr="00607A06">
              <w:rPr>
                <w:rFonts w:ascii="Arial Narrow" w:hAnsi="Arial Narrow"/>
                <w:i/>
                <w:iCs/>
                <w:lang w:val="en-US"/>
              </w:rPr>
              <w:t>Mitigating bird collisions with wind turbines: height matters</w:t>
            </w:r>
            <w:r w:rsidRPr="00607A06">
              <w:rPr>
                <w:rFonts w:ascii="Arial Narrow" w:hAnsi="Arial Narrow"/>
                <w:lang w:val="en-US"/>
              </w:rPr>
              <w:t xml:space="preserve">. </w:t>
            </w:r>
            <w:r w:rsidRPr="00607A06">
              <w:rPr>
                <w:rFonts w:ascii="Arial Narrow" w:hAnsi="Arial Narrow"/>
              </w:rPr>
              <w:t>Bureau Waardenburg &amp; Rijkswaterstaat, Países Bajos.</w:t>
            </w:r>
          </w:p>
          <w:p w14:paraId="4A64F869" w14:textId="77777777" w:rsidR="00072956" w:rsidRPr="00607A06" w:rsidRDefault="00072956" w:rsidP="007F5995">
            <w:pPr>
              <w:pStyle w:val="Prrafodelista"/>
              <w:numPr>
                <w:ilvl w:val="1"/>
                <w:numId w:val="21"/>
              </w:numPr>
              <w:spacing w:after="160" w:line="278" w:lineRule="auto"/>
              <w:rPr>
                <w:rFonts w:ascii="Arial Narrow" w:hAnsi="Arial Narrow"/>
              </w:rPr>
            </w:pPr>
            <w:r w:rsidRPr="00607A06">
              <w:rPr>
                <w:rFonts w:ascii="Arial Narrow" w:hAnsi="Arial Narrow"/>
                <w:lang w:val="en-US"/>
              </w:rPr>
              <w:t xml:space="preserve">May, R., Nygård, T., Falkdalen, U., Åström, J., Hamre, Ø., &amp; Stokke, B. G. (2020). </w:t>
            </w:r>
            <w:r w:rsidRPr="00607A06">
              <w:rPr>
                <w:rFonts w:ascii="Arial Narrow" w:hAnsi="Arial Narrow"/>
                <w:i/>
                <w:iCs/>
                <w:lang w:val="en-US"/>
              </w:rPr>
              <w:t>Paint it black: Efficacy of increased wind turbine rotor blade visibility to reduce avian fatalities</w:t>
            </w:r>
            <w:r w:rsidRPr="00607A06">
              <w:rPr>
                <w:rFonts w:ascii="Arial Narrow" w:hAnsi="Arial Narrow"/>
                <w:lang w:val="en-US"/>
              </w:rPr>
              <w:t xml:space="preserve">. </w:t>
            </w:r>
            <w:r w:rsidRPr="00607A06">
              <w:rPr>
                <w:rFonts w:ascii="Arial Narrow" w:hAnsi="Arial Narrow"/>
                <w:i/>
                <w:iCs/>
              </w:rPr>
              <w:t>Ecology and Evolution</w:t>
            </w:r>
            <w:r w:rsidRPr="00607A06">
              <w:rPr>
                <w:rFonts w:ascii="Arial Narrow" w:hAnsi="Arial Narrow"/>
              </w:rPr>
              <w:t xml:space="preserve">, 10(15), 8927–8935. </w:t>
            </w:r>
            <w:hyperlink r:id="rId30" w:tgtFrame="_new" w:history="1">
              <w:r w:rsidRPr="00607A06">
                <w:rPr>
                  <w:rStyle w:val="Hipervnculo"/>
                  <w:rFonts w:ascii="Arial Narrow" w:hAnsi="Arial Narrow"/>
                  <w:color w:val="auto"/>
                </w:rPr>
                <w:t>https://doi.org/10.1002/ece3.6592</w:t>
              </w:r>
            </w:hyperlink>
          </w:p>
          <w:p w14:paraId="1E9AB781" w14:textId="77777777" w:rsidR="00072956" w:rsidRPr="00607A06" w:rsidRDefault="00072956" w:rsidP="007F5995">
            <w:pPr>
              <w:pStyle w:val="Prrafodelista"/>
              <w:numPr>
                <w:ilvl w:val="1"/>
                <w:numId w:val="21"/>
              </w:numPr>
              <w:spacing w:after="160" w:line="278" w:lineRule="auto"/>
              <w:rPr>
                <w:rFonts w:ascii="Arial Narrow" w:hAnsi="Arial Narrow"/>
              </w:rPr>
            </w:pPr>
            <w:r w:rsidRPr="0005176A">
              <w:rPr>
                <w:rFonts w:ascii="Arial Narrow" w:hAnsi="Arial Narrow"/>
                <w:lang w:val="pt-PT"/>
              </w:rPr>
              <w:t xml:space="preserve">Instituto da Conservação da Natureza e das Florestas (ICNF). (2018). </w:t>
            </w:r>
            <w:r w:rsidRPr="0005176A">
              <w:rPr>
                <w:rFonts w:ascii="Arial Narrow" w:hAnsi="Arial Narrow"/>
                <w:i/>
                <w:iCs/>
                <w:lang w:val="pt-PT"/>
              </w:rPr>
              <w:t>Diretrizes para avaliação dos impactos de parques eólicos sobre avifauna e morcegos</w:t>
            </w:r>
            <w:r w:rsidRPr="0005176A">
              <w:rPr>
                <w:rFonts w:ascii="Arial Narrow" w:hAnsi="Arial Narrow"/>
                <w:lang w:val="pt-PT"/>
              </w:rPr>
              <w:t xml:space="preserve">. </w:t>
            </w:r>
            <w:r w:rsidRPr="00607A06">
              <w:rPr>
                <w:rFonts w:ascii="Arial Narrow" w:hAnsi="Arial Narrow"/>
              </w:rPr>
              <w:t>Lisboa, Portugal.</w:t>
            </w:r>
          </w:p>
          <w:p w14:paraId="307E8942" w14:textId="77777777" w:rsidR="00072956" w:rsidRPr="00607A06" w:rsidRDefault="00072956" w:rsidP="007F5995">
            <w:pPr>
              <w:pStyle w:val="Prrafodelista"/>
              <w:numPr>
                <w:ilvl w:val="1"/>
                <w:numId w:val="21"/>
              </w:numPr>
              <w:spacing w:after="160" w:line="278" w:lineRule="auto"/>
              <w:rPr>
                <w:rFonts w:ascii="Arial Narrow" w:hAnsi="Arial Narrow"/>
              </w:rPr>
            </w:pPr>
            <w:r w:rsidRPr="0005176A">
              <w:rPr>
                <w:rFonts w:ascii="Arial Narrow" w:hAnsi="Arial Narrow"/>
                <w:lang w:val="pt-PT"/>
              </w:rPr>
              <w:t xml:space="preserve">Silva, M. J., Mascarenhas, M., &amp; Cabral, J. A. (2020). </w:t>
            </w:r>
            <w:r w:rsidRPr="00607A06">
              <w:rPr>
                <w:rFonts w:ascii="Arial Narrow" w:hAnsi="Arial Narrow"/>
                <w:i/>
                <w:iCs/>
                <w:lang w:val="en-US"/>
              </w:rPr>
              <w:t>Spatial and seasonal patterns of bird fatalities in Portuguese wind farms: The influence of turbine height and rotor diameter</w:t>
            </w:r>
            <w:r w:rsidRPr="00607A06">
              <w:rPr>
                <w:rFonts w:ascii="Arial Narrow" w:hAnsi="Arial Narrow"/>
                <w:lang w:val="en-US"/>
              </w:rPr>
              <w:t xml:space="preserve">. </w:t>
            </w:r>
            <w:r w:rsidRPr="00607A06">
              <w:rPr>
                <w:rFonts w:ascii="Arial Narrow" w:hAnsi="Arial Narrow"/>
                <w:i/>
                <w:iCs/>
              </w:rPr>
              <w:t>Environmental Impact Assessment Review</w:t>
            </w:r>
            <w:r w:rsidRPr="00607A06">
              <w:rPr>
                <w:rFonts w:ascii="Arial Narrow" w:hAnsi="Arial Narrow"/>
              </w:rPr>
              <w:t>, 82, 106386. https://doi.org/10.1016/j.eiar.2020.106386</w:t>
            </w:r>
          </w:p>
          <w:p w14:paraId="01648811" w14:textId="77777777" w:rsidR="00072956" w:rsidRPr="00607A06" w:rsidRDefault="00072956" w:rsidP="007F5995">
            <w:pPr>
              <w:pStyle w:val="Prrafodelista"/>
              <w:numPr>
                <w:ilvl w:val="1"/>
                <w:numId w:val="21"/>
              </w:numPr>
              <w:spacing w:after="160" w:line="278" w:lineRule="auto"/>
              <w:rPr>
                <w:rFonts w:ascii="Arial Narrow" w:hAnsi="Arial Narrow"/>
              </w:rPr>
            </w:pPr>
            <w:r w:rsidRPr="00607A06">
              <w:rPr>
                <w:rFonts w:ascii="Arial Narrow" w:hAnsi="Arial Narrow"/>
                <w:lang w:val="en-US"/>
              </w:rPr>
              <w:t xml:space="preserve">Regjeringen (2020a). </w:t>
            </w:r>
            <w:r w:rsidRPr="00607A06">
              <w:rPr>
                <w:rFonts w:ascii="Arial Narrow" w:hAnsi="Arial Narrow"/>
                <w:i/>
                <w:iCs/>
                <w:lang w:val="en-US"/>
              </w:rPr>
              <w:t>Meld. St. 28 (2019–2020) – Vindkraft på land</w:t>
            </w:r>
            <w:r w:rsidRPr="00607A06">
              <w:rPr>
                <w:rFonts w:ascii="Arial Narrow" w:hAnsi="Arial Narrow"/>
                <w:lang w:val="en-US"/>
              </w:rPr>
              <w:t xml:space="preserve">. </w:t>
            </w:r>
            <w:r w:rsidRPr="00607A06">
              <w:rPr>
                <w:rFonts w:ascii="Arial Narrow" w:hAnsi="Arial Narrow"/>
              </w:rPr>
              <w:t>Ministerio de Petróleo y Energía de Noruega. Sección 4.4.4. https://www.regjeringen.no/no/dokumenter/meld.-st.-28-20192020/id2714775/</w:t>
            </w:r>
          </w:p>
          <w:p w14:paraId="08C4948C" w14:textId="77777777" w:rsidR="00072956" w:rsidRPr="00607A06" w:rsidRDefault="00072956" w:rsidP="007F5995">
            <w:pPr>
              <w:pStyle w:val="Prrafodelista"/>
              <w:numPr>
                <w:ilvl w:val="1"/>
                <w:numId w:val="21"/>
              </w:numPr>
              <w:spacing w:after="160" w:line="278" w:lineRule="auto"/>
              <w:rPr>
                <w:rFonts w:ascii="Arial Narrow" w:hAnsi="Arial Narrow"/>
                <w:lang w:val="en-US"/>
              </w:rPr>
            </w:pPr>
            <w:r w:rsidRPr="00EF7931">
              <w:rPr>
                <w:rFonts w:ascii="Arial Narrow" w:hAnsi="Arial Narrow"/>
              </w:rPr>
              <w:t xml:space="preserve">Regjeringen (2020b). </w:t>
            </w:r>
            <w:r w:rsidRPr="00EF7931">
              <w:rPr>
                <w:rFonts w:ascii="Arial Narrow" w:hAnsi="Arial Narrow"/>
                <w:i/>
                <w:iCs/>
              </w:rPr>
              <w:t>Nå skal det bli minsteavstand mellom vindturbinene og naboer: 4 ganger turbinens høyde</w:t>
            </w:r>
            <w:r w:rsidRPr="00EF7931">
              <w:rPr>
                <w:rFonts w:ascii="Arial Narrow" w:hAnsi="Arial Narrow"/>
              </w:rPr>
              <w:t xml:space="preserve">. </w:t>
            </w:r>
            <w:r w:rsidRPr="00607A06">
              <w:rPr>
                <w:rFonts w:ascii="Arial Narrow" w:hAnsi="Arial Narrow"/>
                <w:lang w:val="en-US"/>
              </w:rPr>
              <w:t>Teknisk Ukeblad, 26.06.2020. https://www.tu.no/artikler/na-skal-det-bli-minsteavstand-mellom-vindturbinene-og-naboer-4-ganger-turbinens-hoyde/494589</w:t>
            </w:r>
          </w:p>
          <w:p w14:paraId="78838451" w14:textId="77777777" w:rsidR="00072956" w:rsidRPr="00607A06" w:rsidRDefault="00072956" w:rsidP="007F5995">
            <w:pPr>
              <w:pStyle w:val="Prrafodelista"/>
              <w:numPr>
                <w:ilvl w:val="1"/>
                <w:numId w:val="21"/>
              </w:numPr>
              <w:spacing w:after="160" w:line="278" w:lineRule="auto"/>
              <w:rPr>
                <w:rFonts w:ascii="Arial Narrow" w:hAnsi="Arial Narrow"/>
                <w:lang w:val="en-US"/>
              </w:rPr>
            </w:pPr>
            <w:r w:rsidRPr="00607A06">
              <w:rPr>
                <w:rFonts w:ascii="Arial Narrow" w:hAnsi="Arial Narrow"/>
                <w:lang w:val="en-US"/>
              </w:rPr>
              <w:t xml:space="preserve">NOS (2021). </w:t>
            </w:r>
            <w:r w:rsidRPr="00607A06">
              <w:rPr>
                <w:rFonts w:ascii="Arial Narrow" w:hAnsi="Arial Narrow"/>
                <w:i/>
                <w:iCs/>
                <w:lang w:val="en-US"/>
              </w:rPr>
              <w:t>Raad van State vernietigt regels windparken vanwege ontbrekend milieubeleid</w:t>
            </w:r>
            <w:r w:rsidRPr="00607A06">
              <w:rPr>
                <w:rFonts w:ascii="Arial Narrow" w:hAnsi="Arial Narrow"/>
                <w:lang w:val="en-US"/>
              </w:rPr>
              <w:t>. Nederlandse Omroep Stichting. https://nos.nl/artikel/2393255-raad-van-state-vernietigt-regels-windparken-vanwege-ontbrekend-milieubeleid</w:t>
            </w:r>
          </w:p>
          <w:p w14:paraId="68780B60" w14:textId="77777777" w:rsidR="00072956" w:rsidRPr="00607A06" w:rsidRDefault="00072956" w:rsidP="007F5995">
            <w:pPr>
              <w:pStyle w:val="Prrafodelista"/>
              <w:numPr>
                <w:ilvl w:val="1"/>
                <w:numId w:val="21"/>
              </w:numPr>
              <w:spacing w:after="160" w:line="278" w:lineRule="auto"/>
              <w:rPr>
                <w:rFonts w:ascii="Arial Narrow" w:hAnsi="Arial Narrow"/>
              </w:rPr>
            </w:pPr>
            <w:r w:rsidRPr="0005176A">
              <w:rPr>
                <w:rFonts w:ascii="Arial Narrow" w:hAnsi="Arial Narrow"/>
                <w:lang w:val="pt-PT"/>
              </w:rPr>
              <w:t xml:space="preserve">APA (2013). </w:t>
            </w:r>
            <w:r w:rsidRPr="0005176A">
              <w:rPr>
                <w:rFonts w:ascii="Arial Narrow" w:hAnsi="Arial Narrow"/>
                <w:i/>
                <w:iCs/>
                <w:lang w:val="pt-PT"/>
              </w:rPr>
              <w:t>Guia para a Avaliação Ambiental de Parques Eólicos</w:t>
            </w:r>
            <w:r w:rsidRPr="0005176A">
              <w:rPr>
                <w:rFonts w:ascii="Arial Narrow" w:hAnsi="Arial Narrow"/>
                <w:lang w:val="pt-PT"/>
              </w:rPr>
              <w:t xml:space="preserve">. </w:t>
            </w:r>
            <w:r w:rsidRPr="00607A06">
              <w:rPr>
                <w:rFonts w:ascii="Arial Narrow" w:hAnsi="Arial Narrow"/>
              </w:rPr>
              <w:t>Agência Portuguesa do Ambiente.</w:t>
            </w:r>
          </w:p>
          <w:p w14:paraId="60595257" w14:textId="77777777" w:rsidR="00072956" w:rsidRPr="00607A06" w:rsidRDefault="00072956" w:rsidP="007F5995">
            <w:pPr>
              <w:pStyle w:val="Prrafodelista"/>
              <w:numPr>
                <w:ilvl w:val="1"/>
                <w:numId w:val="21"/>
              </w:numPr>
              <w:spacing w:after="160" w:line="278" w:lineRule="auto"/>
              <w:rPr>
                <w:rFonts w:ascii="Arial Narrow" w:hAnsi="Arial Narrow"/>
                <w:lang w:val="en-US"/>
              </w:rPr>
            </w:pPr>
            <w:r w:rsidRPr="00607A06">
              <w:rPr>
                <w:rFonts w:ascii="Arial Narrow" w:hAnsi="Arial Narrow"/>
                <w:lang w:val="en-US"/>
              </w:rPr>
              <w:t xml:space="preserve">WHO (2018). </w:t>
            </w:r>
            <w:r w:rsidRPr="00607A06">
              <w:rPr>
                <w:rFonts w:ascii="Arial Narrow" w:hAnsi="Arial Narrow"/>
                <w:i/>
                <w:iCs/>
                <w:lang w:val="en-US"/>
              </w:rPr>
              <w:t>Environmental Noise Guidelines for the European Region</w:t>
            </w:r>
            <w:r w:rsidRPr="00607A06">
              <w:rPr>
                <w:rFonts w:ascii="Arial Narrow" w:hAnsi="Arial Narrow"/>
                <w:lang w:val="en-US"/>
              </w:rPr>
              <w:t xml:space="preserve">. World Health Organization Regional Office for Europe. </w:t>
            </w:r>
            <w:hyperlink r:id="rId31" w:tgtFrame="_new" w:history="1">
              <w:r w:rsidRPr="00607A06">
                <w:rPr>
                  <w:rStyle w:val="Hipervnculo"/>
                  <w:rFonts w:ascii="Arial Narrow" w:hAnsi="Arial Narrow"/>
                  <w:color w:val="auto"/>
                  <w:lang w:val="en-US"/>
                </w:rPr>
                <w:t>https://www.who.int/publications/i/item/9789289053563</w:t>
              </w:r>
            </w:hyperlink>
          </w:p>
          <w:p w14:paraId="5DB8C618" w14:textId="77777777" w:rsidR="00072956" w:rsidRPr="00607A06" w:rsidRDefault="00072956" w:rsidP="007F5995">
            <w:pPr>
              <w:pStyle w:val="Prrafodelista"/>
              <w:numPr>
                <w:ilvl w:val="1"/>
                <w:numId w:val="21"/>
              </w:numPr>
              <w:rPr>
                <w:rFonts w:ascii="Arial Narrow" w:hAnsi="Arial Narrow"/>
              </w:rPr>
            </w:pPr>
            <w:r w:rsidRPr="00607A06">
              <w:rPr>
                <w:rFonts w:ascii="Arial Narrow" w:hAnsi="Arial Narrow"/>
                <w:lang w:val="en-US"/>
              </w:rPr>
              <w:t xml:space="preserve">Knopper, L. D., &amp; Ollson, C. A. (2011). Health effects and wind turbines: A review of the literature. </w:t>
            </w:r>
            <w:r w:rsidRPr="00607A06">
              <w:rPr>
                <w:rFonts w:ascii="Arial Narrow" w:hAnsi="Arial Narrow"/>
                <w:i/>
                <w:iCs/>
              </w:rPr>
              <w:t>Environmental Health</w:t>
            </w:r>
            <w:r w:rsidRPr="00607A06">
              <w:rPr>
                <w:rFonts w:ascii="Arial Narrow" w:hAnsi="Arial Narrow"/>
              </w:rPr>
              <w:t xml:space="preserve">, 10(1), 78. </w:t>
            </w:r>
            <w:hyperlink r:id="rId32" w:history="1">
              <w:r w:rsidRPr="00607A06">
                <w:rPr>
                  <w:rStyle w:val="Hipervnculo"/>
                  <w:rFonts w:ascii="Arial Narrow" w:hAnsi="Arial Narrow"/>
                  <w:color w:val="auto"/>
                </w:rPr>
                <w:t>https://doi.org/10.1186/1476-069X-10-78</w:t>
              </w:r>
            </w:hyperlink>
          </w:p>
          <w:p w14:paraId="1494758A" w14:textId="77777777" w:rsidR="00072956" w:rsidRPr="00607A06" w:rsidRDefault="00072956" w:rsidP="007F5995">
            <w:pPr>
              <w:rPr>
                <w:rFonts w:ascii="Arial Narrow" w:hAnsi="Arial Narrow"/>
                <w:sz w:val="22"/>
                <w:szCs w:val="22"/>
              </w:rPr>
            </w:pPr>
          </w:p>
          <w:p w14:paraId="1E6DFB6A" w14:textId="77777777" w:rsidR="00072956" w:rsidRPr="0005176A" w:rsidRDefault="00072956" w:rsidP="007F5995">
            <w:pPr>
              <w:pStyle w:val="Prrafodelista"/>
              <w:numPr>
                <w:ilvl w:val="1"/>
                <w:numId w:val="21"/>
              </w:numPr>
              <w:spacing w:after="160" w:line="278" w:lineRule="auto"/>
              <w:rPr>
                <w:rFonts w:ascii="Arial Narrow" w:hAnsi="Arial Narrow"/>
                <w:lang w:val="pt-PT"/>
              </w:rPr>
            </w:pPr>
            <w:r w:rsidRPr="00607A06">
              <w:rPr>
                <w:rFonts w:ascii="Arial Narrow" w:hAnsi="Arial Narrow"/>
                <w:b/>
                <w:bCs/>
              </w:rPr>
              <w:t>UBA – Umweltbundesamt (2013).</w:t>
            </w:r>
            <w:r w:rsidRPr="00607A06">
              <w:rPr>
                <w:rFonts w:ascii="Arial Narrow" w:hAnsi="Arial Narrow"/>
              </w:rPr>
              <w:t xml:space="preserve"> </w:t>
            </w:r>
            <w:r w:rsidRPr="00607A06">
              <w:rPr>
                <w:rFonts w:ascii="Arial Narrow" w:hAnsi="Arial Narrow"/>
                <w:i/>
                <w:iCs/>
              </w:rPr>
              <w:t>Flächeninanspruchnahme durch Windenergieanlagen – Flächenbedarf, Flächenkonkurrenz und planerische Steuerung.</w:t>
            </w:r>
            <w:r w:rsidRPr="00607A06">
              <w:rPr>
                <w:rFonts w:ascii="Arial Narrow" w:hAnsi="Arial Narrow"/>
              </w:rPr>
              <w:t xml:space="preserve"> </w:t>
            </w:r>
            <w:r w:rsidRPr="0005176A">
              <w:rPr>
                <w:rFonts w:ascii="Arial Narrow" w:hAnsi="Arial Narrow"/>
                <w:lang w:val="pt-PT"/>
              </w:rPr>
              <w:t>Dessau-Roßlau: Umweltbundesamt. https://www.umweltbundesamt.de/publikationen/flaecheninanspruchnahme-durch-windenergieanlagen</w:t>
            </w:r>
          </w:p>
          <w:p w14:paraId="7C52C189" w14:textId="77777777" w:rsidR="00072956" w:rsidRPr="00607A06" w:rsidRDefault="00072956" w:rsidP="007F5995">
            <w:pPr>
              <w:pStyle w:val="Prrafodelista"/>
              <w:numPr>
                <w:ilvl w:val="1"/>
                <w:numId w:val="21"/>
              </w:numPr>
              <w:spacing w:after="160" w:line="278" w:lineRule="auto"/>
              <w:rPr>
                <w:rFonts w:ascii="Arial Narrow" w:hAnsi="Arial Narrow"/>
              </w:rPr>
            </w:pPr>
            <w:r w:rsidRPr="00607A06">
              <w:rPr>
                <w:rFonts w:ascii="Arial Narrow" w:hAnsi="Arial Narrow"/>
                <w:b/>
                <w:bCs/>
                <w:lang w:val="en-US"/>
              </w:rPr>
              <w:t>DEA – Danish Energy Agency (2021).</w:t>
            </w:r>
            <w:r w:rsidRPr="00607A06">
              <w:rPr>
                <w:rFonts w:ascii="Arial Narrow" w:hAnsi="Arial Narrow"/>
                <w:lang w:val="en-US"/>
              </w:rPr>
              <w:t xml:space="preserve"> </w:t>
            </w:r>
            <w:r w:rsidRPr="00607A06">
              <w:rPr>
                <w:rFonts w:ascii="Arial Narrow" w:hAnsi="Arial Narrow"/>
                <w:i/>
                <w:iCs/>
                <w:lang w:val="en-US"/>
              </w:rPr>
              <w:t>Technology Data for Energy Plants</w:t>
            </w:r>
            <w:r w:rsidRPr="00607A06">
              <w:rPr>
                <w:rFonts w:ascii="Arial Narrow" w:hAnsi="Arial Narrow"/>
                <w:lang w:val="en-US"/>
              </w:rPr>
              <w:t xml:space="preserve">. </w:t>
            </w:r>
            <w:r w:rsidRPr="00607A06">
              <w:rPr>
                <w:rFonts w:ascii="Arial Narrow" w:hAnsi="Arial Narrow"/>
              </w:rPr>
              <w:t xml:space="preserve">Danish Energy Agency. </w:t>
            </w:r>
            <w:hyperlink r:id="rId33" w:tgtFrame="_new" w:history="1">
              <w:r w:rsidRPr="00607A06">
                <w:rPr>
                  <w:rStyle w:val="Hipervnculo"/>
                  <w:rFonts w:ascii="Arial Narrow" w:hAnsi="Arial Narrow"/>
                  <w:color w:val="auto"/>
                </w:rPr>
                <w:t>https://ens.dk</w:t>
              </w:r>
            </w:hyperlink>
          </w:p>
          <w:p w14:paraId="0DD78F2C" w14:textId="77777777" w:rsidR="00072956" w:rsidRPr="00607A06" w:rsidRDefault="00072956" w:rsidP="007F5995">
            <w:pPr>
              <w:pStyle w:val="Prrafodelista"/>
              <w:numPr>
                <w:ilvl w:val="1"/>
                <w:numId w:val="21"/>
              </w:numPr>
              <w:spacing w:after="160" w:line="278" w:lineRule="auto"/>
              <w:rPr>
                <w:rFonts w:ascii="Arial Narrow" w:hAnsi="Arial Narrow"/>
              </w:rPr>
            </w:pPr>
            <w:r w:rsidRPr="00EF7931">
              <w:rPr>
                <w:rFonts w:ascii="Arial Narrow" w:hAnsi="Arial Narrow"/>
                <w:b/>
                <w:bCs/>
              </w:rPr>
              <w:t>NVE – Norges vassdrags- og energidirektorat (2023).</w:t>
            </w:r>
            <w:r w:rsidRPr="00EF7931">
              <w:rPr>
                <w:rFonts w:ascii="Arial Narrow" w:hAnsi="Arial Narrow"/>
              </w:rPr>
              <w:t xml:space="preserve"> </w:t>
            </w:r>
            <w:r w:rsidRPr="00EF7931">
              <w:rPr>
                <w:rFonts w:ascii="Arial Narrow" w:hAnsi="Arial Narrow"/>
                <w:i/>
                <w:iCs/>
              </w:rPr>
              <w:t>Planlegging og konsesjonsbehandling av vindkraftanlegg på land</w:t>
            </w:r>
            <w:r w:rsidRPr="00EF7931">
              <w:rPr>
                <w:rFonts w:ascii="Arial Narrow" w:hAnsi="Arial Narrow"/>
              </w:rPr>
              <w:t xml:space="preserve">. </w:t>
            </w:r>
            <w:hyperlink r:id="rId34" w:tgtFrame="_new" w:history="1">
              <w:r w:rsidRPr="00607A06">
                <w:rPr>
                  <w:rStyle w:val="Hipervnculo"/>
                  <w:rFonts w:ascii="Arial Narrow" w:hAnsi="Arial Narrow"/>
                  <w:color w:val="auto"/>
                </w:rPr>
                <w:t>https://www.regjeringen.no/contentassets/daebfb5c14a140c398e15ffcb61de872/no/pdfs/planlegging-og-konsesjonsbehandling-av-vindkraftan.pdf</w:t>
              </w:r>
            </w:hyperlink>
          </w:p>
          <w:p w14:paraId="219C3BC4" w14:textId="77777777" w:rsidR="00072956" w:rsidRPr="00607A06" w:rsidRDefault="00072956" w:rsidP="007F5995">
            <w:pPr>
              <w:pStyle w:val="Prrafodelista"/>
              <w:numPr>
                <w:ilvl w:val="1"/>
                <w:numId w:val="21"/>
              </w:numPr>
              <w:spacing w:after="160" w:line="278" w:lineRule="auto"/>
              <w:rPr>
                <w:rFonts w:ascii="Arial Narrow" w:hAnsi="Arial Narrow"/>
                <w:lang w:val="en-US"/>
              </w:rPr>
            </w:pPr>
            <w:r w:rsidRPr="00607A06">
              <w:rPr>
                <w:rFonts w:ascii="Arial Narrow" w:hAnsi="Arial Narrow"/>
                <w:b/>
                <w:bCs/>
                <w:lang w:val="en-US"/>
              </w:rPr>
              <w:t>Tegen, S., Lantz, E., Hand, M., Maples, B., &amp; Smith, A. (2013).</w:t>
            </w:r>
            <w:r w:rsidRPr="00607A06">
              <w:rPr>
                <w:rFonts w:ascii="Arial Narrow" w:hAnsi="Arial Narrow"/>
                <w:lang w:val="en-US"/>
              </w:rPr>
              <w:t xml:space="preserve"> </w:t>
            </w:r>
            <w:r w:rsidRPr="00607A06">
              <w:rPr>
                <w:rFonts w:ascii="Arial Narrow" w:hAnsi="Arial Narrow"/>
                <w:i/>
                <w:iCs/>
                <w:lang w:val="en-US"/>
              </w:rPr>
              <w:t>Land-Use Requirements for Wind Power Plants in the United States</w:t>
            </w:r>
            <w:r w:rsidRPr="00607A06">
              <w:rPr>
                <w:rFonts w:ascii="Arial Narrow" w:hAnsi="Arial Narrow"/>
                <w:lang w:val="en-US"/>
              </w:rPr>
              <w:t>. National Renewable Energy Laboratory (NREL/TP-6A20-55883). https://www.nrel.gov/docs/fy13osti/55883.pdf</w:t>
            </w:r>
          </w:p>
          <w:p w14:paraId="01AD8B33" w14:textId="77777777" w:rsidR="00072956" w:rsidRPr="00607A06" w:rsidRDefault="00072956" w:rsidP="007F5995">
            <w:pPr>
              <w:pStyle w:val="Prrafodelista"/>
              <w:numPr>
                <w:ilvl w:val="1"/>
                <w:numId w:val="21"/>
              </w:numPr>
              <w:spacing w:after="160" w:line="278" w:lineRule="auto"/>
              <w:rPr>
                <w:rFonts w:ascii="Arial Narrow" w:hAnsi="Arial Narrow"/>
              </w:rPr>
            </w:pPr>
            <w:r w:rsidRPr="00607A06">
              <w:rPr>
                <w:rFonts w:ascii="Arial Narrow" w:hAnsi="Arial Narrow"/>
                <w:b/>
                <w:bCs/>
                <w:lang w:val="en-US"/>
              </w:rPr>
              <w:t>Denholm, P., Hand, M., Jackson, M., &amp; Ong, S. (2009).</w:t>
            </w:r>
            <w:r w:rsidRPr="00607A06">
              <w:rPr>
                <w:rFonts w:ascii="Arial Narrow" w:hAnsi="Arial Narrow"/>
                <w:lang w:val="en-US"/>
              </w:rPr>
              <w:t xml:space="preserve"> </w:t>
            </w:r>
            <w:r w:rsidRPr="00607A06">
              <w:rPr>
                <w:rFonts w:ascii="Arial Narrow" w:hAnsi="Arial Narrow"/>
                <w:i/>
                <w:iCs/>
                <w:lang w:val="en-US"/>
              </w:rPr>
              <w:t>Land-Use Requirements of Modern Wind Power Plants in the United States</w:t>
            </w:r>
            <w:r w:rsidRPr="00607A06">
              <w:rPr>
                <w:rFonts w:ascii="Arial Narrow" w:hAnsi="Arial Narrow"/>
                <w:lang w:val="en-US"/>
              </w:rPr>
              <w:t xml:space="preserve">. </w:t>
            </w:r>
            <w:r w:rsidRPr="00607A06">
              <w:rPr>
                <w:rFonts w:ascii="Arial Narrow" w:hAnsi="Arial Narrow"/>
              </w:rPr>
              <w:t>NREL/TP-6A2-45834. https://www.nrel.gov/docs/fy09osti/45834.pdf</w:t>
            </w:r>
          </w:p>
          <w:p w14:paraId="79C1D175" w14:textId="77777777" w:rsidR="00072956" w:rsidRPr="00607A06" w:rsidRDefault="00072956" w:rsidP="007F5995">
            <w:pPr>
              <w:jc w:val="both"/>
              <w:rPr>
                <w:rFonts w:ascii="Arial Narrow" w:hAnsi="Arial Narrow" w:cs="Arial"/>
                <w:bCs/>
                <w:sz w:val="22"/>
                <w:szCs w:val="22"/>
              </w:rPr>
            </w:pPr>
          </w:p>
          <w:p w14:paraId="1B8D5C9C" w14:textId="77777777" w:rsidR="00072956" w:rsidRPr="00607A06" w:rsidRDefault="00072956" w:rsidP="007F5995">
            <w:pPr>
              <w:pStyle w:val="NormalArial"/>
              <w:rPr>
                <w:rFonts w:ascii="Arial Narrow" w:hAnsi="Arial Narrow"/>
              </w:rPr>
            </w:pPr>
            <w:r w:rsidRPr="00607A06">
              <w:rPr>
                <w:rFonts w:ascii="Arial Narrow" w:hAnsi="Arial Narrow"/>
              </w:rPr>
              <w:t xml:space="preserve">Respecto a la intensidad de emisiones de gases de efecto invernadero en los sistemas de generación de energía eléctrica, y a su aporte en la mitigación del cambio climático, se analizaron los siguientes documentos: </w:t>
            </w:r>
          </w:p>
          <w:p w14:paraId="192694D5" w14:textId="77777777" w:rsidR="00072956" w:rsidRPr="00607A06" w:rsidRDefault="00072956" w:rsidP="007F5995">
            <w:pPr>
              <w:pStyle w:val="NormalArial"/>
              <w:ind w:left="217"/>
              <w:jc w:val="left"/>
              <w:rPr>
                <w:rFonts w:ascii="Arial Narrow" w:hAnsi="Arial Narrow"/>
                <w:lang w:val="en-US"/>
              </w:rPr>
            </w:pPr>
            <w:r w:rsidRPr="00607A06">
              <w:rPr>
                <w:rFonts w:ascii="Arial Narrow" w:hAnsi="Arial Narrow"/>
                <w:lang w:val="en-US"/>
              </w:rPr>
              <w:t xml:space="preserve">Ember, Energy Institute - Statistical Review of World Energy. (2024) – with major processing by Our World in Data. Carbon intensity of electricity generation. </w:t>
            </w:r>
            <w:hyperlink r:id="rId35" w:history="1">
              <w:r w:rsidRPr="00607A06">
                <w:rPr>
                  <w:rStyle w:val="Hipervnculo"/>
                  <w:rFonts w:ascii="Arial Narrow" w:hAnsi="Arial Narrow"/>
                  <w:color w:val="auto"/>
                  <w:lang w:val="en-US"/>
                </w:rPr>
                <w:t>https://ourworldindata.org/grapher/carbon-intensity-electricity</w:t>
              </w:r>
            </w:hyperlink>
          </w:p>
          <w:p w14:paraId="78285FC8" w14:textId="77777777" w:rsidR="00072956" w:rsidRPr="00607A06" w:rsidRDefault="00072956" w:rsidP="007F5995">
            <w:pPr>
              <w:pStyle w:val="NormalArial"/>
              <w:tabs>
                <w:tab w:val="left" w:pos="206"/>
              </w:tabs>
              <w:ind w:left="217"/>
              <w:jc w:val="left"/>
              <w:rPr>
                <w:rFonts w:ascii="Arial Narrow" w:hAnsi="Arial Narrow"/>
              </w:rPr>
            </w:pPr>
            <w:r w:rsidRPr="00607A06">
              <w:rPr>
                <w:rFonts w:ascii="Arial Narrow" w:hAnsi="Arial Narrow"/>
              </w:rPr>
              <w:t xml:space="preserve">Ministerio de Minas y Energía. (2023). </w:t>
            </w:r>
            <w:r w:rsidRPr="00607A06">
              <w:rPr>
                <w:rFonts w:ascii="Arial Narrow" w:hAnsi="Arial Narrow"/>
                <w:i/>
                <w:iCs/>
              </w:rPr>
              <w:t>Diagnóstico base para la Transición Energética Justa</w:t>
            </w:r>
            <w:r w:rsidRPr="00607A06">
              <w:rPr>
                <w:rFonts w:ascii="Arial Narrow" w:hAnsi="Arial Narrow"/>
              </w:rPr>
              <w:t>. https://www.minenergia.gov.co/documents/10439/2._Diagn%C3%B3stico_base_para_la_TEJ.pdf</w:t>
            </w:r>
          </w:p>
          <w:p w14:paraId="3FEF6288" w14:textId="77777777" w:rsidR="00072956" w:rsidRPr="00607A06" w:rsidRDefault="00072956" w:rsidP="007F5995">
            <w:pPr>
              <w:pStyle w:val="NormalArial"/>
              <w:ind w:left="217"/>
              <w:jc w:val="left"/>
              <w:rPr>
                <w:rFonts w:ascii="Arial Narrow" w:hAnsi="Arial Narrow"/>
                <w:lang w:val="en-US"/>
              </w:rPr>
            </w:pPr>
            <w:r w:rsidRPr="00607A06">
              <w:rPr>
                <w:rFonts w:ascii="Arial Narrow" w:hAnsi="Arial Narrow"/>
                <w:lang w:val="en-US"/>
              </w:rPr>
              <w:t>Moomaw, W., P. Burgherr, G. Heath, M. Lenzen, J. Nyboer, A. Verbruggen. (2011). Annex II: Methodology. En IPCC Special Report on Renewable Energy Sources and Climate Change Mitigation [O. Edenhofer,  R. Pichs-Madruga, Y. Sokona, K. Seyboth, P. Matschoss, S. Kadner, T. Zwickel, P. Eickemeier, G. Hansen,  S. Schlömer, C. von Stechow (eds)], Cambridge University Press, Cambridge, United Kingdom and New York, NY, USA.</w:t>
            </w:r>
          </w:p>
          <w:p w14:paraId="5DA3E461" w14:textId="77777777" w:rsidR="00072956" w:rsidRPr="00607A06" w:rsidRDefault="00072956" w:rsidP="007F5995">
            <w:pPr>
              <w:pStyle w:val="NormalArial"/>
              <w:ind w:left="217"/>
              <w:jc w:val="left"/>
              <w:rPr>
                <w:rFonts w:ascii="Arial Narrow" w:hAnsi="Arial Narrow"/>
                <w:lang w:val="es-ES"/>
              </w:rPr>
            </w:pPr>
            <w:r w:rsidRPr="00607A06">
              <w:rPr>
                <w:rFonts w:ascii="Arial Narrow" w:hAnsi="Arial Narrow"/>
                <w:lang w:val="en-US"/>
              </w:rPr>
              <w:t>Naciones Unidas. (s. f.). </w:t>
            </w:r>
            <w:r w:rsidRPr="00607A06">
              <w:rPr>
                <w:rFonts w:ascii="Arial Narrow" w:hAnsi="Arial Narrow"/>
                <w:i/>
                <w:iCs/>
                <w:lang w:val="en-US"/>
              </w:rPr>
              <w:t>Renewable energy – powering a safer future | United Nations</w:t>
            </w:r>
            <w:r w:rsidRPr="00607A06">
              <w:rPr>
                <w:rFonts w:ascii="Arial Narrow" w:hAnsi="Arial Narrow"/>
                <w:lang w:val="en-US"/>
              </w:rPr>
              <w:t xml:space="preserve">. </w:t>
            </w:r>
            <w:r w:rsidRPr="00607A06">
              <w:rPr>
                <w:rFonts w:ascii="Arial Narrow" w:hAnsi="Arial Narrow"/>
              </w:rPr>
              <w:t>Acción por el Clima. </w:t>
            </w:r>
            <w:hyperlink r:id="rId36" w:history="1">
              <w:r w:rsidRPr="00607A06">
                <w:rPr>
                  <w:rStyle w:val="Hipervnculo"/>
                  <w:rFonts w:ascii="Arial Narrow" w:hAnsi="Arial Narrow"/>
                  <w:color w:val="auto"/>
                  <w:lang w:val="es-ES"/>
                </w:rPr>
                <w:t>https://www.un.org/en/climatechange/raising-ambition/renewable-energy</w:t>
              </w:r>
            </w:hyperlink>
          </w:p>
          <w:p w14:paraId="737D496F" w14:textId="77777777" w:rsidR="00072956" w:rsidRPr="00EF7931" w:rsidRDefault="00072956" w:rsidP="007F5995">
            <w:pPr>
              <w:pStyle w:val="NormalArial"/>
              <w:ind w:left="217"/>
              <w:jc w:val="left"/>
              <w:rPr>
                <w:rFonts w:ascii="Arial Narrow" w:hAnsi="Arial Narrow"/>
              </w:rPr>
            </w:pPr>
            <w:r w:rsidRPr="00EF7931">
              <w:rPr>
                <w:rFonts w:ascii="Arial Narrow" w:hAnsi="Arial Narrow"/>
              </w:rPr>
              <w:t xml:space="preserve">National Energy System Operator – NESO. (2025). </w:t>
            </w:r>
            <w:r w:rsidRPr="00EF7931">
              <w:rPr>
                <w:rFonts w:ascii="Arial Narrow" w:hAnsi="Arial Narrow"/>
                <w:i/>
                <w:iCs/>
              </w:rPr>
              <w:t>Carbono Intensity API</w:t>
            </w:r>
            <w:r w:rsidRPr="00EF7931">
              <w:rPr>
                <w:rFonts w:ascii="Arial Narrow" w:hAnsi="Arial Narrow"/>
              </w:rPr>
              <w:t xml:space="preserve">. </w:t>
            </w:r>
            <w:hyperlink r:id="rId37">
              <w:r w:rsidRPr="00EF7931">
                <w:rPr>
                  <w:rStyle w:val="Hipervnculo"/>
                  <w:rFonts w:ascii="Arial Narrow" w:hAnsi="Arial Narrow"/>
                  <w:color w:val="auto"/>
                </w:rPr>
                <w:t>https://carbonintensity.org.uk/</w:t>
              </w:r>
            </w:hyperlink>
          </w:p>
          <w:p w14:paraId="28770C41" w14:textId="77777777" w:rsidR="00072956" w:rsidRPr="00607A06" w:rsidRDefault="00072956" w:rsidP="007F5995">
            <w:pPr>
              <w:pStyle w:val="NormalArial"/>
              <w:ind w:left="217"/>
              <w:jc w:val="left"/>
              <w:rPr>
                <w:rFonts w:ascii="Arial Narrow" w:hAnsi="Arial Narrow"/>
                <w:lang w:val="es-ES"/>
              </w:rPr>
            </w:pPr>
            <w:r w:rsidRPr="00607A06">
              <w:rPr>
                <w:rFonts w:ascii="Arial Narrow" w:hAnsi="Arial Narrow"/>
                <w:lang w:val="es-ES"/>
              </w:rPr>
              <w:t xml:space="preserve">POLEN Transiciones Justas. (2023). </w:t>
            </w:r>
            <w:r w:rsidRPr="00607A06">
              <w:rPr>
                <w:rFonts w:ascii="Arial Narrow" w:hAnsi="Arial Narrow"/>
                <w:i/>
                <w:iCs/>
                <w:lang w:val="es-ES"/>
              </w:rPr>
              <w:t>Colombia tiene las condiciones para una transición del sector eléctrico planeada y progresiva más allá del carbón.</w:t>
            </w:r>
            <w:r w:rsidRPr="00607A06">
              <w:rPr>
                <w:rFonts w:ascii="Arial Narrow" w:hAnsi="Arial Narrow"/>
                <w:lang w:val="es-ES"/>
              </w:rPr>
              <w:t xml:space="preserve"> https://co.boell.org/es/2023/12/12/colombia-tiene-las-condiciones-para-una-transicion-del-sector-electrico-planeada-y</w:t>
            </w:r>
          </w:p>
          <w:p w14:paraId="7A1DE6DC" w14:textId="77777777" w:rsidR="00072956" w:rsidRPr="00607A06" w:rsidRDefault="00072956" w:rsidP="007F5995">
            <w:pPr>
              <w:pStyle w:val="NormalArial"/>
              <w:ind w:left="217"/>
              <w:jc w:val="left"/>
              <w:rPr>
                <w:rFonts w:ascii="Arial Narrow" w:hAnsi="Arial Narrow"/>
              </w:rPr>
            </w:pPr>
            <w:r w:rsidRPr="00607A06">
              <w:rPr>
                <w:rFonts w:ascii="Arial Narrow" w:hAnsi="Arial Narrow"/>
                <w:lang w:val="sv-SE"/>
              </w:rPr>
              <w:t xml:space="preserve">Scarlat, N., Prussi, M., &amp; Padella, M. (2021). </w:t>
            </w:r>
            <w:r w:rsidRPr="00607A06">
              <w:rPr>
                <w:rFonts w:ascii="Arial Narrow" w:hAnsi="Arial Narrow"/>
                <w:lang w:val="en-US"/>
              </w:rPr>
              <w:t xml:space="preserve">Quantification of the carbon intensity of electricity produced and used in Europe. </w:t>
            </w:r>
            <w:r w:rsidRPr="00607A06">
              <w:rPr>
                <w:rFonts w:ascii="Arial Narrow" w:hAnsi="Arial Narrow"/>
                <w:i/>
                <w:iCs/>
              </w:rPr>
              <w:t>Applied Energy, 305, 117901</w:t>
            </w:r>
            <w:r w:rsidRPr="00607A06">
              <w:rPr>
                <w:rFonts w:ascii="Arial Narrow" w:hAnsi="Arial Narrow"/>
              </w:rPr>
              <w:t xml:space="preserve">. </w:t>
            </w:r>
            <w:hyperlink r:id="rId38" w:history="1">
              <w:r w:rsidRPr="00607A06">
                <w:rPr>
                  <w:rStyle w:val="Hipervnculo"/>
                  <w:rFonts w:ascii="Arial Narrow" w:hAnsi="Arial Narrow"/>
                  <w:color w:val="auto"/>
                </w:rPr>
                <w:t>https://doi.org/10.1016/j.apenergy.2021.117901</w:t>
              </w:r>
            </w:hyperlink>
          </w:p>
          <w:p w14:paraId="682E9089" w14:textId="77777777" w:rsidR="00072956" w:rsidRPr="00607A06" w:rsidRDefault="00072956" w:rsidP="007F5995">
            <w:pPr>
              <w:pStyle w:val="NormalArial"/>
              <w:ind w:left="217"/>
              <w:jc w:val="left"/>
              <w:rPr>
                <w:rFonts w:ascii="Arial Narrow" w:hAnsi="Arial Narrow"/>
                <w:lang w:val="es-ES"/>
              </w:rPr>
            </w:pPr>
            <w:r w:rsidRPr="00607A06">
              <w:rPr>
                <w:rFonts w:ascii="Arial Narrow" w:hAnsi="Arial Narrow"/>
                <w:lang w:val="es-ES"/>
              </w:rPr>
              <w:t xml:space="preserve">Unidad de Planeación Minero Energética – UPME. (2020). </w:t>
            </w:r>
            <w:r w:rsidRPr="00607A06">
              <w:rPr>
                <w:rFonts w:ascii="Arial Narrow" w:hAnsi="Arial Narrow"/>
                <w:i/>
                <w:iCs/>
                <w:lang w:val="es-ES"/>
              </w:rPr>
              <w:t>Cálculo del factor de emisiones de la red de energía eléctrica en Colombia</w:t>
            </w:r>
            <w:r w:rsidRPr="00607A06">
              <w:rPr>
                <w:rFonts w:ascii="Arial Narrow" w:hAnsi="Arial Narrow"/>
                <w:lang w:val="es-ES"/>
              </w:rPr>
              <w:t>.</w:t>
            </w:r>
            <w:hyperlink r:id="rId39" w:history="1">
              <w:r w:rsidRPr="00607A06">
                <w:rPr>
                  <w:rStyle w:val="Hipervnculo"/>
                  <w:rFonts w:ascii="Arial Narrow" w:hAnsi="Arial Narrow"/>
                  <w:color w:val="auto"/>
                  <w:lang w:val="es-ES"/>
                </w:rPr>
                <w:t>https://www1.upme.gov.co/siame/Documents/Calculo-FE-del-SIN/Documento_calculo_FE_del_SIN_2019_Dic_2020.pdf</w:t>
              </w:r>
            </w:hyperlink>
          </w:p>
          <w:p w14:paraId="5D6BD978" w14:textId="77777777" w:rsidR="00072956" w:rsidRPr="00607A06" w:rsidRDefault="00072956" w:rsidP="007F5995">
            <w:pPr>
              <w:pStyle w:val="NormalArial"/>
              <w:ind w:left="217"/>
              <w:jc w:val="left"/>
              <w:rPr>
                <w:rFonts w:ascii="Arial Narrow" w:hAnsi="Arial Narrow"/>
                <w:lang w:val="es-ES"/>
              </w:rPr>
            </w:pPr>
            <w:r w:rsidRPr="00607A06">
              <w:rPr>
                <w:rFonts w:ascii="Arial Narrow" w:hAnsi="Arial Narrow"/>
                <w:lang w:val="es-ES"/>
              </w:rPr>
              <w:t xml:space="preserve">Unidad de Planeación Minero Energética – UPME. (2024). </w:t>
            </w:r>
            <w:r w:rsidRPr="00607A06">
              <w:rPr>
                <w:rFonts w:ascii="Arial Narrow" w:hAnsi="Arial Narrow"/>
                <w:i/>
                <w:iCs/>
                <w:lang w:val="es-ES"/>
              </w:rPr>
              <w:t>Resolución 705 de 2024</w:t>
            </w:r>
            <w:r w:rsidRPr="00607A06">
              <w:rPr>
                <w:rFonts w:ascii="Arial Narrow" w:hAnsi="Arial Narrow"/>
                <w:lang w:val="es-ES"/>
              </w:rPr>
              <w:t xml:space="preserve">. </w:t>
            </w:r>
            <w:hyperlink r:id="rId40" w:history="1">
              <w:r w:rsidRPr="00607A06">
                <w:rPr>
                  <w:rStyle w:val="Hipervnculo"/>
                  <w:rFonts w:ascii="Arial Narrow" w:hAnsi="Arial Narrow"/>
                  <w:color w:val="auto"/>
                  <w:lang w:val="es-ES"/>
                </w:rPr>
                <w:t>https://www1.upme.gov.co/Normatividad/705_2024.pdf</w:t>
              </w:r>
            </w:hyperlink>
          </w:p>
          <w:p w14:paraId="0D82BA8C" w14:textId="77777777" w:rsidR="00072956" w:rsidRPr="00607A06" w:rsidRDefault="00072956" w:rsidP="007F5995">
            <w:pPr>
              <w:pStyle w:val="NormalArial"/>
              <w:ind w:left="217"/>
              <w:jc w:val="left"/>
              <w:rPr>
                <w:rFonts w:ascii="Arial Narrow" w:hAnsi="Arial Narrow"/>
              </w:rPr>
            </w:pPr>
            <w:r w:rsidRPr="00607A06">
              <w:rPr>
                <w:rFonts w:ascii="Arial Narrow" w:hAnsi="Arial Narrow"/>
                <w:lang w:val="en-US"/>
              </w:rPr>
              <w:t xml:space="preserve">United Nation Economic Commission for Europe – UNECE. (2022). </w:t>
            </w:r>
            <w:r w:rsidRPr="00607A06">
              <w:rPr>
                <w:rFonts w:ascii="Arial Narrow" w:hAnsi="Arial Narrow"/>
                <w:i/>
                <w:iCs/>
                <w:lang w:val="en-US"/>
              </w:rPr>
              <w:t>Carbon Neutrality in the UNECE Region:  Integrated Life-cycle Assessment of Electricity Sources.</w:t>
            </w:r>
            <w:r w:rsidRPr="00607A06">
              <w:rPr>
                <w:rFonts w:ascii="Arial Narrow" w:hAnsi="Arial Narrow"/>
                <w:lang w:val="en-US"/>
              </w:rPr>
              <w:t xml:space="preserve"> </w:t>
            </w:r>
            <w:hyperlink r:id="rId41" w:history="1">
              <w:r w:rsidRPr="00607A06">
                <w:rPr>
                  <w:rStyle w:val="Hipervnculo"/>
                  <w:rFonts w:ascii="Arial Narrow" w:hAnsi="Arial Narrow"/>
                  <w:color w:val="auto"/>
                </w:rPr>
                <w:t>https://unece.org/sed/documents/2021/10/reports/life-cycle-assessment-electricity-generation-options</w:t>
              </w:r>
            </w:hyperlink>
          </w:p>
          <w:p w14:paraId="6B3B3A30" w14:textId="77777777" w:rsidR="00072956" w:rsidRPr="00607A06" w:rsidRDefault="00072956" w:rsidP="007F5995">
            <w:pPr>
              <w:pStyle w:val="NormalArial"/>
              <w:ind w:left="217"/>
              <w:jc w:val="left"/>
              <w:rPr>
                <w:rFonts w:ascii="Arial Narrow" w:hAnsi="Arial Narrow"/>
                <w:lang w:val="sv-SE"/>
              </w:rPr>
            </w:pPr>
            <w:r w:rsidRPr="00607A06">
              <w:rPr>
                <w:rFonts w:ascii="Arial Narrow" w:hAnsi="Arial Narrow"/>
                <w:lang w:val="en-US"/>
              </w:rPr>
              <w:t xml:space="preserve">Unnewehr, J. F., Weidlich, A., Gfüllner, L., &amp; Schäfer, M. (2022). Open-data based carbon emission intensity signals for electricity generation in European countries – top down vs. bottom up approach. </w:t>
            </w:r>
            <w:r w:rsidRPr="00607A06">
              <w:rPr>
                <w:rFonts w:ascii="Arial Narrow" w:hAnsi="Arial Narrow"/>
                <w:i/>
                <w:iCs/>
                <w:lang w:val="en-US"/>
              </w:rPr>
              <w:t>Cleaner Energy Systems, 3, 100018</w:t>
            </w:r>
            <w:r w:rsidRPr="00607A06">
              <w:rPr>
                <w:rFonts w:ascii="Arial Narrow" w:hAnsi="Arial Narrow"/>
                <w:lang w:val="en-US"/>
              </w:rPr>
              <w:t xml:space="preserve">. </w:t>
            </w:r>
            <w:hyperlink r:id="rId42" w:history="1">
              <w:r w:rsidRPr="00607A06">
                <w:rPr>
                  <w:rStyle w:val="Hipervnculo"/>
                  <w:rFonts w:ascii="Arial Narrow" w:hAnsi="Arial Narrow"/>
                  <w:color w:val="auto"/>
                  <w:lang w:val="sv-SE"/>
                </w:rPr>
                <w:t>https://doi.org/10.1016/j.cles.2022.100018</w:t>
              </w:r>
            </w:hyperlink>
          </w:p>
          <w:p w14:paraId="5A343F84" w14:textId="77777777" w:rsidR="00072956" w:rsidRPr="00607A06" w:rsidRDefault="00072956" w:rsidP="007F5995">
            <w:pPr>
              <w:rPr>
                <w:rFonts w:ascii="Arial Narrow" w:hAnsi="Arial Narrow" w:cs="Arial"/>
                <w:sz w:val="22"/>
                <w:szCs w:val="22"/>
                <w:lang w:val="en-US"/>
              </w:rPr>
            </w:pPr>
            <w:r w:rsidRPr="00607A06">
              <w:rPr>
                <w:rFonts w:ascii="Arial Narrow" w:hAnsi="Arial Narrow"/>
                <w:sz w:val="22"/>
                <w:szCs w:val="22"/>
                <w:lang w:val="en-US"/>
              </w:rPr>
              <w:t xml:space="preserve">World Nuclear Association. (2024). </w:t>
            </w:r>
            <w:r w:rsidRPr="00607A06">
              <w:rPr>
                <w:rFonts w:ascii="Arial Narrow" w:hAnsi="Arial Narrow"/>
                <w:i/>
                <w:iCs/>
                <w:sz w:val="22"/>
                <w:szCs w:val="22"/>
                <w:lang w:val="en-US"/>
              </w:rPr>
              <w:t>Carbon Dioxide Emissions From Electricity</w:t>
            </w:r>
            <w:r w:rsidRPr="00607A06">
              <w:rPr>
                <w:rFonts w:ascii="Arial Narrow" w:hAnsi="Arial Narrow"/>
                <w:sz w:val="22"/>
                <w:szCs w:val="22"/>
                <w:lang w:val="en-US"/>
              </w:rPr>
              <w:t>. https://world-nuclear.org/information-library/energy-and-the-environment/carbon-dioxide-emissions-from-electricity#References</w:t>
            </w:r>
          </w:p>
          <w:p w14:paraId="2175A35D" w14:textId="77777777" w:rsidR="00072956" w:rsidRPr="00607A06" w:rsidRDefault="00072956" w:rsidP="007F5995">
            <w:pPr>
              <w:jc w:val="both"/>
              <w:rPr>
                <w:rFonts w:ascii="Arial Narrow" w:hAnsi="Arial Narrow" w:cs="Arial"/>
                <w:sz w:val="22"/>
                <w:szCs w:val="22"/>
                <w:lang w:val="en-US"/>
              </w:rPr>
            </w:pPr>
          </w:p>
          <w:p w14:paraId="3908FCA7" w14:textId="77777777" w:rsidR="00072956" w:rsidRPr="00A903C0" w:rsidRDefault="00072956" w:rsidP="007F5995">
            <w:pPr>
              <w:jc w:val="both"/>
              <w:rPr>
                <w:rFonts w:ascii="Arial Narrow" w:hAnsi="Arial Narrow" w:cs="Arial"/>
                <w:b/>
                <w:sz w:val="22"/>
                <w:szCs w:val="22"/>
                <w:lang w:val="en-US"/>
              </w:rPr>
            </w:pPr>
          </w:p>
          <w:p w14:paraId="28D172A7" w14:textId="77777777" w:rsidR="00072956" w:rsidRPr="00A903C0" w:rsidRDefault="00072956" w:rsidP="007F5995">
            <w:pPr>
              <w:ind w:left="720"/>
              <w:jc w:val="both"/>
              <w:rPr>
                <w:rFonts w:ascii="Arial Narrow" w:hAnsi="Arial Narrow" w:cs="Arial"/>
                <w:sz w:val="22"/>
                <w:szCs w:val="22"/>
                <w:lang w:val="en-US"/>
              </w:rPr>
            </w:pPr>
          </w:p>
        </w:tc>
      </w:tr>
      <w:tr w:rsidR="00072956" w:rsidRPr="00431BB6" w14:paraId="54A19AC4" w14:textId="77777777" w:rsidTr="008BADD2">
        <w:trPr>
          <w:trHeight w:val="416"/>
        </w:trPr>
        <w:tc>
          <w:tcPr>
            <w:tcW w:w="10740" w:type="dxa"/>
            <w:gridSpan w:val="3"/>
            <w:tcBorders>
              <w:top w:val="single" w:sz="4" w:space="0" w:color="auto"/>
              <w:bottom w:val="single" w:sz="4" w:space="0" w:color="auto"/>
            </w:tcBorders>
            <w:shd w:val="clear" w:color="auto" w:fill="154A8A"/>
            <w:vAlign w:val="center"/>
          </w:tcPr>
          <w:p w14:paraId="50EAA3FA" w14:textId="77777777" w:rsidR="00072956" w:rsidRPr="00431BB6" w:rsidRDefault="00072956" w:rsidP="007F5995">
            <w:pPr>
              <w:jc w:val="center"/>
              <w:rPr>
                <w:rFonts w:ascii="Arial Narrow" w:hAnsi="Arial Narrow" w:cs="Arial"/>
                <w:color w:val="FFFFFF"/>
                <w:sz w:val="22"/>
                <w:szCs w:val="22"/>
              </w:rPr>
            </w:pPr>
            <w:r w:rsidRPr="00431BB6">
              <w:rPr>
                <w:rFonts w:ascii="Arial Narrow" w:hAnsi="Arial Narrow" w:cs="Arial"/>
                <w:b/>
                <w:color w:val="FFFFFF"/>
                <w:sz w:val="22"/>
                <w:szCs w:val="22"/>
              </w:rPr>
              <w:t>ANEXOS:</w:t>
            </w:r>
            <w:r w:rsidRPr="00431BB6">
              <w:rPr>
                <w:rFonts w:ascii="Arial Narrow" w:hAnsi="Arial Narrow" w:cs="Arial"/>
                <w:color w:val="FFFFFF"/>
                <w:sz w:val="22"/>
                <w:szCs w:val="22"/>
              </w:rPr>
              <w:t xml:space="preserve"> </w:t>
            </w:r>
          </w:p>
        </w:tc>
      </w:tr>
      <w:tr w:rsidR="00072956" w:rsidRPr="00431BB6" w14:paraId="719F95C3" w14:textId="77777777" w:rsidTr="008BADD2">
        <w:trPr>
          <w:trHeight w:val="66"/>
        </w:trPr>
        <w:tc>
          <w:tcPr>
            <w:tcW w:w="7160" w:type="dxa"/>
            <w:gridSpan w:val="2"/>
            <w:tcBorders>
              <w:top w:val="single" w:sz="4" w:space="0" w:color="auto"/>
              <w:bottom w:val="single" w:sz="4" w:space="0" w:color="auto"/>
              <w:right w:val="single" w:sz="4" w:space="0" w:color="auto"/>
            </w:tcBorders>
            <w:shd w:val="clear" w:color="auto" w:fill="FFFFFF" w:themeFill="background1"/>
            <w:vAlign w:val="center"/>
          </w:tcPr>
          <w:p w14:paraId="56BB2F16" w14:textId="77777777" w:rsidR="00072956" w:rsidRPr="00431BB6" w:rsidRDefault="00072956" w:rsidP="007F5995">
            <w:pPr>
              <w:jc w:val="both"/>
              <w:rPr>
                <w:rFonts w:ascii="Arial Narrow" w:hAnsi="Arial Narrow" w:cs="Arial"/>
                <w:sz w:val="22"/>
                <w:szCs w:val="22"/>
              </w:rPr>
            </w:pPr>
            <w:r w:rsidRPr="00431BB6">
              <w:rPr>
                <w:rFonts w:ascii="Arial Narrow" w:hAnsi="Arial Narrow" w:cs="Arial"/>
                <w:sz w:val="22"/>
                <w:szCs w:val="22"/>
              </w:rPr>
              <w:t xml:space="preserve">Certificación de cumplimiento de requisitos de consulta, publicidad y de incorporación en la agenda regulatoria </w:t>
            </w:r>
          </w:p>
          <w:p w14:paraId="660A4FAF" w14:textId="77777777" w:rsidR="00072956" w:rsidRPr="00431BB6" w:rsidRDefault="00072956" w:rsidP="007F5995">
            <w:pPr>
              <w:jc w:val="both"/>
              <w:rPr>
                <w:rFonts w:ascii="Arial Narrow" w:hAnsi="Arial Narrow" w:cs="Arial"/>
                <w:i/>
                <w:color w:val="808080"/>
                <w:sz w:val="22"/>
                <w:szCs w:val="22"/>
              </w:rPr>
            </w:pPr>
            <w:r w:rsidRPr="00431BB6">
              <w:rPr>
                <w:rFonts w:ascii="Arial Narrow" w:hAnsi="Arial Narrow" w:cs="Arial"/>
                <w:i/>
                <w:color w:val="808080"/>
                <w:szCs w:val="22"/>
              </w:rPr>
              <w:t>(Firmada por el servidor público competente –entidad originadora)</w:t>
            </w:r>
          </w:p>
        </w:tc>
        <w:tc>
          <w:tcPr>
            <w:tcW w:w="3580" w:type="dxa"/>
            <w:tcBorders>
              <w:top w:val="single" w:sz="4" w:space="0" w:color="auto"/>
              <w:left w:val="single" w:sz="4" w:space="0" w:color="auto"/>
              <w:bottom w:val="single" w:sz="4" w:space="0" w:color="auto"/>
            </w:tcBorders>
            <w:shd w:val="clear" w:color="auto" w:fill="FFFFFF" w:themeFill="background1"/>
            <w:vAlign w:val="center"/>
          </w:tcPr>
          <w:p w14:paraId="349FCD9B" w14:textId="77777777" w:rsidR="00072956" w:rsidRPr="00352F84" w:rsidRDefault="00072956" w:rsidP="007F5995">
            <w:pPr>
              <w:jc w:val="center"/>
              <w:rPr>
                <w:rFonts w:ascii="Arial Narrow" w:hAnsi="Arial Narrow" w:cs="Arial"/>
                <w:i/>
                <w:sz w:val="22"/>
                <w:szCs w:val="22"/>
              </w:rPr>
            </w:pPr>
            <w:r>
              <w:rPr>
                <w:rFonts w:ascii="Arial Narrow" w:hAnsi="Arial Narrow" w:cs="Arial"/>
                <w:i/>
                <w:sz w:val="22"/>
                <w:szCs w:val="22"/>
              </w:rPr>
              <w:t>X</w:t>
            </w:r>
          </w:p>
        </w:tc>
      </w:tr>
      <w:tr w:rsidR="00072956" w:rsidRPr="00431BB6" w14:paraId="45A7FE0C" w14:textId="77777777" w:rsidTr="008BADD2">
        <w:trPr>
          <w:trHeight w:val="66"/>
        </w:trPr>
        <w:tc>
          <w:tcPr>
            <w:tcW w:w="7160" w:type="dxa"/>
            <w:gridSpan w:val="2"/>
            <w:tcBorders>
              <w:top w:val="single" w:sz="4" w:space="0" w:color="auto"/>
              <w:bottom w:val="single" w:sz="4" w:space="0" w:color="auto"/>
              <w:right w:val="single" w:sz="4" w:space="0" w:color="auto"/>
            </w:tcBorders>
            <w:shd w:val="clear" w:color="auto" w:fill="FFFFFF" w:themeFill="background1"/>
            <w:vAlign w:val="center"/>
          </w:tcPr>
          <w:p w14:paraId="12414D9B" w14:textId="77777777" w:rsidR="00072956" w:rsidRPr="00431BB6" w:rsidRDefault="00072956" w:rsidP="007F5995">
            <w:pPr>
              <w:jc w:val="both"/>
              <w:rPr>
                <w:rFonts w:ascii="Arial Narrow" w:hAnsi="Arial Narrow" w:cs="Arial"/>
                <w:sz w:val="22"/>
                <w:szCs w:val="22"/>
              </w:rPr>
            </w:pPr>
            <w:r w:rsidRPr="00431BB6">
              <w:rPr>
                <w:rFonts w:ascii="Arial Narrow" w:hAnsi="Arial Narrow" w:cs="Arial"/>
                <w:sz w:val="22"/>
                <w:szCs w:val="22"/>
              </w:rPr>
              <w:t>Concepto(s) de Ministerio de Comercio, Industria y Turismo</w:t>
            </w:r>
          </w:p>
          <w:p w14:paraId="6E4AFF35" w14:textId="77777777" w:rsidR="00072956" w:rsidRPr="00431BB6" w:rsidRDefault="00072956" w:rsidP="007F5995">
            <w:pPr>
              <w:jc w:val="both"/>
              <w:rPr>
                <w:rFonts w:ascii="Arial Narrow" w:hAnsi="Arial Narrow" w:cs="Arial"/>
                <w:i/>
                <w:color w:val="808080"/>
                <w:sz w:val="22"/>
                <w:szCs w:val="22"/>
              </w:rPr>
            </w:pPr>
            <w:r w:rsidRPr="00431BB6">
              <w:rPr>
                <w:rFonts w:ascii="Arial Narrow" w:hAnsi="Arial Narrow" w:cs="Arial"/>
                <w:i/>
                <w:color w:val="808080"/>
                <w:szCs w:val="22"/>
              </w:rPr>
              <w:t>(Cuando se trate de un proyecto de reglamento técnico o de procedimientos de evaluación de conformidad)</w:t>
            </w:r>
          </w:p>
        </w:tc>
        <w:tc>
          <w:tcPr>
            <w:tcW w:w="3580" w:type="dxa"/>
            <w:tcBorders>
              <w:top w:val="single" w:sz="4" w:space="0" w:color="auto"/>
              <w:left w:val="single" w:sz="4" w:space="0" w:color="auto"/>
              <w:bottom w:val="single" w:sz="4" w:space="0" w:color="auto"/>
            </w:tcBorders>
            <w:shd w:val="clear" w:color="auto" w:fill="FFFFFF" w:themeFill="background1"/>
            <w:vAlign w:val="center"/>
          </w:tcPr>
          <w:p w14:paraId="4E2D9488" w14:textId="77777777" w:rsidR="00072956" w:rsidRPr="00352F84" w:rsidRDefault="00072956" w:rsidP="007F5995">
            <w:pPr>
              <w:jc w:val="center"/>
              <w:rPr>
                <w:rFonts w:ascii="Arial Narrow" w:hAnsi="Arial Narrow" w:cs="Arial"/>
                <w:iCs/>
                <w:sz w:val="22"/>
                <w:szCs w:val="22"/>
              </w:rPr>
            </w:pPr>
            <w:r w:rsidRPr="00352F84">
              <w:rPr>
                <w:rFonts w:ascii="Arial Narrow" w:hAnsi="Arial Narrow" w:cs="Arial"/>
                <w:iCs/>
                <w:sz w:val="22"/>
                <w:szCs w:val="22"/>
              </w:rPr>
              <w:t>No se requiere.</w:t>
            </w:r>
          </w:p>
        </w:tc>
      </w:tr>
      <w:tr w:rsidR="00072956" w:rsidRPr="00431BB6" w14:paraId="1B80943B" w14:textId="77777777" w:rsidTr="008BADD2">
        <w:trPr>
          <w:trHeight w:val="66"/>
        </w:trPr>
        <w:tc>
          <w:tcPr>
            <w:tcW w:w="7160" w:type="dxa"/>
            <w:gridSpan w:val="2"/>
            <w:tcBorders>
              <w:top w:val="single" w:sz="4" w:space="0" w:color="auto"/>
              <w:bottom w:val="single" w:sz="4" w:space="0" w:color="auto"/>
              <w:right w:val="single" w:sz="4" w:space="0" w:color="auto"/>
            </w:tcBorders>
            <w:shd w:val="clear" w:color="auto" w:fill="FFFFFF" w:themeFill="background1"/>
            <w:vAlign w:val="center"/>
          </w:tcPr>
          <w:p w14:paraId="58C9E7A0" w14:textId="77777777" w:rsidR="00072956" w:rsidRPr="00431BB6" w:rsidRDefault="00072956" w:rsidP="007F5995">
            <w:pPr>
              <w:jc w:val="both"/>
              <w:rPr>
                <w:rFonts w:ascii="Arial Narrow" w:hAnsi="Arial Narrow" w:cs="Arial"/>
                <w:sz w:val="22"/>
                <w:szCs w:val="22"/>
              </w:rPr>
            </w:pPr>
            <w:r w:rsidRPr="00431BB6">
              <w:rPr>
                <w:rFonts w:ascii="Arial Narrow" w:hAnsi="Arial Narrow" w:cs="Arial"/>
                <w:sz w:val="22"/>
                <w:szCs w:val="22"/>
              </w:rPr>
              <w:t xml:space="preserve">Informe de observaciones y respuestas </w:t>
            </w:r>
          </w:p>
          <w:p w14:paraId="54C7DA16" w14:textId="77777777" w:rsidR="00072956" w:rsidRPr="00431BB6" w:rsidRDefault="00072956" w:rsidP="007F5995">
            <w:pPr>
              <w:jc w:val="both"/>
              <w:rPr>
                <w:rFonts w:ascii="Arial Narrow" w:hAnsi="Arial Narrow" w:cs="Arial"/>
                <w:i/>
                <w:color w:val="808080"/>
                <w:sz w:val="22"/>
                <w:szCs w:val="22"/>
              </w:rPr>
            </w:pPr>
            <w:r w:rsidRPr="00431BB6">
              <w:rPr>
                <w:rFonts w:ascii="Arial Narrow" w:hAnsi="Arial Narrow" w:cs="Arial"/>
                <w:i/>
                <w:color w:val="808080"/>
                <w:szCs w:val="22"/>
              </w:rPr>
              <w:t>(Análisis del informe con la evaluación de las observaciones de los ciudadanos y grupos de interés sobre el proyecto normativo)</w:t>
            </w:r>
          </w:p>
        </w:tc>
        <w:tc>
          <w:tcPr>
            <w:tcW w:w="3580" w:type="dxa"/>
            <w:tcBorders>
              <w:top w:val="single" w:sz="4" w:space="0" w:color="auto"/>
              <w:left w:val="single" w:sz="4" w:space="0" w:color="auto"/>
              <w:bottom w:val="single" w:sz="4" w:space="0" w:color="auto"/>
            </w:tcBorders>
            <w:shd w:val="clear" w:color="auto" w:fill="FFFFFF" w:themeFill="background1"/>
            <w:vAlign w:val="center"/>
          </w:tcPr>
          <w:p w14:paraId="12066C97" w14:textId="77777777" w:rsidR="00072956" w:rsidRPr="00352F84" w:rsidRDefault="00072956" w:rsidP="007F5995">
            <w:pPr>
              <w:jc w:val="center"/>
              <w:rPr>
                <w:rFonts w:ascii="Arial Narrow" w:hAnsi="Arial Narrow" w:cs="Arial"/>
                <w:sz w:val="22"/>
                <w:szCs w:val="22"/>
              </w:rPr>
            </w:pPr>
            <w:r w:rsidRPr="00352F84">
              <w:rPr>
                <w:rFonts w:ascii="Arial Narrow" w:hAnsi="Arial Narrow" w:cs="Arial"/>
                <w:i/>
                <w:sz w:val="22"/>
                <w:szCs w:val="22"/>
              </w:rPr>
              <w:t>X</w:t>
            </w:r>
          </w:p>
        </w:tc>
      </w:tr>
      <w:tr w:rsidR="00072956" w:rsidRPr="00431BB6" w14:paraId="54281647" w14:textId="77777777" w:rsidTr="008BADD2">
        <w:trPr>
          <w:trHeight w:val="66"/>
        </w:trPr>
        <w:tc>
          <w:tcPr>
            <w:tcW w:w="7160" w:type="dxa"/>
            <w:gridSpan w:val="2"/>
            <w:tcBorders>
              <w:top w:val="single" w:sz="4" w:space="0" w:color="auto"/>
              <w:bottom w:val="single" w:sz="4" w:space="0" w:color="auto"/>
              <w:right w:val="single" w:sz="4" w:space="0" w:color="auto"/>
            </w:tcBorders>
            <w:shd w:val="clear" w:color="auto" w:fill="FFFFFF" w:themeFill="background1"/>
            <w:vAlign w:val="center"/>
          </w:tcPr>
          <w:p w14:paraId="2EC357D4" w14:textId="77777777" w:rsidR="00072956" w:rsidRPr="00431BB6" w:rsidRDefault="00072956" w:rsidP="007F5995">
            <w:pPr>
              <w:jc w:val="both"/>
              <w:rPr>
                <w:rFonts w:ascii="Arial Narrow" w:hAnsi="Arial Narrow" w:cs="Arial"/>
                <w:sz w:val="22"/>
                <w:szCs w:val="22"/>
              </w:rPr>
            </w:pPr>
            <w:r w:rsidRPr="00431BB6">
              <w:rPr>
                <w:rFonts w:ascii="Arial Narrow" w:hAnsi="Arial Narrow" w:cs="Arial"/>
                <w:sz w:val="22"/>
                <w:szCs w:val="22"/>
              </w:rPr>
              <w:t>Concepto de Abogacía de la Competencia de la Superintendencia de Industria y Comercio</w:t>
            </w:r>
          </w:p>
          <w:p w14:paraId="170D22EE" w14:textId="77777777" w:rsidR="00072956" w:rsidRPr="00431BB6" w:rsidRDefault="00072956" w:rsidP="007F5995">
            <w:pPr>
              <w:jc w:val="both"/>
              <w:rPr>
                <w:rFonts w:ascii="Arial Narrow" w:hAnsi="Arial Narrow" w:cs="Arial"/>
                <w:i/>
                <w:color w:val="808080"/>
                <w:sz w:val="22"/>
                <w:szCs w:val="22"/>
              </w:rPr>
            </w:pPr>
            <w:r w:rsidRPr="00431BB6">
              <w:rPr>
                <w:rFonts w:ascii="Arial Narrow" w:hAnsi="Arial Narrow" w:cs="Arial"/>
                <w:i/>
                <w:color w:val="808080"/>
                <w:szCs w:val="22"/>
              </w:rPr>
              <w:t>(Cuando los proyectos normativos tengan incidencia en la libre competencia de los mercados)</w:t>
            </w:r>
          </w:p>
        </w:tc>
        <w:tc>
          <w:tcPr>
            <w:tcW w:w="3580" w:type="dxa"/>
            <w:tcBorders>
              <w:top w:val="single" w:sz="4" w:space="0" w:color="auto"/>
              <w:left w:val="single" w:sz="4" w:space="0" w:color="auto"/>
              <w:bottom w:val="single" w:sz="4" w:space="0" w:color="auto"/>
            </w:tcBorders>
            <w:shd w:val="clear" w:color="auto" w:fill="FFFFFF" w:themeFill="background1"/>
            <w:vAlign w:val="center"/>
          </w:tcPr>
          <w:p w14:paraId="6E01BFCD" w14:textId="77777777" w:rsidR="00072956" w:rsidRPr="00431BB6" w:rsidRDefault="00072956" w:rsidP="007F5995">
            <w:pPr>
              <w:jc w:val="center"/>
              <w:rPr>
                <w:rFonts w:ascii="Arial Narrow" w:hAnsi="Arial Narrow" w:cs="Arial"/>
                <w:sz w:val="22"/>
                <w:szCs w:val="22"/>
              </w:rPr>
            </w:pPr>
            <w:r>
              <w:rPr>
                <w:rFonts w:ascii="Arial Narrow" w:hAnsi="Arial Narrow" w:cs="Arial"/>
                <w:iCs/>
                <w:sz w:val="22"/>
                <w:szCs w:val="22"/>
              </w:rPr>
              <w:t>Debe ser solicitado por MADS</w:t>
            </w:r>
          </w:p>
        </w:tc>
      </w:tr>
      <w:tr w:rsidR="00072956" w:rsidRPr="00431BB6" w14:paraId="22653F93" w14:textId="77777777" w:rsidTr="008BADD2">
        <w:trPr>
          <w:trHeight w:val="66"/>
        </w:trPr>
        <w:tc>
          <w:tcPr>
            <w:tcW w:w="7160" w:type="dxa"/>
            <w:gridSpan w:val="2"/>
            <w:tcBorders>
              <w:top w:val="single" w:sz="4" w:space="0" w:color="auto"/>
              <w:bottom w:val="single" w:sz="4" w:space="0" w:color="auto"/>
              <w:right w:val="single" w:sz="4" w:space="0" w:color="auto"/>
            </w:tcBorders>
            <w:shd w:val="clear" w:color="auto" w:fill="FFFFFF" w:themeFill="background1"/>
            <w:vAlign w:val="center"/>
          </w:tcPr>
          <w:p w14:paraId="20EB96E8" w14:textId="77777777" w:rsidR="00072956" w:rsidRPr="00431BB6" w:rsidRDefault="00072956" w:rsidP="007F5995">
            <w:pPr>
              <w:jc w:val="both"/>
              <w:rPr>
                <w:rFonts w:ascii="Arial Narrow" w:hAnsi="Arial Narrow" w:cs="Arial"/>
                <w:sz w:val="22"/>
                <w:szCs w:val="22"/>
              </w:rPr>
            </w:pPr>
            <w:r w:rsidRPr="00431BB6">
              <w:rPr>
                <w:rFonts w:ascii="Arial Narrow" w:hAnsi="Arial Narrow" w:cs="Arial"/>
                <w:sz w:val="22"/>
                <w:szCs w:val="22"/>
              </w:rPr>
              <w:t>Concepto de aprobación nuevos trámites del Departamento Administrativo de la Función Pública</w:t>
            </w:r>
          </w:p>
          <w:p w14:paraId="09091874" w14:textId="77777777" w:rsidR="00072956" w:rsidRPr="00431BB6" w:rsidRDefault="00072956" w:rsidP="007F5995">
            <w:pPr>
              <w:jc w:val="both"/>
              <w:rPr>
                <w:rFonts w:ascii="Arial Narrow" w:hAnsi="Arial Narrow" w:cs="Arial"/>
                <w:sz w:val="22"/>
                <w:szCs w:val="22"/>
              </w:rPr>
            </w:pPr>
            <w:r w:rsidRPr="00431BB6">
              <w:rPr>
                <w:rFonts w:ascii="Arial Narrow" w:hAnsi="Arial Narrow" w:cs="Arial"/>
                <w:i/>
                <w:color w:val="808080"/>
                <w:szCs w:val="22"/>
              </w:rPr>
              <w:t>(Cuando el proyecto normativo adopte o modifique un trámite)</w:t>
            </w:r>
          </w:p>
        </w:tc>
        <w:tc>
          <w:tcPr>
            <w:tcW w:w="3580" w:type="dxa"/>
            <w:tcBorders>
              <w:top w:val="single" w:sz="4" w:space="0" w:color="auto"/>
              <w:left w:val="single" w:sz="4" w:space="0" w:color="auto"/>
              <w:bottom w:val="single" w:sz="4" w:space="0" w:color="auto"/>
            </w:tcBorders>
            <w:shd w:val="clear" w:color="auto" w:fill="FFFFFF" w:themeFill="background1"/>
            <w:vAlign w:val="center"/>
          </w:tcPr>
          <w:p w14:paraId="3CFBC945" w14:textId="77777777" w:rsidR="00072956" w:rsidRPr="00431BB6" w:rsidRDefault="00072956" w:rsidP="007F5995">
            <w:pPr>
              <w:jc w:val="center"/>
              <w:rPr>
                <w:rFonts w:ascii="Arial Narrow" w:hAnsi="Arial Narrow" w:cs="Arial"/>
                <w:sz w:val="22"/>
                <w:szCs w:val="22"/>
              </w:rPr>
            </w:pPr>
            <w:r w:rsidRPr="00352F84">
              <w:rPr>
                <w:rFonts w:ascii="Arial Narrow" w:hAnsi="Arial Narrow" w:cs="Arial"/>
                <w:iCs/>
                <w:sz w:val="22"/>
                <w:szCs w:val="22"/>
              </w:rPr>
              <w:t>No se requiere.</w:t>
            </w:r>
          </w:p>
        </w:tc>
      </w:tr>
      <w:tr w:rsidR="00072956" w:rsidRPr="00431BB6" w14:paraId="35B22FB5" w14:textId="77777777" w:rsidTr="008BADD2">
        <w:trPr>
          <w:trHeight w:val="66"/>
        </w:trPr>
        <w:tc>
          <w:tcPr>
            <w:tcW w:w="7160" w:type="dxa"/>
            <w:gridSpan w:val="2"/>
            <w:tcBorders>
              <w:top w:val="single" w:sz="4" w:space="0" w:color="auto"/>
              <w:bottom w:val="single" w:sz="4" w:space="0" w:color="auto"/>
              <w:right w:val="single" w:sz="4" w:space="0" w:color="auto"/>
            </w:tcBorders>
            <w:shd w:val="clear" w:color="auto" w:fill="FFFFFF" w:themeFill="background1"/>
            <w:vAlign w:val="center"/>
          </w:tcPr>
          <w:p w14:paraId="2144A646" w14:textId="77777777" w:rsidR="00072956" w:rsidRPr="00431BB6" w:rsidRDefault="00072956" w:rsidP="007F5995">
            <w:pPr>
              <w:jc w:val="both"/>
              <w:rPr>
                <w:rFonts w:ascii="Arial Narrow" w:hAnsi="Arial Narrow" w:cs="Arial"/>
                <w:sz w:val="22"/>
                <w:szCs w:val="22"/>
              </w:rPr>
            </w:pPr>
            <w:r w:rsidRPr="00431BB6">
              <w:rPr>
                <w:rFonts w:ascii="Arial Narrow" w:hAnsi="Arial Narrow" w:cs="Arial"/>
                <w:sz w:val="22"/>
                <w:szCs w:val="22"/>
              </w:rPr>
              <w:t xml:space="preserve">Otro </w:t>
            </w:r>
          </w:p>
          <w:p w14:paraId="61AB83ED" w14:textId="77777777" w:rsidR="00072956" w:rsidRPr="00431BB6" w:rsidRDefault="00072956" w:rsidP="007F5995">
            <w:pPr>
              <w:jc w:val="both"/>
              <w:rPr>
                <w:rFonts w:ascii="Arial Narrow" w:hAnsi="Arial Narrow" w:cs="Arial"/>
                <w:sz w:val="22"/>
                <w:szCs w:val="22"/>
              </w:rPr>
            </w:pPr>
            <w:r w:rsidRPr="00431BB6">
              <w:rPr>
                <w:rFonts w:ascii="Arial Narrow" w:hAnsi="Arial Narrow" w:cs="Arial"/>
                <w:i/>
                <w:color w:val="808080"/>
                <w:szCs w:val="22"/>
              </w:rPr>
              <w:t>(Cualquier otro aspecto que la entidad originadora de la norma considere relevante o de importancia)</w:t>
            </w:r>
          </w:p>
        </w:tc>
        <w:tc>
          <w:tcPr>
            <w:tcW w:w="3580" w:type="dxa"/>
            <w:tcBorders>
              <w:top w:val="single" w:sz="4" w:space="0" w:color="auto"/>
              <w:left w:val="single" w:sz="4" w:space="0" w:color="auto"/>
              <w:bottom w:val="single" w:sz="4" w:space="0" w:color="auto"/>
            </w:tcBorders>
            <w:shd w:val="clear" w:color="auto" w:fill="FFFFFF" w:themeFill="background1"/>
            <w:vAlign w:val="center"/>
          </w:tcPr>
          <w:p w14:paraId="0BF0F34B" w14:textId="77777777" w:rsidR="00072956" w:rsidRPr="00431BB6" w:rsidRDefault="00072956" w:rsidP="007F5995">
            <w:pPr>
              <w:jc w:val="both"/>
              <w:rPr>
                <w:rFonts w:ascii="Arial Narrow" w:hAnsi="Arial Narrow" w:cs="Arial"/>
                <w:sz w:val="22"/>
                <w:szCs w:val="22"/>
              </w:rPr>
            </w:pPr>
            <w:r w:rsidRPr="00431BB6">
              <w:rPr>
                <w:rFonts w:ascii="Arial Narrow" w:hAnsi="Arial Narrow" w:cs="Arial"/>
                <w:i/>
                <w:color w:val="808080"/>
                <w:sz w:val="22"/>
                <w:szCs w:val="22"/>
              </w:rPr>
              <w:t>(Marque con una x)</w:t>
            </w:r>
          </w:p>
        </w:tc>
      </w:tr>
    </w:tbl>
    <w:p w14:paraId="0FDCF3B8" w14:textId="77777777" w:rsidR="00072956" w:rsidRPr="00431BB6" w:rsidRDefault="00072956" w:rsidP="00072956">
      <w:pPr>
        <w:ind w:right="-377"/>
        <w:jc w:val="both"/>
        <w:rPr>
          <w:rFonts w:ascii="Arial Narrow" w:hAnsi="Arial Narrow" w:cs="Arial"/>
          <w:sz w:val="22"/>
          <w:szCs w:val="22"/>
        </w:rPr>
      </w:pPr>
    </w:p>
    <w:p w14:paraId="2A7E9FD4" w14:textId="77777777" w:rsidR="00072956" w:rsidRDefault="00072956" w:rsidP="00072956">
      <w:pPr>
        <w:ind w:left="-1276" w:right="-377" w:firstLine="283"/>
        <w:jc w:val="both"/>
        <w:rPr>
          <w:rFonts w:ascii="Arial Narrow" w:hAnsi="Arial Narrow" w:cs="Arial"/>
          <w:sz w:val="22"/>
          <w:szCs w:val="22"/>
        </w:rPr>
      </w:pPr>
      <w:r w:rsidRPr="00431BB6">
        <w:rPr>
          <w:rFonts w:ascii="Arial Narrow" w:hAnsi="Arial Narrow" w:cs="Arial"/>
          <w:b/>
          <w:sz w:val="22"/>
          <w:szCs w:val="22"/>
        </w:rPr>
        <w:t>Aprobó</w:t>
      </w:r>
    </w:p>
    <w:p w14:paraId="56C65484" w14:textId="77777777" w:rsidR="00072956" w:rsidRPr="00431BB6" w:rsidRDefault="00072956" w:rsidP="00072956">
      <w:pPr>
        <w:ind w:right="-377"/>
        <w:jc w:val="both"/>
        <w:rPr>
          <w:rFonts w:ascii="Arial Narrow" w:hAnsi="Arial Narrow" w:cs="Arial"/>
          <w:sz w:val="22"/>
          <w:szCs w:val="22"/>
        </w:rPr>
      </w:pPr>
    </w:p>
    <w:p w14:paraId="11A53741" w14:textId="77777777" w:rsidR="00072956" w:rsidRPr="00431BB6" w:rsidRDefault="00072956" w:rsidP="00072956">
      <w:pPr>
        <w:pStyle w:val="Listavistosa-nfasis11"/>
        <w:ind w:left="-993"/>
        <w:jc w:val="center"/>
        <w:rPr>
          <w:rFonts w:ascii="Arial Narrow" w:hAnsi="Arial Narrow" w:cs="Arial"/>
          <w:b/>
        </w:rPr>
      </w:pPr>
      <w:r w:rsidRPr="00431BB6">
        <w:rPr>
          <w:rFonts w:ascii="Arial Narrow" w:hAnsi="Arial Narrow" w:cs="Arial"/>
          <w:b/>
        </w:rPr>
        <w:t>_______________</w:t>
      </w:r>
      <w:r>
        <w:rPr>
          <w:rFonts w:ascii="Arial Narrow" w:hAnsi="Arial Narrow" w:cs="Arial"/>
          <w:b/>
        </w:rPr>
        <w:t>______________________________________________________</w:t>
      </w:r>
      <w:r w:rsidRPr="00431BB6">
        <w:rPr>
          <w:rFonts w:ascii="Arial Narrow" w:hAnsi="Arial Narrow" w:cs="Arial"/>
          <w:b/>
        </w:rPr>
        <w:t>__</w:t>
      </w:r>
    </w:p>
    <w:p w14:paraId="0A45704A" w14:textId="77777777" w:rsidR="00072956" w:rsidRPr="00431BB6" w:rsidRDefault="00072956" w:rsidP="00072956">
      <w:pPr>
        <w:pStyle w:val="Listavistosa-nfasis11"/>
        <w:ind w:left="-993"/>
        <w:jc w:val="center"/>
        <w:rPr>
          <w:rFonts w:ascii="Arial Narrow" w:hAnsi="Arial Narrow" w:cs="Arial"/>
          <w:b/>
        </w:rPr>
      </w:pPr>
      <w:r w:rsidRPr="00431BB6">
        <w:rPr>
          <w:rFonts w:ascii="Arial Narrow" w:hAnsi="Arial Narrow" w:cs="Arial"/>
          <w:b/>
        </w:rPr>
        <w:t>Nombre y firma del Jefe de la Oficina Jurídica entidad originadora o dependencia que haga sus veces</w:t>
      </w:r>
    </w:p>
    <w:p w14:paraId="24F178C9" w14:textId="77777777" w:rsidR="00072956" w:rsidRDefault="00072956" w:rsidP="00072956">
      <w:pPr>
        <w:pStyle w:val="Listavistosa-nfasis11"/>
        <w:ind w:left="-993"/>
        <w:jc w:val="center"/>
        <w:rPr>
          <w:rFonts w:ascii="Arial Narrow" w:hAnsi="Arial Narrow" w:cs="Arial"/>
          <w:b/>
        </w:rPr>
      </w:pPr>
    </w:p>
    <w:p w14:paraId="5EB38FCF" w14:textId="77777777" w:rsidR="00072956" w:rsidRDefault="00072956" w:rsidP="00072956">
      <w:pPr>
        <w:pStyle w:val="Listavistosa-nfasis11"/>
        <w:ind w:left="-993"/>
        <w:jc w:val="center"/>
        <w:rPr>
          <w:rFonts w:ascii="Arial Narrow" w:hAnsi="Arial Narrow" w:cs="Arial"/>
          <w:b/>
        </w:rPr>
      </w:pPr>
    </w:p>
    <w:p w14:paraId="29A0DB68" w14:textId="77777777" w:rsidR="00072956" w:rsidRPr="00431BB6" w:rsidRDefault="00072956" w:rsidP="00072956">
      <w:pPr>
        <w:pStyle w:val="Listavistosa-nfasis11"/>
        <w:ind w:left="-993"/>
        <w:jc w:val="center"/>
        <w:rPr>
          <w:rFonts w:ascii="Arial Narrow" w:hAnsi="Arial Narrow" w:cs="Arial"/>
          <w:b/>
        </w:rPr>
      </w:pPr>
      <w:r>
        <w:rPr>
          <w:rFonts w:ascii="Arial Narrow" w:hAnsi="Arial Narrow" w:cs="Arial"/>
          <w:b/>
        </w:rPr>
        <w:t>_______________________________________________________________________</w:t>
      </w:r>
    </w:p>
    <w:p w14:paraId="1B0DEB24" w14:textId="77777777" w:rsidR="00072956" w:rsidRPr="00431BB6" w:rsidRDefault="00072956" w:rsidP="00072956">
      <w:pPr>
        <w:pStyle w:val="Listavistosa-nfasis11"/>
        <w:ind w:left="-993"/>
        <w:jc w:val="center"/>
        <w:rPr>
          <w:rFonts w:ascii="Arial Narrow" w:hAnsi="Arial Narrow" w:cs="Arial"/>
          <w:b/>
        </w:rPr>
      </w:pPr>
      <w:r w:rsidRPr="00431BB6">
        <w:rPr>
          <w:rFonts w:ascii="Arial Narrow" w:hAnsi="Arial Narrow" w:cs="Arial"/>
          <w:b/>
        </w:rPr>
        <w:t>Nombre y firma del (los) servidor(es) público(s) responsables en la entidad cabeza del sector administrativo que lidera el proyecto normativo</w:t>
      </w:r>
      <w:r>
        <w:rPr>
          <w:rFonts w:ascii="Arial Narrow" w:hAnsi="Arial Narrow" w:cs="Arial"/>
          <w:b/>
        </w:rPr>
        <w:t xml:space="preserve"> (área(s) misional(es))</w:t>
      </w:r>
    </w:p>
    <w:p w14:paraId="00028D10" w14:textId="77777777" w:rsidR="00072956" w:rsidRDefault="00072956" w:rsidP="00072956">
      <w:pPr>
        <w:pStyle w:val="Listavistosa-nfasis11"/>
        <w:ind w:left="-993"/>
        <w:jc w:val="center"/>
        <w:rPr>
          <w:rFonts w:ascii="Arial Narrow" w:hAnsi="Arial Narrow" w:cs="Arial"/>
          <w:b/>
        </w:rPr>
      </w:pPr>
    </w:p>
    <w:p w14:paraId="7CEA4F23" w14:textId="77777777" w:rsidR="00072956" w:rsidRDefault="00072956" w:rsidP="00072956">
      <w:pPr>
        <w:pStyle w:val="Listavistosa-nfasis11"/>
        <w:ind w:left="-993"/>
        <w:jc w:val="center"/>
        <w:rPr>
          <w:rFonts w:ascii="Arial Narrow" w:hAnsi="Arial Narrow" w:cs="Arial"/>
          <w:b/>
        </w:rPr>
      </w:pPr>
    </w:p>
    <w:p w14:paraId="43EAF7FD" w14:textId="77777777" w:rsidR="00072956" w:rsidRPr="00431BB6" w:rsidRDefault="00072956" w:rsidP="00072956">
      <w:pPr>
        <w:pStyle w:val="Listavistosa-nfasis11"/>
        <w:ind w:left="-993"/>
        <w:jc w:val="center"/>
        <w:rPr>
          <w:rFonts w:ascii="Arial Narrow" w:hAnsi="Arial Narrow" w:cs="Arial"/>
          <w:b/>
        </w:rPr>
      </w:pPr>
      <w:r>
        <w:rPr>
          <w:rFonts w:ascii="Arial Narrow" w:hAnsi="Arial Narrow" w:cs="Arial"/>
          <w:b/>
        </w:rPr>
        <w:t>_______________________________________________________________________</w:t>
      </w:r>
    </w:p>
    <w:p w14:paraId="28387982" w14:textId="77777777" w:rsidR="00072956" w:rsidRDefault="00072956" w:rsidP="00072956">
      <w:pPr>
        <w:pStyle w:val="Listavistosa-nfasis11"/>
        <w:ind w:left="-993"/>
        <w:jc w:val="center"/>
        <w:rPr>
          <w:rFonts w:ascii="Arial Narrow" w:hAnsi="Arial Narrow" w:cs="Arial"/>
          <w:b/>
        </w:rPr>
      </w:pPr>
      <w:r w:rsidRPr="00431BB6">
        <w:rPr>
          <w:rFonts w:ascii="Arial Narrow" w:hAnsi="Arial Narrow" w:cs="Arial"/>
          <w:b/>
        </w:rPr>
        <w:t>Nombre y firma del (los) servidor(es) público(s) responsables de otras entidades</w:t>
      </w:r>
      <w:r w:rsidRPr="00431BB6">
        <w:rPr>
          <w:rFonts w:ascii="Arial Narrow" w:hAnsi="Arial Narrow"/>
        </w:rPr>
        <w:t xml:space="preserve"> </w:t>
      </w:r>
      <w:r>
        <w:rPr>
          <w:rFonts w:ascii="Arial Narrow" w:hAnsi="Arial Narrow" w:cs="Arial"/>
          <w:b/>
        </w:rPr>
        <w:t>(área(s) misional(es))</w:t>
      </w:r>
    </w:p>
    <w:p w14:paraId="199A267A" w14:textId="77777777" w:rsidR="00072956" w:rsidRDefault="00072956" w:rsidP="00072956">
      <w:pPr>
        <w:pStyle w:val="Listavistosa-nfasis11"/>
        <w:ind w:left="-993"/>
        <w:jc w:val="center"/>
        <w:rPr>
          <w:rFonts w:ascii="Arial Narrow" w:hAnsi="Arial Narrow" w:cs="Arial"/>
          <w:b/>
        </w:rPr>
      </w:pPr>
    </w:p>
    <w:p w14:paraId="49C2DD47" w14:textId="77777777" w:rsidR="00072956" w:rsidRPr="00431BB6" w:rsidRDefault="00072956" w:rsidP="00072956">
      <w:pPr>
        <w:pStyle w:val="Listavistosa-nfasis11"/>
        <w:ind w:left="-993"/>
        <w:jc w:val="center"/>
        <w:rPr>
          <w:rFonts w:ascii="Arial Narrow" w:hAnsi="Arial Narrow" w:cs="Arial"/>
          <w:b/>
        </w:rPr>
      </w:pPr>
    </w:p>
    <w:p w14:paraId="740C982E" w14:textId="77777777" w:rsidR="00DD4DB9" w:rsidRPr="00B47078" w:rsidRDefault="00DD4DB9" w:rsidP="00B47078"/>
    <w:sectPr w:rsidR="00DD4DB9" w:rsidRPr="00B47078" w:rsidSect="00CE5AB3">
      <w:headerReference w:type="even" r:id="rId43"/>
      <w:headerReference w:type="default" r:id="rId44"/>
      <w:footerReference w:type="default" r:id="rId45"/>
      <w:headerReference w:type="first" r:id="rId46"/>
      <w:footerReference w:type="first" r:id="rId47"/>
      <w:type w:val="continuous"/>
      <w:pgSz w:w="12240" w:h="15840" w:code="1"/>
      <w:pgMar w:top="1616" w:right="616" w:bottom="1115" w:left="1701" w:header="624"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FEC6A1" w14:textId="77777777" w:rsidR="00606E24" w:rsidRDefault="00606E24">
      <w:r>
        <w:separator/>
      </w:r>
    </w:p>
  </w:endnote>
  <w:endnote w:type="continuationSeparator" w:id="0">
    <w:p w14:paraId="78BF7402" w14:textId="77777777" w:rsidR="00606E24" w:rsidRDefault="00606E24">
      <w:r>
        <w:continuationSeparator/>
      </w:r>
    </w:p>
  </w:endnote>
  <w:endnote w:type="continuationNotice" w:id="1">
    <w:p w14:paraId="19CA9D14" w14:textId="77777777" w:rsidR="00606E24" w:rsidRDefault="00606E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Times New Roman (Headings CS)">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22A42" w14:textId="77777777" w:rsidR="00B60CA1" w:rsidRDefault="00B60CA1" w:rsidP="00CE5AB3">
    <w:pPr>
      <w:pStyle w:val="Piedepgina"/>
      <w:tabs>
        <w:tab w:val="left" w:pos="3555"/>
      </w:tabs>
      <w:ind w:left="-993"/>
      <w:rPr>
        <w:rFonts w:ascii="Arial Narrow" w:hAnsi="Arial Narrow"/>
        <w:color w:val="7F7F7F"/>
        <w:sz w:val="18"/>
        <w:szCs w:val="18"/>
      </w:rPr>
    </w:pPr>
    <w:bookmarkStart w:id="12" w:name="_Hlk52279145"/>
    <w:r w:rsidRPr="005A4F38">
      <w:rPr>
        <w:rFonts w:ascii="Arial Narrow" w:hAnsi="Arial Narrow"/>
        <w:color w:val="7F7F7F"/>
        <w:sz w:val="18"/>
        <w:szCs w:val="18"/>
      </w:rPr>
      <w:t xml:space="preserve">Formato tomado del Departamento Administrativo de la Función Pública a partir de lo reglamentado por medio del Decreto 1273 </w:t>
    </w:r>
    <w:r>
      <w:rPr>
        <w:rFonts w:ascii="Arial Narrow" w:hAnsi="Arial Narrow"/>
        <w:color w:val="7F7F7F"/>
        <w:sz w:val="18"/>
        <w:szCs w:val="18"/>
      </w:rPr>
      <w:t xml:space="preserve">de 2020 </w:t>
    </w:r>
    <w:r w:rsidRPr="005A4F38">
      <w:rPr>
        <w:rFonts w:ascii="Arial Narrow" w:hAnsi="Arial Narrow"/>
        <w:color w:val="7F7F7F"/>
        <w:sz w:val="18"/>
        <w:szCs w:val="18"/>
      </w:rPr>
      <w:t>y la Resolución 371 de 2020.</w:t>
    </w:r>
    <w:bookmarkEnd w:id="12"/>
    <w:r w:rsidRPr="005A4F38">
      <w:rPr>
        <w:rFonts w:ascii="Arial Narrow" w:hAnsi="Arial Narrow"/>
        <w:color w:val="7F7F7F"/>
        <w:sz w:val="18"/>
        <w:szCs w:val="18"/>
      </w:rPr>
      <w:tab/>
      <w:t xml:space="preserve">      </w:t>
    </w:r>
    <w:r>
      <w:rPr>
        <w:rFonts w:ascii="Arial Narrow" w:hAnsi="Arial Narrow"/>
        <w:color w:val="7F7F7F"/>
        <w:sz w:val="18"/>
        <w:szCs w:val="18"/>
      </w:rPr>
      <w:t xml:space="preserve">                         </w:t>
    </w:r>
  </w:p>
  <w:p w14:paraId="5F88FFA4" w14:textId="77777777" w:rsidR="00B60CA1" w:rsidRPr="002F32A6" w:rsidRDefault="00B60CA1" w:rsidP="00CE5AB3">
    <w:pPr>
      <w:pStyle w:val="Piedepgina"/>
      <w:tabs>
        <w:tab w:val="left" w:pos="3555"/>
      </w:tabs>
      <w:ind w:left="-993"/>
      <w:rPr>
        <w:sz w:val="18"/>
        <w:szCs w:val="18"/>
      </w:rPr>
    </w:pPr>
    <w:r w:rsidRPr="002F32A6">
      <w:rPr>
        <w:sz w:val="18"/>
        <w:szCs w:val="18"/>
      </w:rPr>
      <w:t xml:space="preserve">Calle 37 No. 8 – 40 </w:t>
    </w:r>
  </w:p>
  <w:p w14:paraId="5E59E740" w14:textId="77777777" w:rsidR="00B60CA1" w:rsidRDefault="00B60CA1" w:rsidP="00CE5AB3">
    <w:pPr>
      <w:pStyle w:val="Piedepgina"/>
      <w:tabs>
        <w:tab w:val="left" w:pos="3555"/>
      </w:tabs>
      <w:ind w:left="-993"/>
      <w:rPr>
        <w:sz w:val="18"/>
        <w:szCs w:val="18"/>
      </w:rPr>
    </w:pPr>
    <w:r>
      <w:rPr>
        <w:sz w:val="18"/>
        <w:szCs w:val="18"/>
      </w:rPr>
      <w:t>Conmutador +57 601</w:t>
    </w:r>
    <w:r w:rsidRPr="002F32A6">
      <w:rPr>
        <w:sz w:val="18"/>
        <w:szCs w:val="18"/>
      </w:rPr>
      <w:t>3323400</w:t>
    </w:r>
  </w:p>
  <w:p w14:paraId="4B21E3C3" w14:textId="77777777" w:rsidR="00B60CA1" w:rsidRPr="002F32A6" w:rsidRDefault="00B60CA1" w:rsidP="00CE5AB3">
    <w:pPr>
      <w:pStyle w:val="Piedepgina"/>
      <w:tabs>
        <w:tab w:val="left" w:pos="3555"/>
      </w:tabs>
      <w:ind w:left="-993"/>
      <w:rPr>
        <w:sz w:val="18"/>
        <w:szCs w:val="18"/>
      </w:rPr>
    </w:pPr>
    <w:hyperlink r:id="rId1" w:history="1">
      <w:r w:rsidRPr="002F32A6">
        <w:rPr>
          <w:rStyle w:val="Hipervnculo"/>
          <w:sz w:val="18"/>
          <w:szCs w:val="18"/>
        </w:rPr>
        <w:t>www.minambiente.gov.co</w:t>
      </w:r>
    </w:hyperlink>
  </w:p>
  <w:p w14:paraId="0A4D43E3" w14:textId="701316BE" w:rsidR="00B60CA1" w:rsidRDefault="00B60CA1" w:rsidP="00CE5AB3">
    <w:pPr>
      <w:pStyle w:val="Piedepgina"/>
      <w:tabs>
        <w:tab w:val="left" w:pos="3555"/>
      </w:tabs>
      <w:ind w:left="-993"/>
    </w:pPr>
    <w:r w:rsidRPr="002F32A6">
      <w:rPr>
        <w:sz w:val="18"/>
        <w:szCs w:val="18"/>
      </w:rPr>
      <w:t>Bogotá, Colombia</w:t>
    </w:r>
    <w:r>
      <w:rPr>
        <w:sz w:val="18"/>
        <w:szCs w:val="18"/>
      </w:rPr>
      <w:tab/>
    </w:r>
    <w:r>
      <w:rPr>
        <w:sz w:val="18"/>
        <w:szCs w:val="18"/>
      </w:rPr>
      <w:tab/>
    </w:r>
    <w:r>
      <w:rPr>
        <w:sz w:val="18"/>
        <w:szCs w:val="18"/>
      </w:rPr>
      <w:tab/>
    </w:r>
    <w:r w:rsidRPr="00722047">
      <w:t xml:space="preserve">Página </w:t>
    </w:r>
    <w:r w:rsidRPr="00722047">
      <w:rPr>
        <w:b/>
        <w:bCs/>
      </w:rPr>
      <w:fldChar w:fldCharType="begin"/>
    </w:r>
    <w:r w:rsidRPr="00722047">
      <w:rPr>
        <w:b/>
        <w:bCs/>
      </w:rPr>
      <w:instrText>PAGE  \* Arabic  \* MERGEFORMAT</w:instrText>
    </w:r>
    <w:r w:rsidRPr="00722047">
      <w:rPr>
        <w:b/>
        <w:bCs/>
      </w:rPr>
      <w:fldChar w:fldCharType="separate"/>
    </w:r>
    <w:r>
      <w:rPr>
        <w:b/>
        <w:bCs/>
        <w:noProof/>
      </w:rPr>
      <w:t>2</w:t>
    </w:r>
    <w:r w:rsidRPr="00722047">
      <w:rPr>
        <w:b/>
        <w:bCs/>
      </w:rPr>
      <w:fldChar w:fldCharType="end"/>
    </w:r>
    <w:r w:rsidRPr="00722047">
      <w:t xml:space="preserve"> de </w:t>
    </w:r>
    <w:r>
      <w:t>64</w:t>
    </w:r>
  </w:p>
  <w:p w14:paraId="37A31054" w14:textId="77777777" w:rsidR="00B60CA1" w:rsidRDefault="00B60CA1" w:rsidP="00CE5AB3">
    <w:pPr>
      <w:pStyle w:val="Piedepgina"/>
      <w:tabs>
        <w:tab w:val="left" w:pos="3555"/>
      </w:tabs>
      <w:ind w:left="-993"/>
    </w:pPr>
  </w:p>
  <w:p w14:paraId="7DC8C081" w14:textId="77777777" w:rsidR="00B60CA1" w:rsidRPr="00CE5AB3" w:rsidRDefault="00B60CA1" w:rsidP="00CE5AB3">
    <w:pPr>
      <w:pStyle w:val="Piedepgina"/>
      <w:tabs>
        <w:tab w:val="left" w:pos="3555"/>
      </w:tabs>
      <w:ind w:left="-993" w:right="-1085"/>
      <w:jc w:val="both"/>
      <w:rPr>
        <w:rFonts w:ascii="Arial Narrow" w:hAnsi="Arial Narrow"/>
        <w:color w:val="7F7F7F"/>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F8E66" w14:textId="77777777" w:rsidR="00B60CA1" w:rsidRDefault="00B60CA1" w:rsidP="001A1E25">
    <w:pPr>
      <w:pStyle w:val="Piedepgina"/>
      <w:tabs>
        <w:tab w:val="left" w:pos="3555"/>
      </w:tabs>
      <w:jc w:val="both"/>
      <w:rPr>
        <w:rFonts w:ascii="Arial Narrow" w:hAnsi="Arial Narrow"/>
        <w:sz w:val="18"/>
        <w:szCs w:val="18"/>
      </w:rPr>
    </w:pPr>
    <w:r w:rsidRPr="001A1E25">
      <w:rPr>
        <w:rFonts w:ascii="Arial Narrow" w:hAnsi="Arial Narrow"/>
        <w:color w:val="A6A6A6"/>
        <w:sz w:val="18"/>
        <w:szCs w:val="18"/>
      </w:rPr>
      <w:t>MEMORIA JUSTIFICATIVA</w:t>
    </w:r>
    <w:r w:rsidRPr="001A1E25">
      <w:rPr>
        <w:rFonts w:ascii="Arial Narrow" w:hAnsi="Arial Narrow"/>
        <w:color w:val="A6A6A6"/>
        <w:sz w:val="18"/>
        <w:szCs w:val="18"/>
      </w:rPr>
      <w:tab/>
    </w:r>
    <w:r w:rsidRPr="001A1E25">
      <w:rPr>
        <w:rFonts w:ascii="Arial Narrow" w:hAnsi="Arial Narrow"/>
        <w:color w:val="A6A6A6"/>
        <w:sz w:val="18"/>
        <w:szCs w:val="18"/>
      </w:rPr>
      <w:tab/>
    </w:r>
    <w:r w:rsidRPr="001A1E25">
      <w:rPr>
        <w:rFonts w:ascii="Arial Narrow" w:hAnsi="Arial Narrow"/>
        <w:color w:val="A6A6A6"/>
        <w:sz w:val="18"/>
        <w:szCs w:val="18"/>
      </w:rPr>
      <w:tab/>
      <w:t xml:space="preserve">                                      </w:t>
    </w:r>
    <w:r w:rsidRPr="009A3873">
      <w:rPr>
        <w:rFonts w:ascii="Arial Narrow" w:hAnsi="Arial Narrow"/>
        <w:sz w:val="18"/>
        <w:szCs w:val="18"/>
      </w:rPr>
      <w:t xml:space="preserve">Calle 37 No. 8 – 40 </w:t>
    </w:r>
  </w:p>
  <w:p w14:paraId="1D411E0B" w14:textId="77777777" w:rsidR="00B60CA1" w:rsidRDefault="00B60CA1" w:rsidP="001A1E25">
    <w:pPr>
      <w:pStyle w:val="Piedepgina"/>
      <w:tabs>
        <w:tab w:val="left" w:pos="3555"/>
      </w:tabs>
      <w:jc w:val="both"/>
      <w:rPr>
        <w:rFonts w:ascii="Arial Narrow" w:hAnsi="Arial Narrow"/>
        <w:sz w:val="18"/>
        <w:szCs w:val="18"/>
      </w:rPr>
    </w:pPr>
    <w:r w:rsidRPr="001A1E25">
      <w:rPr>
        <w:rFonts w:ascii="Arial Narrow" w:hAnsi="Arial Narrow"/>
        <w:color w:val="A6A6A6"/>
        <w:sz w:val="18"/>
        <w:szCs w:val="18"/>
      </w:rPr>
      <w:t xml:space="preserve">F-A-GJR-07                                                                                  </w:t>
    </w:r>
    <w:r w:rsidRPr="001A1E25">
      <w:rPr>
        <w:rFonts w:ascii="Arial Narrow" w:hAnsi="Arial Narrow"/>
        <w:color w:val="A6A6A6"/>
        <w:sz w:val="18"/>
        <w:szCs w:val="18"/>
      </w:rPr>
      <w:tab/>
    </w:r>
    <w:r w:rsidRPr="001A1E25">
      <w:rPr>
        <w:rFonts w:ascii="Arial Narrow" w:hAnsi="Arial Narrow"/>
        <w:color w:val="A6A6A6"/>
        <w:sz w:val="18"/>
        <w:szCs w:val="18"/>
      </w:rPr>
      <w:tab/>
    </w:r>
    <w:r w:rsidRPr="009A3873">
      <w:rPr>
        <w:rFonts w:ascii="Arial Narrow" w:hAnsi="Arial Narrow"/>
        <w:sz w:val="18"/>
        <w:szCs w:val="18"/>
      </w:rPr>
      <w:t>Conmutador (571) 3323400</w:t>
    </w:r>
  </w:p>
  <w:p w14:paraId="778898D1" w14:textId="77777777" w:rsidR="00B60CA1" w:rsidRDefault="00B60CA1" w:rsidP="001A1E25">
    <w:pPr>
      <w:pStyle w:val="Piedepgina"/>
      <w:tabs>
        <w:tab w:val="left" w:pos="3555"/>
      </w:tabs>
      <w:jc w:val="both"/>
      <w:rPr>
        <w:rFonts w:ascii="Arial Narrow" w:hAnsi="Arial Narrow"/>
        <w:sz w:val="18"/>
        <w:szCs w:val="18"/>
      </w:rPr>
    </w:pPr>
    <w:r w:rsidRPr="008F0815">
      <w:rPr>
        <w:rFonts w:ascii="Arial Narrow" w:hAnsi="Arial Narrow"/>
        <w:color w:val="FF0000"/>
        <w:sz w:val="18"/>
        <w:szCs w:val="18"/>
      </w:rPr>
      <w:t xml:space="preserve">Vigencia: </w:t>
    </w:r>
    <w:r>
      <w:rPr>
        <w:rFonts w:ascii="Arial Narrow" w:hAnsi="Arial Narrow"/>
        <w:color w:val="FF0000"/>
        <w:sz w:val="18"/>
        <w:szCs w:val="18"/>
      </w:rPr>
      <w:t>15</w:t>
    </w:r>
    <w:r w:rsidRPr="008F0815">
      <w:rPr>
        <w:rFonts w:ascii="Arial Narrow" w:hAnsi="Arial Narrow"/>
        <w:color w:val="FF0000"/>
        <w:sz w:val="18"/>
        <w:szCs w:val="18"/>
      </w:rPr>
      <w:t>/</w:t>
    </w:r>
    <w:r>
      <w:rPr>
        <w:rFonts w:ascii="Arial Narrow" w:hAnsi="Arial Narrow"/>
        <w:color w:val="FF0000"/>
        <w:sz w:val="18"/>
        <w:szCs w:val="18"/>
      </w:rPr>
      <w:t>10</w:t>
    </w:r>
    <w:r w:rsidRPr="008F0815">
      <w:rPr>
        <w:rFonts w:ascii="Arial Narrow" w:hAnsi="Arial Narrow"/>
        <w:color w:val="FF0000"/>
        <w:sz w:val="18"/>
        <w:szCs w:val="18"/>
      </w:rPr>
      <w:t>/20</w:t>
    </w:r>
    <w:r>
      <w:rPr>
        <w:rFonts w:ascii="Arial Narrow" w:hAnsi="Arial Narrow"/>
        <w:color w:val="FF0000"/>
        <w:sz w:val="18"/>
        <w:szCs w:val="18"/>
      </w:rPr>
      <w:t>20</w:t>
    </w:r>
    <w:r w:rsidRPr="008F0815">
      <w:rPr>
        <w:rFonts w:ascii="Arial Narrow" w:hAnsi="Arial Narrow"/>
        <w:color w:val="FF0000"/>
        <w:sz w:val="18"/>
        <w:szCs w:val="18"/>
      </w:rPr>
      <w:t xml:space="preserve">                                                                      </w:t>
    </w:r>
    <w:r w:rsidRPr="001A1E25">
      <w:rPr>
        <w:rFonts w:ascii="Arial Narrow" w:hAnsi="Arial Narrow"/>
        <w:color w:val="A6A6A6"/>
        <w:sz w:val="18"/>
        <w:szCs w:val="18"/>
      </w:rPr>
      <w:tab/>
      <w:t xml:space="preserve">                                     </w:t>
    </w:r>
    <w:hyperlink r:id="rId1" w:history="1">
      <w:r w:rsidRPr="009A3873">
        <w:rPr>
          <w:rStyle w:val="Hipervnculo"/>
          <w:rFonts w:ascii="Arial Narrow" w:hAnsi="Arial Narrow"/>
          <w:sz w:val="18"/>
          <w:szCs w:val="18"/>
        </w:rPr>
        <w:t>www.minambiente.gov.co</w:t>
      </w:r>
    </w:hyperlink>
    <w:r>
      <w:rPr>
        <w:rFonts w:ascii="Arial Narrow" w:hAnsi="Arial Narrow"/>
        <w:sz w:val="18"/>
        <w:szCs w:val="18"/>
      </w:rPr>
      <w:t xml:space="preserve"> </w:t>
    </w:r>
  </w:p>
  <w:p w14:paraId="20F6AF35" w14:textId="77777777" w:rsidR="00B60CA1" w:rsidRPr="008F0815" w:rsidRDefault="00B60CA1" w:rsidP="001A1E25">
    <w:pPr>
      <w:pStyle w:val="Piedepgina"/>
      <w:tabs>
        <w:tab w:val="left" w:pos="3555"/>
      </w:tabs>
      <w:jc w:val="both"/>
      <w:rPr>
        <w:rFonts w:ascii="Arial Narrow" w:hAnsi="Arial Narrow"/>
        <w:sz w:val="18"/>
        <w:szCs w:val="18"/>
      </w:rPr>
    </w:pPr>
    <w:r w:rsidRPr="001A1E25">
      <w:rPr>
        <w:rFonts w:ascii="Arial Narrow" w:hAnsi="Arial Narrow"/>
        <w:color w:val="A6A6A6"/>
        <w:sz w:val="18"/>
        <w:szCs w:val="18"/>
      </w:rPr>
      <w:t xml:space="preserve">Versión 3                                                                                                      </w:t>
    </w:r>
    <w:r w:rsidRPr="001A1E25">
      <w:rPr>
        <w:rFonts w:ascii="Arial Narrow" w:hAnsi="Arial Narrow"/>
        <w:color w:val="A6A6A6"/>
        <w:sz w:val="18"/>
        <w:szCs w:val="18"/>
      </w:rPr>
      <w:tab/>
    </w:r>
    <w:r w:rsidRPr="009A3873">
      <w:rPr>
        <w:rFonts w:ascii="Arial Narrow" w:hAnsi="Arial Narrow"/>
        <w:sz w:val="18"/>
        <w:szCs w:val="18"/>
      </w:rPr>
      <w:t>Bogotá, Colombia</w:t>
    </w:r>
  </w:p>
  <w:p w14:paraId="603CC4DB" w14:textId="77777777" w:rsidR="00B60CA1" w:rsidRDefault="00B60CA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D4A944" w14:textId="77777777" w:rsidR="00606E24" w:rsidRDefault="00606E24">
      <w:r>
        <w:separator/>
      </w:r>
    </w:p>
  </w:footnote>
  <w:footnote w:type="continuationSeparator" w:id="0">
    <w:p w14:paraId="389D3A76" w14:textId="77777777" w:rsidR="00606E24" w:rsidRDefault="00606E24">
      <w:r>
        <w:continuationSeparator/>
      </w:r>
    </w:p>
  </w:footnote>
  <w:footnote w:type="continuationNotice" w:id="1">
    <w:p w14:paraId="4B0FDF49" w14:textId="77777777" w:rsidR="00606E24" w:rsidRDefault="00606E24"/>
  </w:footnote>
  <w:footnote w:id="2">
    <w:p w14:paraId="5535F5FB" w14:textId="77777777" w:rsidR="00072956" w:rsidRPr="00990BAD" w:rsidRDefault="00072956" w:rsidP="00072956">
      <w:pPr>
        <w:pStyle w:val="Textonotapie"/>
        <w:rPr>
          <w:lang w:val="es-CO"/>
        </w:rPr>
      </w:pPr>
      <w:r w:rsidRPr="00990BAD">
        <w:rPr>
          <w:rStyle w:val="Refdenotaalpie"/>
          <w:color w:val="00B050"/>
        </w:rPr>
        <w:footnoteRef/>
      </w:r>
      <w:r w:rsidRPr="00990BAD">
        <w:rPr>
          <w:color w:val="00B050"/>
          <w:lang w:val="es-CO"/>
        </w:rPr>
        <w:t xml:space="preserve"> https://www.sei.org/wp-content/uploads/2025/04/solar-eolica-colombia-sei2025.pdf</w:t>
      </w:r>
    </w:p>
  </w:footnote>
  <w:footnote w:id="3">
    <w:p w14:paraId="122A807E" w14:textId="77777777" w:rsidR="00072956" w:rsidRPr="00802B5F" w:rsidRDefault="00072956" w:rsidP="00072956">
      <w:pPr>
        <w:pStyle w:val="Textonotapie"/>
        <w:jc w:val="both"/>
        <w:rPr>
          <w:rFonts w:ascii="Arial Narrow" w:hAnsi="Arial Narrow" w:cs="Arial"/>
          <w:sz w:val="18"/>
          <w:szCs w:val="18"/>
          <w:lang w:val="es-CO"/>
        </w:rPr>
      </w:pPr>
      <w:r w:rsidRPr="00802B5F">
        <w:rPr>
          <w:rStyle w:val="Refdenotaalpie"/>
          <w:rFonts w:ascii="Arial Narrow" w:hAnsi="Arial Narrow" w:cs="Arial"/>
          <w:sz w:val="18"/>
          <w:szCs w:val="18"/>
          <w:lang w:val="es-CO"/>
        </w:rPr>
        <w:footnoteRef/>
      </w:r>
      <w:r w:rsidRPr="00802B5F">
        <w:rPr>
          <w:rFonts w:ascii="Arial Narrow" w:hAnsi="Arial Narrow" w:cs="Arial"/>
          <w:sz w:val="18"/>
          <w:szCs w:val="18"/>
          <w:lang w:val="pt-PT"/>
        </w:rPr>
        <w:t xml:space="preserve"> </w:t>
      </w:r>
      <w:hyperlink r:id="rId1" w:history="1">
        <w:r w:rsidRPr="00802B5F">
          <w:rPr>
            <w:rStyle w:val="Hipervnculo"/>
            <w:rFonts w:ascii="Arial Narrow" w:hAnsi="Arial Narrow" w:cs="Arial"/>
            <w:color w:val="auto"/>
            <w:sz w:val="18"/>
            <w:szCs w:val="18"/>
            <w:u w:val="none"/>
            <w:lang w:val="pt-PT"/>
          </w:rPr>
          <w:t>Corte Constitucional</w:t>
        </w:r>
      </w:hyperlink>
      <w:r w:rsidRPr="00802B5F">
        <w:rPr>
          <w:rFonts w:ascii="Arial Narrow" w:hAnsi="Arial Narrow" w:cs="Arial"/>
          <w:sz w:val="18"/>
          <w:szCs w:val="18"/>
          <w:lang w:val="pt-PT"/>
        </w:rPr>
        <w:t xml:space="preserve">, sentencia C-056-21, MP. </w:t>
      </w:r>
      <w:r w:rsidRPr="00802B5F">
        <w:rPr>
          <w:rFonts w:ascii="Arial Narrow" w:hAnsi="Arial Narrow" w:cs="Arial"/>
          <w:sz w:val="18"/>
          <w:szCs w:val="18"/>
          <w:lang w:val="es-CO"/>
        </w:rPr>
        <w:t xml:space="preserve">Paola Andrea Meneses Mosquera. </w:t>
      </w:r>
    </w:p>
  </w:footnote>
  <w:footnote w:id="4">
    <w:p w14:paraId="0390213E" w14:textId="77777777" w:rsidR="00072956" w:rsidRPr="00802B5F" w:rsidRDefault="00072956" w:rsidP="00072956">
      <w:pPr>
        <w:pStyle w:val="Textonotapie"/>
        <w:rPr>
          <w:rFonts w:ascii="Arial Narrow" w:hAnsi="Arial Narrow" w:cs="Arial"/>
          <w:sz w:val="18"/>
          <w:szCs w:val="18"/>
          <w:lang w:val="es-CO"/>
        </w:rPr>
      </w:pPr>
      <w:r w:rsidRPr="00802B5F">
        <w:rPr>
          <w:rStyle w:val="Refdenotaalpie"/>
          <w:rFonts w:ascii="Arial Narrow" w:hAnsi="Arial Narrow" w:cs="Arial"/>
          <w:sz w:val="18"/>
          <w:szCs w:val="18"/>
        </w:rPr>
        <w:footnoteRef/>
      </w:r>
      <w:r w:rsidRPr="00802B5F">
        <w:rPr>
          <w:rFonts w:ascii="Arial Narrow" w:hAnsi="Arial Narrow" w:cs="Arial"/>
          <w:sz w:val="18"/>
          <w:szCs w:val="18"/>
          <w:lang w:val="es-CO"/>
        </w:rPr>
        <w:t xml:space="preserve"> Producto Interno Bruto (PIB) nacional trimestral (mayo de 2025). Recuperado de </w:t>
      </w:r>
      <w:hyperlink r:id="rId2" w:history="1">
        <w:r w:rsidRPr="00802B5F">
          <w:rPr>
            <w:rStyle w:val="Hipervnculo"/>
            <w:rFonts w:ascii="Arial Narrow" w:hAnsi="Arial Narrow" w:cs="Arial"/>
            <w:sz w:val="18"/>
            <w:szCs w:val="18"/>
            <w:lang w:val="es-CO"/>
          </w:rPr>
          <w:t>DANE</w:t>
        </w:r>
      </w:hyperlink>
    </w:p>
  </w:footnote>
  <w:footnote w:id="5">
    <w:p w14:paraId="4B57F53B" w14:textId="77777777" w:rsidR="00072956" w:rsidRPr="00C50864" w:rsidRDefault="00072956" w:rsidP="00072956">
      <w:pPr>
        <w:pStyle w:val="Textonotapie"/>
        <w:rPr>
          <w:rFonts w:ascii="Arial Narrow" w:hAnsi="Arial Narrow"/>
          <w:sz w:val="18"/>
          <w:szCs w:val="18"/>
          <w:lang w:val="es-CO"/>
        </w:rPr>
      </w:pPr>
      <w:r w:rsidRPr="00802B5F">
        <w:rPr>
          <w:rStyle w:val="Refdenotaalpie"/>
          <w:rFonts w:ascii="Arial Narrow" w:hAnsi="Arial Narrow"/>
          <w:sz w:val="18"/>
          <w:szCs w:val="18"/>
        </w:rPr>
        <w:footnoteRef/>
      </w:r>
      <w:r w:rsidRPr="00802B5F">
        <w:rPr>
          <w:rFonts w:ascii="Arial Narrow" w:hAnsi="Arial Narrow"/>
          <w:sz w:val="18"/>
          <w:szCs w:val="18"/>
          <w:lang w:val="es-CO"/>
        </w:rPr>
        <w:t xml:space="preserve"> </w:t>
      </w:r>
      <w:r w:rsidRPr="00802B5F">
        <w:rPr>
          <w:rFonts w:ascii="Arial Narrow" w:hAnsi="Arial Narrow" w:cs="Arial"/>
          <w:sz w:val="18"/>
          <w:szCs w:val="18"/>
          <w:lang w:val="es-CO"/>
        </w:rPr>
        <w:t xml:space="preserve">Informe de Política Monetaria (Enero de 2025). Recuperado de </w:t>
      </w:r>
      <w:hyperlink r:id="rId3" w:history="1">
        <w:r w:rsidRPr="00802B5F">
          <w:rPr>
            <w:rStyle w:val="Hipervnculo"/>
            <w:rFonts w:ascii="Arial Narrow" w:hAnsi="Arial Narrow" w:cs="Arial"/>
            <w:sz w:val="18"/>
            <w:szCs w:val="18"/>
            <w:lang w:val="es-CO"/>
          </w:rPr>
          <w:t>Banco de la República</w:t>
        </w:r>
      </w:hyperlink>
    </w:p>
  </w:footnote>
  <w:footnote w:id="6">
    <w:p w14:paraId="0867AAA2" w14:textId="77777777" w:rsidR="00072956" w:rsidRPr="00802B5F" w:rsidRDefault="00072956" w:rsidP="00072956">
      <w:pPr>
        <w:pStyle w:val="Textonotapie"/>
        <w:rPr>
          <w:rFonts w:ascii="Arial Narrow" w:hAnsi="Arial Narrow"/>
          <w:sz w:val="18"/>
          <w:szCs w:val="18"/>
          <w:lang w:val="es-CO"/>
        </w:rPr>
      </w:pPr>
      <w:r w:rsidRPr="00802B5F">
        <w:rPr>
          <w:rStyle w:val="Refdenotaalpie"/>
          <w:rFonts w:ascii="Arial Narrow" w:hAnsi="Arial Narrow"/>
          <w:sz w:val="18"/>
          <w:szCs w:val="18"/>
        </w:rPr>
        <w:footnoteRef/>
      </w:r>
      <w:r w:rsidRPr="00802B5F">
        <w:rPr>
          <w:rFonts w:ascii="Arial Narrow" w:hAnsi="Arial Narrow"/>
          <w:sz w:val="18"/>
          <w:szCs w:val="18"/>
          <w:lang w:val="es-CO"/>
        </w:rPr>
        <w:t xml:space="preserve"> </w:t>
      </w:r>
      <w:r w:rsidRPr="00802B5F">
        <w:rPr>
          <w:rFonts w:ascii="Arial Narrow" w:hAnsi="Arial Narrow" w:cs="Arial"/>
          <w:sz w:val="18"/>
          <w:szCs w:val="18"/>
          <w:lang w:val="es-CO"/>
        </w:rPr>
        <w:t xml:space="preserve">Índice de Precios al Consumidor. Informe de febrero de 2025. Recuperado de </w:t>
      </w:r>
      <w:hyperlink r:id="rId4" w:history="1">
        <w:r w:rsidRPr="00802B5F">
          <w:rPr>
            <w:rStyle w:val="Hipervnculo"/>
            <w:rFonts w:ascii="Arial Narrow" w:hAnsi="Arial Narrow" w:cs="Arial"/>
            <w:sz w:val="18"/>
            <w:szCs w:val="18"/>
            <w:lang w:val="es-CO"/>
          </w:rPr>
          <w:t>DANE</w:t>
        </w:r>
      </w:hyperlink>
    </w:p>
  </w:footnote>
  <w:footnote w:id="7">
    <w:p w14:paraId="0C09C64C" w14:textId="77777777" w:rsidR="00072956" w:rsidRPr="00802B5F" w:rsidRDefault="00072956" w:rsidP="00072956">
      <w:pPr>
        <w:pStyle w:val="Textonotapie"/>
        <w:rPr>
          <w:rFonts w:ascii="Arial Narrow" w:hAnsi="Arial Narrow"/>
          <w:sz w:val="18"/>
          <w:szCs w:val="18"/>
          <w:lang w:val="es-ES_tradnl"/>
        </w:rPr>
      </w:pPr>
      <w:r w:rsidRPr="00802B5F">
        <w:rPr>
          <w:rStyle w:val="Refdenotaalpie"/>
          <w:rFonts w:ascii="Arial Narrow" w:hAnsi="Arial Narrow"/>
          <w:sz w:val="18"/>
          <w:szCs w:val="18"/>
        </w:rPr>
        <w:footnoteRef/>
      </w:r>
      <w:r w:rsidRPr="00802B5F">
        <w:rPr>
          <w:rFonts w:ascii="Arial Narrow" w:hAnsi="Arial Narrow"/>
          <w:sz w:val="18"/>
          <w:szCs w:val="18"/>
          <w:lang w:val="es-CO"/>
        </w:rPr>
        <w:t xml:space="preserve"> </w:t>
      </w:r>
      <w:r w:rsidRPr="00802B5F">
        <w:rPr>
          <w:rFonts w:ascii="Arial Narrow" w:hAnsi="Arial Narrow" w:cs="Arial"/>
          <w:sz w:val="18"/>
          <w:szCs w:val="18"/>
          <w:lang w:val="es-CO"/>
        </w:rPr>
        <w:t xml:space="preserve">Informe de Política Monetaria (Enero de 2025). Recuperado de </w:t>
      </w:r>
      <w:hyperlink r:id="rId5" w:history="1">
        <w:r w:rsidRPr="00802B5F">
          <w:rPr>
            <w:rStyle w:val="Hipervnculo"/>
            <w:rFonts w:ascii="Arial Narrow" w:hAnsi="Arial Narrow" w:cs="Arial"/>
            <w:sz w:val="18"/>
            <w:szCs w:val="18"/>
            <w:lang w:val="es-CO"/>
          </w:rPr>
          <w:t>Banco de la República</w:t>
        </w:r>
      </w:hyperlink>
    </w:p>
  </w:footnote>
  <w:footnote w:id="8">
    <w:p w14:paraId="6E0902FC" w14:textId="77777777" w:rsidR="00072956" w:rsidRPr="00802B5F" w:rsidRDefault="00072956" w:rsidP="00072956">
      <w:pPr>
        <w:pStyle w:val="Textonotapie"/>
        <w:rPr>
          <w:rFonts w:ascii="Arial Narrow" w:hAnsi="Arial Narrow" w:cs="Arial"/>
          <w:sz w:val="18"/>
          <w:szCs w:val="18"/>
          <w:lang w:val="es-CO"/>
        </w:rPr>
      </w:pPr>
      <w:r w:rsidRPr="00802B5F">
        <w:rPr>
          <w:rStyle w:val="Refdenotaalpie"/>
          <w:rFonts w:ascii="Arial Narrow" w:hAnsi="Arial Narrow" w:cs="Arial"/>
          <w:sz w:val="18"/>
          <w:szCs w:val="18"/>
        </w:rPr>
        <w:footnoteRef/>
      </w:r>
      <w:r w:rsidRPr="00802B5F">
        <w:rPr>
          <w:rFonts w:ascii="Arial Narrow" w:hAnsi="Arial Narrow" w:cs="Arial"/>
          <w:sz w:val="18"/>
          <w:szCs w:val="18"/>
          <w:lang w:val="es-CO"/>
        </w:rPr>
        <w:t xml:space="preserve"> Tasa de Interés de Política Monetaria (mayo de 2025). Recuperado de </w:t>
      </w:r>
      <w:hyperlink r:id="rId6" w:anchor="/informacionSerie/59/Tasas%20de%20interés%20de%20política%20monetaria" w:history="1">
        <w:r w:rsidRPr="00802B5F">
          <w:rPr>
            <w:rStyle w:val="Hipervnculo"/>
            <w:rFonts w:ascii="Arial Narrow" w:hAnsi="Arial Narrow" w:cs="Arial"/>
            <w:sz w:val="18"/>
            <w:szCs w:val="18"/>
            <w:lang w:val="es-CO"/>
          </w:rPr>
          <w:t>BANREP</w:t>
        </w:r>
      </w:hyperlink>
    </w:p>
  </w:footnote>
  <w:footnote w:id="9">
    <w:p w14:paraId="6AC47248" w14:textId="77777777" w:rsidR="00072956" w:rsidRPr="00802B5F" w:rsidRDefault="00072956" w:rsidP="00072956">
      <w:pPr>
        <w:pStyle w:val="Textonotapie"/>
        <w:rPr>
          <w:rFonts w:ascii="Arial Narrow" w:hAnsi="Arial Narrow" w:cs="Arial"/>
          <w:sz w:val="18"/>
          <w:szCs w:val="18"/>
          <w:lang w:val="es-CO"/>
        </w:rPr>
      </w:pPr>
      <w:r w:rsidRPr="00802B5F">
        <w:rPr>
          <w:rStyle w:val="Refdenotaalpie"/>
          <w:rFonts w:ascii="Arial Narrow" w:hAnsi="Arial Narrow" w:cs="Arial"/>
          <w:sz w:val="18"/>
          <w:szCs w:val="18"/>
        </w:rPr>
        <w:footnoteRef/>
      </w:r>
      <w:r w:rsidRPr="00802B5F">
        <w:rPr>
          <w:rFonts w:ascii="Arial Narrow" w:hAnsi="Arial Narrow" w:cs="Arial"/>
          <w:sz w:val="18"/>
          <w:szCs w:val="18"/>
          <w:lang w:val="es-CO"/>
        </w:rPr>
        <w:t xml:space="preserve"> Perspectivas de los sectores económicos en 2025. Recuperado de </w:t>
      </w:r>
      <w:hyperlink r:id="rId7" w:history="1">
        <w:r w:rsidRPr="00802B5F">
          <w:rPr>
            <w:rStyle w:val="Hipervnculo"/>
            <w:rFonts w:ascii="Arial Narrow" w:hAnsi="Arial Narrow" w:cs="Arial"/>
            <w:sz w:val="18"/>
            <w:szCs w:val="18"/>
            <w:lang w:val="es-CO"/>
          </w:rPr>
          <w:t>Grupo Bancolombia</w:t>
        </w:r>
      </w:hyperlink>
    </w:p>
  </w:footnote>
  <w:footnote w:id="10">
    <w:p w14:paraId="0D61345D" w14:textId="77777777" w:rsidR="00072956" w:rsidRPr="00802B5F" w:rsidRDefault="00072956" w:rsidP="00072956">
      <w:pPr>
        <w:pStyle w:val="Textonotapie"/>
        <w:rPr>
          <w:rFonts w:ascii="Arial Narrow" w:hAnsi="Arial Narrow"/>
          <w:sz w:val="18"/>
          <w:szCs w:val="18"/>
          <w:lang w:val="es-CO"/>
        </w:rPr>
      </w:pPr>
      <w:r w:rsidRPr="00802B5F">
        <w:rPr>
          <w:rStyle w:val="Refdenotaalpie"/>
          <w:rFonts w:ascii="Arial Narrow" w:hAnsi="Arial Narrow" w:cs="Arial"/>
          <w:sz w:val="18"/>
          <w:szCs w:val="18"/>
        </w:rPr>
        <w:footnoteRef/>
      </w:r>
      <w:r w:rsidRPr="00802B5F">
        <w:rPr>
          <w:rFonts w:ascii="Arial Narrow" w:hAnsi="Arial Narrow" w:cs="Arial"/>
          <w:sz w:val="18"/>
          <w:szCs w:val="18"/>
          <w:lang w:val="es-CO"/>
        </w:rPr>
        <w:t xml:space="preserve"> Minutas del Banco de la República del 06 de mayo de 2025. Recuperado de </w:t>
      </w:r>
      <w:hyperlink r:id="rId8" w:history="1">
        <w:r w:rsidRPr="00802B5F">
          <w:rPr>
            <w:rStyle w:val="Hipervnculo"/>
            <w:rFonts w:ascii="Arial Narrow" w:hAnsi="Arial Narrow" w:cs="Arial"/>
            <w:sz w:val="18"/>
            <w:szCs w:val="18"/>
            <w:lang w:val="es-CO"/>
          </w:rPr>
          <w:t>BANREP</w:t>
        </w:r>
      </w:hyperlink>
    </w:p>
  </w:footnote>
  <w:footnote w:id="11">
    <w:p w14:paraId="65227F2B" w14:textId="77777777" w:rsidR="00072956" w:rsidRPr="00802B5F" w:rsidRDefault="00072956" w:rsidP="00072956">
      <w:pPr>
        <w:pStyle w:val="Textonotapie"/>
        <w:rPr>
          <w:rFonts w:ascii="Arial Narrow" w:hAnsi="Arial Narrow" w:cs="Arial"/>
          <w:sz w:val="18"/>
          <w:szCs w:val="18"/>
          <w:lang w:val="es-CO"/>
        </w:rPr>
      </w:pPr>
      <w:r w:rsidRPr="00802B5F">
        <w:rPr>
          <w:rStyle w:val="Refdenotaalpie"/>
          <w:rFonts w:ascii="Arial Narrow" w:hAnsi="Arial Narrow" w:cs="Arial"/>
          <w:sz w:val="18"/>
          <w:szCs w:val="18"/>
        </w:rPr>
        <w:footnoteRef/>
      </w:r>
      <w:r w:rsidRPr="00802B5F">
        <w:rPr>
          <w:rFonts w:ascii="Arial Narrow" w:hAnsi="Arial Narrow" w:cs="Arial"/>
          <w:sz w:val="18"/>
          <w:szCs w:val="18"/>
          <w:lang w:val="es-CO"/>
        </w:rPr>
        <w:t xml:space="preserve"> </w:t>
      </w:r>
      <w:r w:rsidRPr="00802B5F">
        <w:rPr>
          <w:rFonts w:ascii="Arial Narrow" w:hAnsi="Arial Narrow" w:cs="Arial"/>
          <w:color w:val="000000"/>
          <w:sz w:val="18"/>
          <w:szCs w:val="18"/>
          <w:lang w:val="es-CO"/>
        </w:rPr>
        <w:t>Gigawatt es una unidad de medida de potencia equivalente a mil millones de vatios</w:t>
      </w:r>
    </w:p>
  </w:footnote>
  <w:footnote w:id="12">
    <w:p w14:paraId="777574FA" w14:textId="77777777" w:rsidR="00072956" w:rsidRPr="00802B5F" w:rsidRDefault="00072956" w:rsidP="00072956">
      <w:pPr>
        <w:pStyle w:val="Textonotapie"/>
        <w:rPr>
          <w:rFonts w:ascii="Arial Narrow" w:hAnsi="Arial Narrow" w:cs="Arial"/>
          <w:sz w:val="18"/>
          <w:szCs w:val="18"/>
          <w:lang w:val="es-CO"/>
        </w:rPr>
      </w:pPr>
      <w:r w:rsidRPr="00802B5F">
        <w:rPr>
          <w:rStyle w:val="Refdenotaalpie"/>
          <w:rFonts w:ascii="Arial Narrow" w:hAnsi="Arial Narrow" w:cs="Arial"/>
          <w:sz w:val="18"/>
          <w:szCs w:val="18"/>
        </w:rPr>
        <w:footnoteRef/>
      </w:r>
      <w:r w:rsidRPr="00802B5F">
        <w:rPr>
          <w:rFonts w:ascii="Arial Narrow" w:hAnsi="Arial Narrow" w:cs="Arial"/>
          <w:sz w:val="18"/>
          <w:szCs w:val="18"/>
          <w:lang w:val="es-CO"/>
        </w:rPr>
        <w:t xml:space="preserve"> Mercado de Energía Solar en Colombia, Recuperado de </w:t>
      </w:r>
      <w:hyperlink r:id="rId9" w:history="1">
        <w:r w:rsidRPr="00802B5F">
          <w:rPr>
            <w:rStyle w:val="Hipervnculo"/>
            <w:rFonts w:ascii="Arial Narrow" w:hAnsi="Arial Narrow" w:cs="Arial"/>
            <w:sz w:val="18"/>
            <w:szCs w:val="18"/>
            <w:lang w:val="es-CO"/>
          </w:rPr>
          <w:t>EMR</w:t>
        </w:r>
      </w:hyperlink>
    </w:p>
  </w:footnote>
  <w:footnote w:id="13">
    <w:p w14:paraId="70158B49" w14:textId="77777777" w:rsidR="00072956" w:rsidRPr="00802B5F" w:rsidRDefault="00072956" w:rsidP="00072956">
      <w:pPr>
        <w:pStyle w:val="Textonotapie"/>
        <w:rPr>
          <w:rFonts w:ascii="Arial Narrow" w:hAnsi="Arial Narrow" w:cs="Arial"/>
          <w:sz w:val="18"/>
          <w:szCs w:val="18"/>
          <w:lang w:val="es-CO"/>
        </w:rPr>
      </w:pPr>
      <w:r w:rsidRPr="00802B5F">
        <w:rPr>
          <w:rStyle w:val="Refdenotaalpie"/>
          <w:rFonts w:ascii="Arial Narrow" w:hAnsi="Arial Narrow" w:cs="Arial"/>
          <w:sz w:val="18"/>
          <w:szCs w:val="18"/>
        </w:rPr>
        <w:footnoteRef/>
      </w:r>
      <w:r w:rsidRPr="00802B5F">
        <w:rPr>
          <w:rFonts w:ascii="Arial Narrow" w:hAnsi="Arial Narrow" w:cs="Arial"/>
          <w:sz w:val="18"/>
          <w:szCs w:val="18"/>
          <w:lang w:val="es-CO"/>
        </w:rPr>
        <w:t xml:space="preserve"> Perspectivas de los sectores económicos en 2025. Recuperado de </w:t>
      </w:r>
      <w:hyperlink r:id="rId10" w:history="1">
        <w:r w:rsidRPr="00802B5F">
          <w:rPr>
            <w:rStyle w:val="Hipervnculo"/>
            <w:rFonts w:ascii="Arial Narrow" w:hAnsi="Arial Narrow" w:cs="Arial"/>
            <w:sz w:val="18"/>
            <w:szCs w:val="18"/>
            <w:lang w:val="es-CO"/>
          </w:rPr>
          <w:t>Grupo Bancolombia</w:t>
        </w:r>
      </w:hyperlink>
    </w:p>
  </w:footnote>
  <w:footnote w:id="14">
    <w:p w14:paraId="058D6217" w14:textId="77777777" w:rsidR="00072956" w:rsidRPr="00802B5F" w:rsidRDefault="00072956" w:rsidP="00072956">
      <w:pPr>
        <w:pStyle w:val="Textonotapie"/>
        <w:rPr>
          <w:rFonts w:ascii="Arial Narrow" w:hAnsi="Arial Narrow" w:cs="Arial"/>
          <w:sz w:val="18"/>
          <w:szCs w:val="18"/>
          <w:lang w:val="es-CO"/>
        </w:rPr>
      </w:pPr>
      <w:r w:rsidRPr="00802B5F">
        <w:rPr>
          <w:rStyle w:val="Refdenotaalpie"/>
          <w:rFonts w:ascii="Arial Narrow" w:hAnsi="Arial Narrow" w:cs="Arial"/>
          <w:sz w:val="18"/>
          <w:szCs w:val="18"/>
        </w:rPr>
        <w:footnoteRef/>
      </w:r>
      <w:r w:rsidRPr="00802B5F">
        <w:rPr>
          <w:rFonts w:ascii="Arial Narrow" w:hAnsi="Arial Narrow" w:cs="Arial"/>
          <w:sz w:val="18"/>
          <w:szCs w:val="18"/>
          <w:lang w:val="es-CO"/>
        </w:rPr>
        <w:t xml:space="preserve"> A corte del 20 de mayo de 2025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1B52C" w14:textId="005F1DF8" w:rsidR="00B60CA1" w:rsidRDefault="00000000">
    <w:pPr>
      <w:pStyle w:val="Encabezado"/>
    </w:pPr>
    <w:r>
      <w:rPr>
        <w:noProof/>
      </w:rPr>
      <w:pict w14:anchorId="69B852B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05635110" o:spid="_x0000_s1027" type="#_x0000_t136" alt="" style="position:absolute;margin-left:0;margin-top:0;width:655.65pt;height:43.7pt;rotation:315;z-index:-251658237;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OCUMENTO EN CONSTRUCCIÓ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DCF4E" w14:textId="5C0D7242" w:rsidR="00B60CA1" w:rsidRDefault="00000000">
    <w:pPr>
      <w:pStyle w:val="Encabezado"/>
    </w:pPr>
    <w:r>
      <w:rPr>
        <w:noProof/>
      </w:rPr>
      <w:pict w14:anchorId="7171F9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05635111" o:spid="_x0000_s1026" type="#_x0000_t136" alt="" style="position:absolute;margin-left:0;margin-top:0;width:655.65pt;height:43.7pt;rotation:315;z-index:-2516582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OCUMENTO EN CONSTRUCCIÓN"/>
          <w10:wrap anchorx="margin" anchory="margin"/>
        </v:shape>
      </w:pict>
    </w:r>
  </w:p>
  <w:tbl>
    <w:tblPr>
      <w:tblW w:w="10774"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2"/>
      <w:gridCol w:w="6209"/>
      <w:gridCol w:w="1843"/>
    </w:tblGrid>
    <w:tr w:rsidR="00B60CA1" w:rsidRPr="009E07BE" w14:paraId="76871139" w14:textId="77777777" w:rsidTr="00CE5AB3">
      <w:trPr>
        <w:cantSplit/>
        <w:trHeight w:val="313"/>
      </w:trPr>
      <w:tc>
        <w:tcPr>
          <w:tcW w:w="2722" w:type="dxa"/>
          <w:vMerge w:val="restart"/>
          <w:vAlign w:val="center"/>
        </w:tcPr>
        <w:p w14:paraId="1E15E61F" w14:textId="77777777" w:rsidR="00B60CA1" w:rsidRPr="001D62F3" w:rsidRDefault="00B60CA1" w:rsidP="00CE5AB3">
          <w:pPr>
            <w:jc w:val="center"/>
            <w:rPr>
              <w:rFonts w:cs="Arial"/>
              <w:bCs/>
              <w:spacing w:val="-6"/>
              <w:sz w:val="18"/>
            </w:rPr>
          </w:pPr>
          <w:r w:rsidRPr="001D62F3">
            <w:rPr>
              <w:rFonts w:cs="Arial"/>
              <w:bCs/>
              <w:spacing w:val="-6"/>
              <w:sz w:val="18"/>
            </w:rPr>
            <w:t>MINISTERIO DE AMBIENTE Y DESARROLLO SOSTENIBLE</w:t>
          </w:r>
        </w:p>
      </w:tc>
      <w:tc>
        <w:tcPr>
          <w:tcW w:w="6209" w:type="dxa"/>
          <w:shd w:val="clear" w:color="auto" w:fill="154A8A"/>
        </w:tcPr>
        <w:p w14:paraId="48DE50D7" w14:textId="77777777" w:rsidR="00B60CA1" w:rsidRPr="00B80E2A" w:rsidRDefault="00B60CA1" w:rsidP="00CE5AB3">
          <w:pPr>
            <w:spacing w:before="60"/>
            <w:ind w:right="-40"/>
            <w:jc w:val="center"/>
            <w:rPr>
              <w:rFonts w:cs="Arial"/>
              <w:b/>
              <w:bCs/>
              <w:color w:val="FFFFFF"/>
              <w:spacing w:val="-6"/>
            </w:rPr>
          </w:pPr>
          <w:r w:rsidRPr="00B80E2A">
            <w:rPr>
              <w:rFonts w:cs="Arial"/>
              <w:b/>
              <w:bCs/>
              <w:color w:val="FFFFFF"/>
              <w:spacing w:val="-6"/>
            </w:rPr>
            <w:t>MEMORIA JUSTIFICATIVA</w:t>
          </w:r>
        </w:p>
      </w:tc>
      <w:tc>
        <w:tcPr>
          <w:tcW w:w="1843" w:type="dxa"/>
          <w:vMerge w:val="restart"/>
          <w:vAlign w:val="center"/>
        </w:tcPr>
        <w:p w14:paraId="3BEE236D" w14:textId="77777777" w:rsidR="00B60CA1" w:rsidRPr="001D62F3" w:rsidRDefault="00B60CA1" w:rsidP="00CE5AB3">
          <w:pPr>
            <w:ind w:right="-42"/>
            <w:jc w:val="center"/>
            <w:rPr>
              <w:rFonts w:cs="Arial"/>
              <w:b/>
              <w:bCs/>
              <w:spacing w:val="-6"/>
            </w:rPr>
          </w:pPr>
          <w:r w:rsidRPr="00235C3F">
            <w:rPr>
              <w:rFonts w:cs="Arial"/>
              <w:b/>
              <w:noProof/>
              <w:spacing w:val="-6"/>
              <w:lang w:val="es-CO" w:eastAsia="es-CO"/>
            </w:rPr>
            <w:drawing>
              <wp:inline distT="0" distB="0" distL="0" distR="0" wp14:anchorId="1D3EF7C1" wp14:editId="07777777">
                <wp:extent cx="1057275" cy="333375"/>
                <wp:effectExtent l="0" t="0" r="0" b="0"/>
                <wp:docPr id="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
                          <a:extLst>
                            <a:ext uri="{28A0092B-C50C-407E-A947-70E740481C1C}">
                              <a14:useLocalDpi xmlns:a14="http://schemas.microsoft.com/office/drawing/2010/main" val="0"/>
                            </a:ext>
                          </a:extLst>
                        </a:blip>
                        <a:srcRect l="-563" t="-1860" r="-1199" b="-3265"/>
                        <a:stretch>
                          <a:fillRect/>
                        </a:stretch>
                      </pic:blipFill>
                      <pic:spPr bwMode="auto">
                        <a:xfrm>
                          <a:off x="0" y="0"/>
                          <a:ext cx="1057275" cy="333375"/>
                        </a:xfrm>
                        <a:prstGeom prst="rect">
                          <a:avLst/>
                        </a:prstGeom>
                        <a:noFill/>
                        <a:ln>
                          <a:noFill/>
                        </a:ln>
                      </pic:spPr>
                    </pic:pic>
                  </a:graphicData>
                </a:graphic>
              </wp:inline>
            </w:drawing>
          </w:r>
        </w:p>
      </w:tc>
    </w:tr>
    <w:tr w:rsidR="00B60CA1" w:rsidRPr="009E07BE" w14:paraId="693A67EB" w14:textId="77777777" w:rsidTr="00CE5AB3">
      <w:trPr>
        <w:cantSplit/>
        <w:trHeight w:val="316"/>
      </w:trPr>
      <w:tc>
        <w:tcPr>
          <w:tcW w:w="2722" w:type="dxa"/>
          <w:vMerge/>
          <w:vAlign w:val="center"/>
        </w:tcPr>
        <w:p w14:paraId="0CCC0888" w14:textId="77777777" w:rsidR="00B60CA1" w:rsidRPr="001D62F3" w:rsidRDefault="00B60CA1" w:rsidP="00CE5AB3">
          <w:pPr>
            <w:jc w:val="center"/>
            <w:rPr>
              <w:rFonts w:cs="Arial"/>
              <w:bCs/>
              <w:spacing w:val="-6"/>
              <w:szCs w:val="17"/>
            </w:rPr>
          </w:pPr>
        </w:p>
      </w:tc>
      <w:tc>
        <w:tcPr>
          <w:tcW w:w="6209" w:type="dxa"/>
          <w:shd w:val="clear" w:color="auto" w:fill="E1E1E1"/>
        </w:tcPr>
        <w:p w14:paraId="2A1E9FB2" w14:textId="77777777" w:rsidR="00B60CA1" w:rsidRPr="001D62F3" w:rsidRDefault="00B60CA1" w:rsidP="00CE5AB3">
          <w:pPr>
            <w:ind w:right="-42"/>
            <w:jc w:val="center"/>
            <w:rPr>
              <w:rFonts w:cs="Arial"/>
              <w:bCs/>
              <w:spacing w:val="-6"/>
            </w:rPr>
          </w:pPr>
          <w:r>
            <w:rPr>
              <w:b/>
              <w:bCs/>
            </w:rPr>
            <w:t xml:space="preserve">Proceso: </w:t>
          </w:r>
          <w:r>
            <w:t>Gestión jurídica</w:t>
          </w:r>
        </w:p>
      </w:tc>
      <w:tc>
        <w:tcPr>
          <w:tcW w:w="1843" w:type="dxa"/>
          <w:vMerge/>
          <w:vAlign w:val="center"/>
        </w:tcPr>
        <w:p w14:paraId="4A990D24" w14:textId="77777777" w:rsidR="00B60CA1" w:rsidRPr="001D62F3" w:rsidRDefault="00B60CA1" w:rsidP="00CE5AB3">
          <w:pPr>
            <w:ind w:right="-42"/>
            <w:jc w:val="center"/>
            <w:rPr>
              <w:rFonts w:cs="Arial"/>
              <w:bCs/>
              <w:spacing w:val="-6"/>
            </w:rPr>
          </w:pPr>
        </w:p>
      </w:tc>
    </w:tr>
    <w:tr w:rsidR="00B60CA1" w:rsidRPr="009E07BE" w14:paraId="652ACBEC" w14:textId="77777777" w:rsidTr="00CE5AB3">
      <w:trPr>
        <w:cantSplit/>
        <w:trHeight w:val="339"/>
      </w:trPr>
      <w:tc>
        <w:tcPr>
          <w:tcW w:w="2722" w:type="dxa"/>
          <w:vAlign w:val="center"/>
        </w:tcPr>
        <w:p w14:paraId="3601203D" w14:textId="77777777" w:rsidR="00B60CA1" w:rsidRPr="001D62F3" w:rsidRDefault="00B60CA1" w:rsidP="00CE5AB3">
          <w:pPr>
            <w:jc w:val="center"/>
            <w:rPr>
              <w:rFonts w:cs="Arial"/>
              <w:bCs/>
              <w:spacing w:val="-6"/>
              <w:sz w:val="16"/>
              <w:szCs w:val="17"/>
              <w:lang w:val="en-US"/>
            </w:rPr>
          </w:pPr>
          <w:r w:rsidRPr="001D62F3">
            <w:rPr>
              <w:rFonts w:cs="Arial"/>
              <w:b/>
              <w:bCs/>
              <w:spacing w:val="-6"/>
              <w:sz w:val="16"/>
            </w:rPr>
            <w:t>Versión</w:t>
          </w:r>
          <w:r w:rsidRPr="001D62F3">
            <w:rPr>
              <w:rFonts w:cs="Arial"/>
              <w:bCs/>
              <w:spacing w:val="-6"/>
              <w:sz w:val="16"/>
            </w:rPr>
            <w:t>:</w:t>
          </w:r>
          <w:r>
            <w:rPr>
              <w:rFonts w:cs="Arial"/>
              <w:bCs/>
              <w:spacing w:val="-6"/>
              <w:sz w:val="16"/>
            </w:rPr>
            <w:t xml:space="preserve"> 4</w:t>
          </w:r>
        </w:p>
      </w:tc>
      <w:tc>
        <w:tcPr>
          <w:tcW w:w="6209" w:type="dxa"/>
        </w:tcPr>
        <w:p w14:paraId="4C777F26" w14:textId="77777777" w:rsidR="00B60CA1" w:rsidRPr="001D62F3" w:rsidRDefault="00B60CA1" w:rsidP="00D82FA2">
          <w:pPr>
            <w:ind w:right="-42"/>
            <w:jc w:val="center"/>
            <w:rPr>
              <w:rFonts w:cs="Arial"/>
              <w:bCs/>
              <w:spacing w:val="-6"/>
              <w:sz w:val="16"/>
            </w:rPr>
          </w:pPr>
          <w:r>
            <w:rPr>
              <w:b/>
              <w:bCs/>
              <w:sz w:val="16"/>
              <w:szCs w:val="16"/>
            </w:rPr>
            <w:t>Vigencia</w:t>
          </w:r>
          <w:r>
            <w:rPr>
              <w:sz w:val="16"/>
              <w:szCs w:val="16"/>
            </w:rPr>
            <w:t>: 25/11/2022</w:t>
          </w:r>
        </w:p>
      </w:tc>
      <w:tc>
        <w:tcPr>
          <w:tcW w:w="1843" w:type="dxa"/>
          <w:vAlign w:val="center"/>
        </w:tcPr>
        <w:p w14:paraId="148A0DBE" w14:textId="77777777" w:rsidR="00B60CA1" w:rsidRPr="001D62F3" w:rsidRDefault="00B60CA1" w:rsidP="00CE5AB3">
          <w:pPr>
            <w:ind w:right="-42"/>
            <w:jc w:val="center"/>
            <w:rPr>
              <w:rFonts w:cs="Arial"/>
              <w:bCs/>
              <w:spacing w:val="-6"/>
              <w:sz w:val="16"/>
            </w:rPr>
          </w:pPr>
          <w:r w:rsidRPr="001D62F3">
            <w:rPr>
              <w:rFonts w:cs="Arial"/>
              <w:b/>
              <w:bCs/>
              <w:spacing w:val="-6"/>
              <w:sz w:val="16"/>
            </w:rPr>
            <w:t>Código:</w:t>
          </w:r>
          <w:r w:rsidRPr="001D62F3">
            <w:rPr>
              <w:rFonts w:cs="Arial"/>
              <w:bCs/>
              <w:spacing w:val="-6"/>
              <w:sz w:val="16"/>
            </w:rPr>
            <w:t xml:space="preserve"> </w:t>
          </w:r>
          <w:r>
            <w:rPr>
              <w:rFonts w:cs="Arial"/>
              <w:bCs/>
              <w:spacing w:val="-6"/>
              <w:sz w:val="16"/>
            </w:rPr>
            <w:t>F</w:t>
          </w:r>
          <w:r w:rsidRPr="00722047">
            <w:rPr>
              <w:rFonts w:cs="Arial"/>
              <w:bCs/>
              <w:spacing w:val="-6"/>
              <w:sz w:val="16"/>
            </w:rPr>
            <w:t>-A-GJR-0</w:t>
          </w:r>
          <w:r>
            <w:rPr>
              <w:rFonts w:cs="Arial"/>
              <w:bCs/>
              <w:spacing w:val="-6"/>
              <w:sz w:val="16"/>
            </w:rPr>
            <w:t>7</w:t>
          </w:r>
        </w:p>
      </w:tc>
    </w:tr>
  </w:tbl>
  <w:p w14:paraId="7CAE5282" w14:textId="77777777" w:rsidR="00B60CA1" w:rsidRDefault="00B60CA1">
    <w:pPr>
      <w:pStyle w:val="Encabezado"/>
    </w:pPr>
    <w:r>
      <w:rPr>
        <w:noProof/>
      </w:rPr>
      <w:drawing>
        <wp:anchor distT="0" distB="0" distL="114300" distR="114300" simplePos="0" relativeHeight="251658241" behindDoc="1" locked="0" layoutInCell="1" allowOverlap="1" wp14:anchorId="4E6F4E80" wp14:editId="07777777">
          <wp:simplePos x="0" y="0"/>
          <wp:positionH relativeFrom="margin">
            <wp:posOffset>514350</wp:posOffset>
          </wp:positionH>
          <wp:positionV relativeFrom="paragraph">
            <wp:posOffset>3205480</wp:posOffset>
          </wp:positionV>
          <wp:extent cx="5258435" cy="1586230"/>
          <wp:effectExtent l="0" t="0" r="0" b="0"/>
          <wp:wrapNone/>
          <wp:docPr id="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2">
                    <a:lum bright="20000" contrast="-20000"/>
                    <a:extLst>
                      <a:ext uri="{28A0092B-C50C-407E-A947-70E740481C1C}">
                        <a14:useLocalDpi xmlns:a14="http://schemas.microsoft.com/office/drawing/2010/main" val="0"/>
                      </a:ext>
                    </a:extLst>
                  </a:blip>
                  <a:srcRect/>
                  <a:stretch>
                    <a:fillRect/>
                  </a:stretch>
                </pic:blipFill>
                <pic:spPr bwMode="auto">
                  <a:xfrm>
                    <a:off x="0" y="0"/>
                    <a:ext cx="5258435" cy="15862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950"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26"/>
      <w:gridCol w:w="4567"/>
      <w:gridCol w:w="3503"/>
    </w:tblGrid>
    <w:tr w:rsidR="00B60CA1" w:rsidRPr="006374A6" w14:paraId="071FE305" w14:textId="77777777" w:rsidTr="00431BB6">
      <w:trPr>
        <w:cantSplit/>
        <w:trHeight w:val="706"/>
      </w:trPr>
      <w:tc>
        <w:tcPr>
          <w:tcW w:w="1579" w:type="pct"/>
          <w:vMerge w:val="restart"/>
          <w:vAlign w:val="center"/>
        </w:tcPr>
        <w:p w14:paraId="03DF4DE2" w14:textId="77777777" w:rsidR="00B60CA1" w:rsidRPr="006374A6" w:rsidRDefault="00B60CA1" w:rsidP="00431BB6">
          <w:pPr>
            <w:jc w:val="center"/>
            <w:rPr>
              <w:rFonts w:ascii="Arial Narrow" w:hAnsi="Arial Narrow" w:cs="Arial"/>
              <w:b/>
            </w:rPr>
          </w:pPr>
          <w:r w:rsidRPr="006374A6">
            <w:rPr>
              <w:rFonts w:ascii="Arial Narrow" w:hAnsi="Arial Narrow" w:cs="Arial"/>
              <w:bCs/>
              <w:spacing w:val="-6"/>
            </w:rPr>
            <w:t>MINISTERIO DE AMBIENTE Y DESARROLLO SOSTENIBLE</w:t>
          </w:r>
        </w:p>
      </w:tc>
      <w:tc>
        <w:tcPr>
          <w:tcW w:w="1936" w:type="pct"/>
          <w:shd w:val="clear" w:color="auto" w:fill="4472C4"/>
          <w:vAlign w:val="center"/>
        </w:tcPr>
        <w:p w14:paraId="3F638D5A" w14:textId="77777777" w:rsidR="00B60CA1" w:rsidRPr="00431BB6" w:rsidRDefault="00B60CA1" w:rsidP="00431BB6">
          <w:pPr>
            <w:spacing w:before="60"/>
            <w:ind w:right="-40"/>
            <w:jc w:val="center"/>
            <w:rPr>
              <w:rFonts w:ascii="Arial Narrow" w:hAnsi="Arial Narrow" w:cs="Arial"/>
              <w:b/>
              <w:color w:val="FFFFFF"/>
              <w:sz w:val="24"/>
              <w:szCs w:val="24"/>
            </w:rPr>
          </w:pPr>
          <w:r w:rsidRPr="00431BB6">
            <w:rPr>
              <w:rFonts w:ascii="Arial Narrow" w:hAnsi="Arial Narrow"/>
              <w:b/>
              <w:color w:val="FFFFFF"/>
              <w:sz w:val="24"/>
              <w:szCs w:val="24"/>
            </w:rPr>
            <w:t>MEMORIA JUSTIFICATIVA</w:t>
          </w:r>
        </w:p>
      </w:tc>
      <w:tc>
        <w:tcPr>
          <w:tcW w:w="1485" w:type="pct"/>
          <w:vMerge w:val="restart"/>
          <w:vAlign w:val="center"/>
        </w:tcPr>
        <w:p w14:paraId="423A020D" w14:textId="77777777" w:rsidR="00B60CA1" w:rsidRPr="006374A6" w:rsidRDefault="00B60CA1" w:rsidP="00431BB6">
          <w:pPr>
            <w:ind w:right="-42"/>
            <w:jc w:val="center"/>
            <w:rPr>
              <w:rFonts w:ascii="Arial Narrow" w:hAnsi="Arial Narrow" w:cs="Arial"/>
              <w:b/>
            </w:rPr>
          </w:pPr>
          <w:r w:rsidRPr="006374A6">
            <w:rPr>
              <w:rFonts w:ascii="Arial Narrow" w:hAnsi="Arial Narrow" w:cs="Arial"/>
              <w:b/>
              <w:noProof/>
              <w:lang w:val="es-CO" w:eastAsia="es-CO"/>
            </w:rPr>
            <w:drawing>
              <wp:anchor distT="0" distB="0" distL="114300" distR="114300" simplePos="0" relativeHeight="251658240" behindDoc="0" locked="0" layoutInCell="1" allowOverlap="1" wp14:anchorId="4D1FC797" wp14:editId="07777777">
                <wp:simplePos x="0" y="0"/>
                <wp:positionH relativeFrom="margin">
                  <wp:posOffset>233680</wp:posOffset>
                </wp:positionH>
                <wp:positionV relativeFrom="margin">
                  <wp:posOffset>146050</wp:posOffset>
                </wp:positionV>
                <wp:extent cx="1536700" cy="398780"/>
                <wp:effectExtent l="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6700" cy="398780"/>
                        </a:xfrm>
                        <a:prstGeom prst="rect">
                          <a:avLst/>
                        </a:prstGeom>
                        <a:noFill/>
                      </pic:spPr>
                    </pic:pic>
                  </a:graphicData>
                </a:graphic>
                <wp14:sizeRelH relativeFrom="page">
                  <wp14:pctWidth>0</wp14:pctWidth>
                </wp14:sizeRelH>
                <wp14:sizeRelV relativeFrom="page">
                  <wp14:pctHeight>0</wp14:pctHeight>
                </wp14:sizeRelV>
              </wp:anchor>
            </w:drawing>
          </w:r>
        </w:p>
      </w:tc>
    </w:tr>
    <w:tr w:rsidR="00B60CA1" w:rsidRPr="006374A6" w14:paraId="5BC3BA08" w14:textId="77777777" w:rsidTr="00431BB6">
      <w:trPr>
        <w:cantSplit/>
        <w:trHeight w:val="273"/>
      </w:trPr>
      <w:tc>
        <w:tcPr>
          <w:tcW w:w="1579" w:type="pct"/>
          <w:vMerge/>
          <w:vAlign w:val="center"/>
        </w:tcPr>
        <w:p w14:paraId="3C8EC45C" w14:textId="77777777" w:rsidR="00B60CA1" w:rsidRPr="006374A6" w:rsidRDefault="00B60CA1" w:rsidP="00431BB6">
          <w:pPr>
            <w:jc w:val="center"/>
            <w:rPr>
              <w:rFonts w:ascii="Arial Narrow" w:hAnsi="Arial Narrow" w:cs="Arial"/>
              <w:bCs/>
              <w:spacing w:val="-6"/>
            </w:rPr>
          </w:pPr>
        </w:p>
      </w:tc>
      <w:tc>
        <w:tcPr>
          <w:tcW w:w="1936" w:type="pct"/>
          <w:shd w:val="clear" w:color="auto" w:fill="E6EFFD"/>
          <w:vAlign w:val="center"/>
        </w:tcPr>
        <w:p w14:paraId="50D793E1" w14:textId="77777777" w:rsidR="00B60CA1" w:rsidRPr="006374A6" w:rsidRDefault="00B60CA1" w:rsidP="00431BB6">
          <w:pPr>
            <w:ind w:right="-42"/>
            <w:jc w:val="center"/>
            <w:rPr>
              <w:rFonts w:ascii="Arial Narrow" w:hAnsi="Arial Narrow" w:cs="Arial"/>
              <w:bCs/>
              <w:spacing w:val="-6"/>
            </w:rPr>
          </w:pPr>
          <w:r w:rsidRPr="00431BB6">
            <w:rPr>
              <w:rFonts w:ascii="Arial Narrow" w:hAnsi="Arial Narrow" w:cs="Arial"/>
              <w:b/>
              <w:spacing w:val="-6"/>
            </w:rPr>
            <w:t>Proceso:</w:t>
          </w:r>
          <w:r w:rsidRPr="006374A6">
            <w:rPr>
              <w:rFonts w:ascii="Arial Narrow" w:hAnsi="Arial Narrow" w:cs="Arial"/>
              <w:bCs/>
              <w:spacing w:val="-6"/>
            </w:rPr>
            <w:t xml:space="preserve"> </w:t>
          </w:r>
          <w:r>
            <w:rPr>
              <w:rFonts w:ascii="Arial Narrow" w:hAnsi="Arial Narrow" w:cs="Arial"/>
              <w:bCs/>
              <w:spacing w:val="-6"/>
            </w:rPr>
            <w:t>Gestión Jurídica</w:t>
          </w:r>
        </w:p>
      </w:tc>
      <w:tc>
        <w:tcPr>
          <w:tcW w:w="1485" w:type="pct"/>
          <w:vMerge/>
          <w:vAlign w:val="center"/>
        </w:tcPr>
        <w:p w14:paraId="326DC100" w14:textId="77777777" w:rsidR="00B60CA1" w:rsidRPr="006374A6" w:rsidRDefault="00B60CA1" w:rsidP="00431BB6">
          <w:pPr>
            <w:ind w:right="-42"/>
            <w:jc w:val="center"/>
            <w:rPr>
              <w:rFonts w:ascii="Arial Narrow" w:hAnsi="Arial Narrow" w:cs="Arial"/>
              <w:bCs/>
              <w:spacing w:val="-6"/>
            </w:rPr>
          </w:pPr>
        </w:p>
      </w:tc>
    </w:tr>
    <w:tr w:rsidR="00B60CA1" w:rsidRPr="006374A6" w14:paraId="6BDF6EBE" w14:textId="77777777" w:rsidTr="00431BB6">
      <w:trPr>
        <w:cantSplit/>
        <w:trHeight w:val="278"/>
      </w:trPr>
      <w:tc>
        <w:tcPr>
          <w:tcW w:w="1579" w:type="pct"/>
          <w:vAlign w:val="center"/>
        </w:tcPr>
        <w:p w14:paraId="1023F1B5" w14:textId="77777777" w:rsidR="00B60CA1" w:rsidRPr="006374A6" w:rsidRDefault="00B60CA1" w:rsidP="00431BB6">
          <w:pPr>
            <w:jc w:val="center"/>
            <w:rPr>
              <w:rFonts w:ascii="Arial Narrow" w:hAnsi="Arial Narrow" w:cs="Arial"/>
              <w:bCs/>
              <w:color w:val="FF0000"/>
              <w:spacing w:val="-6"/>
              <w:lang w:val="en-US"/>
            </w:rPr>
          </w:pPr>
          <w:r w:rsidRPr="00431BB6">
            <w:rPr>
              <w:rFonts w:ascii="Arial Narrow" w:hAnsi="Arial Narrow" w:cs="Arial"/>
              <w:b/>
              <w:color w:val="FF0000"/>
              <w:spacing w:val="-6"/>
            </w:rPr>
            <w:t>Versión:</w:t>
          </w:r>
          <w:r w:rsidRPr="006374A6">
            <w:rPr>
              <w:rFonts w:ascii="Arial Narrow" w:hAnsi="Arial Narrow" w:cs="Arial"/>
              <w:bCs/>
              <w:color w:val="FF0000"/>
              <w:spacing w:val="-6"/>
            </w:rPr>
            <w:t xml:space="preserve"> </w:t>
          </w:r>
          <w:r>
            <w:rPr>
              <w:rFonts w:ascii="Arial Narrow" w:hAnsi="Arial Narrow" w:cs="Arial"/>
              <w:bCs/>
              <w:color w:val="FF0000"/>
              <w:spacing w:val="-6"/>
            </w:rPr>
            <w:t>3</w:t>
          </w:r>
        </w:p>
      </w:tc>
      <w:tc>
        <w:tcPr>
          <w:tcW w:w="1936" w:type="pct"/>
          <w:vAlign w:val="center"/>
        </w:tcPr>
        <w:p w14:paraId="155900AA" w14:textId="77777777" w:rsidR="00B60CA1" w:rsidRPr="006374A6" w:rsidRDefault="00B60CA1" w:rsidP="00431BB6">
          <w:pPr>
            <w:ind w:right="-42"/>
            <w:jc w:val="center"/>
            <w:rPr>
              <w:rFonts w:ascii="Arial Narrow" w:hAnsi="Arial Narrow" w:cs="Arial"/>
              <w:bCs/>
              <w:color w:val="FF0000"/>
              <w:spacing w:val="-6"/>
            </w:rPr>
          </w:pPr>
          <w:r w:rsidRPr="00431BB6">
            <w:rPr>
              <w:rFonts w:ascii="Arial Narrow" w:hAnsi="Arial Narrow" w:cs="Arial"/>
              <w:b/>
              <w:color w:val="FF0000"/>
              <w:spacing w:val="-6"/>
            </w:rPr>
            <w:t>Vigencia:</w:t>
          </w:r>
          <w:r w:rsidRPr="006374A6">
            <w:rPr>
              <w:rFonts w:ascii="Arial Narrow" w:hAnsi="Arial Narrow" w:cs="Arial"/>
              <w:bCs/>
              <w:color w:val="FF0000"/>
              <w:spacing w:val="-6"/>
            </w:rPr>
            <w:t xml:space="preserve"> </w:t>
          </w:r>
          <w:r>
            <w:rPr>
              <w:rFonts w:ascii="Arial Narrow" w:hAnsi="Arial Narrow" w:cs="Arial"/>
              <w:bCs/>
              <w:color w:val="FF0000"/>
              <w:spacing w:val="-6"/>
            </w:rPr>
            <w:t>15/10/2020</w:t>
          </w:r>
        </w:p>
      </w:tc>
      <w:tc>
        <w:tcPr>
          <w:tcW w:w="1485" w:type="pct"/>
          <w:vAlign w:val="center"/>
        </w:tcPr>
        <w:p w14:paraId="475557E5" w14:textId="77777777" w:rsidR="00B60CA1" w:rsidRPr="006374A6" w:rsidRDefault="00B60CA1" w:rsidP="00431BB6">
          <w:pPr>
            <w:ind w:right="-42"/>
            <w:jc w:val="center"/>
            <w:rPr>
              <w:rFonts w:ascii="Arial Narrow" w:hAnsi="Arial Narrow" w:cs="Arial"/>
              <w:bCs/>
              <w:color w:val="FF0000"/>
              <w:spacing w:val="-6"/>
            </w:rPr>
          </w:pPr>
          <w:r w:rsidRPr="00431BB6">
            <w:rPr>
              <w:rFonts w:ascii="Arial Narrow" w:hAnsi="Arial Narrow" w:cs="Arial"/>
              <w:b/>
              <w:color w:val="FF0000"/>
              <w:spacing w:val="-6"/>
            </w:rPr>
            <w:t>Código:</w:t>
          </w:r>
          <w:r w:rsidRPr="006374A6">
            <w:rPr>
              <w:rFonts w:ascii="Arial Narrow" w:hAnsi="Arial Narrow" w:cs="Arial"/>
              <w:bCs/>
              <w:color w:val="FF0000"/>
              <w:spacing w:val="-6"/>
            </w:rPr>
            <w:t xml:space="preserve"> </w:t>
          </w:r>
          <w:r>
            <w:rPr>
              <w:rFonts w:ascii="Arial Narrow" w:hAnsi="Arial Narrow" w:cs="Arial"/>
              <w:bCs/>
              <w:color w:val="FF0000"/>
              <w:spacing w:val="-6"/>
            </w:rPr>
            <w:t>F-A-GJR-07</w:t>
          </w:r>
        </w:p>
      </w:tc>
    </w:tr>
  </w:tbl>
  <w:p w14:paraId="0A821549" w14:textId="0AE52C8B" w:rsidR="00B60CA1" w:rsidRDefault="00000000">
    <w:pPr>
      <w:pStyle w:val="Encabezado"/>
    </w:pPr>
    <w:r>
      <w:rPr>
        <w:noProof/>
      </w:rPr>
      <w:pict w14:anchorId="31B8E67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05635109" o:spid="_x0000_s1025" type="#_x0000_t136" alt="" style="position:absolute;margin-left:0;margin-top:0;width:655.65pt;height:43.7pt;rotation:315;z-index:-25165823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OCUMENTO EN CONSTRUCCIÓN"/>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7174F"/>
    <w:multiLevelType w:val="multilevel"/>
    <w:tmpl w:val="173CDC9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Symbol" w:hAnsi="Symbo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957163"/>
    <w:multiLevelType w:val="hybridMultilevel"/>
    <w:tmpl w:val="88D60FB2"/>
    <w:lvl w:ilvl="0" w:tplc="318E757A">
      <w:start w:val="1"/>
      <w:numFmt w:val="bullet"/>
      <w:lvlText w:val=""/>
      <w:lvlJc w:val="left"/>
      <w:pPr>
        <w:ind w:left="1068" w:hanging="360"/>
      </w:pPr>
      <w:rPr>
        <w:rFonts w:ascii="Symbol" w:hAnsi="Symbol" w:hint="default"/>
        <w:color w:val="auto"/>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2" w15:restartNumberingAfterBreak="0">
    <w:nsid w:val="118437E3"/>
    <w:multiLevelType w:val="multilevel"/>
    <w:tmpl w:val="8B8E3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817BBB"/>
    <w:multiLevelType w:val="multilevel"/>
    <w:tmpl w:val="1BCCE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A36679"/>
    <w:multiLevelType w:val="hybridMultilevel"/>
    <w:tmpl w:val="269EF4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6EF7187"/>
    <w:multiLevelType w:val="hybridMultilevel"/>
    <w:tmpl w:val="9A704818"/>
    <w:lvl w:ilvl="0" w:tplc="74A6A9E0">
      <w:start w:val="3"/>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850637D"/>
    <w:multiLevelType w:val="hybridMultilevel"/>
    <w:tmpl w:val="52F859B4"/>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E914D6B"/>
    <w:multiLevelType w:val="multilevel"/>
    <w:tmpl w:val="CCB252FE"/>
    <w:lvl w:ilvl="0">
      <w:start w:val="1"/>
      <w:numFmt w:val="decimal"/>
      <w:lvlText w:val="%1."/>
      <w:lvlJc w:val="left"/>
      <w:pPr>
        <w:ind w:left="860" w:hanging="360"/>
      </w:pPr>
      <w:rPr>
        <w:rFonts w:hint="default"/>
        <w:b/>
      </w:rPr>
    </w:lvl>
    <w:lvl w:ilvl="1">
      <w:start w:val="4"/>
      <w:numFmt w:val="decimal"/>
      <w:isLgl/>
      <w:lvlText w:val="%1.%2."/>
      <w:lvlJc w:val="left"/>
      <w:pPr>
        <w:ind w:left="860" w:hanging="360"/>
      </w:pPr>
      <w:rPr>
        <w:rFonts w:hint="default"/>
      </w:rPr>
    </w:lvl>
    <w:lvl w:ilvl="2">
      <w:start w:val="1"/>
      <w:numFmt w:val="decimal"/>
      <w:isLgl/>
      <w:lvlText w:val="%1.%2.%3."/>
      <w:lvlJc w:val="left"/>
      <w:pPr>
        <w:ind w:left="1220" w:hanging="720"/>
      </w:pPr>
      <w:rPr>
        <w:rFonts w:hint="default"/>
      </w:rPr>
    </w:lvl>
    <w:lvl w:ilvl="3">
      <w:start w:val="1"/>
      <w:numFmt w:val="decimal"/>
      <w:isLgl/>
      <w:lvlText w:val="%1.%2.%3.%4."/>
      <w:lvlJc w:val="left"/>
      <w:pPr>
        <w:ind w:left="1220" w:hanging="720"/>
      </w:pPr>
      <w:rPr>
        <w:rFonts w:hint="default"/>
      </w:rPr>
    </w:lvl>
    <w:lvl w:ilvl="4">
      <w:start w:val="1"/>
      <w:numFmt w:val="decimal"/>
      <w:isLgl/>
      <w:lvlText w:val="%1.%2.%3.%4.%5."/>
      <w:lvlJc w:val="left"/>
      <w:pPr>
        <w:ind w:left="1580" w:hanging="1080"/>
      </w:pPr>
      <w:rPr>
        <w:rFonts w:hint="default"/>
      </w:rPr>
    </w:lvl>
    <w:lvl w:ilvl="5">
      <w:start w:val="1"/>
      <w:numFmt w:val="decimal"/>
      <w:isLgl/>
      <w:lvlText w:val="%1.%2.%3.%4.%5.%6."/>
      <w:lvlJc w:val="left"/>
      <w:pPr>
        <w:ind w:left="1580" w:hanging="1080"/>
      </w:pPr>
      <w:rPr>
        <w:rFonts w:hint="default"/>
      </w:rPr>
    </w:lvl>
    <w:lvl w:ilvl="6">
      <w:start w:val="1"/>
      <w:numFmt w:val="decimal"/>
      <w:isLgl/>
      <w:lvlText w:val="%1.%2.%3.%4.%5.%6.%7."/>
      <w:lvlJc w:val="left"/>
      <w:pPr>
        <w:ind w:left="1580" w:hanging="1080"/>
      </w:pPr>
      <w:rPr>
        <w:rFonts w:hint="default"/>
      </w:rPr>
    </w:lvl>
    <w:lvl w:ilvl="7">
      <w:start w:val="1"/>
      <w:numFmt w:val="decimal"/>
      <w:isLgl/>
      <w:lvlText w:val="%1.%2.%3.%4.%5.%6.%7.%8."/>
      <w:lvlJc w:val="left"/>
      <w:pPr>
        <w:ind w:left="1940" w:hanging="1440"/>
      </w:pPr>
      <w:rPr>
        <w:rFonts w:hint="default"/>
      </w:rPr>
    </w:lvl>
    <w:lvl w:ilvl="8">
      <w:start w:val="1"/>
      <w:numFmt w:val="decimal"/>
      <w:isLgl/>
      <w:lvlText w:val="%1.%2.%3.%4.%5.%6.%7.%8.%9."/>
      <w:lvlJc w:val="left"/>
      <w:pPr>
        <w:ind w:left="1940" w:hanging="1440"/>
      </w:pPr>
      <w:rPr>
        <w:rFonts w:hint="default"/>
      </w:rPr>
    </w:lvl>
  </w:abstractNum>
  <w:abstractNum w:abstractNumId="8" w15:restartNumberingAfterBreak="0">
    <w:nsid w:val="20A9368B"/>
    <w:multiLevelType w:val="multilevel"/>
    <w:tmpl w:val="1AB4E28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664A56"/>
    <w:multiLevelType w:val="multilevel"/>
    <w:tmpl w:val="253AA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D529F6"/>
    <w:multiLevelType w:val="hybridMultilevel"/>
    <w:tmpl w:val="3A5EB950"/>
    <w:lvl w:ilvl="0" w:tplc="A92C68B6">
      <w:start w:val="1"/>
      <w:numFmt w:val="lowerLetter"/>
      <w:lvlText w:val="%1)"/>
      <w:lvlJc w:val="left"/>
      <w:pPr>
        <w:ind w:left="360" w:hanging="360"/>
      </w:pPr>
      <w:rPr>
        <w:rFonts w:hint="default"/>
        <w:b w:val="0"/>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1" w15:restartNumberingAfterBreak="0">
    <w:nsid w:val="2A6B0B38"/>
    <w:multiLevelType w:val="hybridMultilevel"/>
    <w:tmpl w:val="0E9E18F2"/>
    <w:lvl w:ilvl="0" w:tplc="240A0001">
      <w:start w:val="1"/>
      <w:numFmt w:val="bullet"/>
      <w:lvlText w:val=""/>
      <w:lvlJc w:val="left"/>
      <w:pPr>
        <w:ind w:left="1219" w:hanging="360"/>
      </w:pPr>
      <w:rPr>
        <w:rFonts w:ascii="Symbol" w:hAnsi="Symbol" w:hint="default"/>
      </w:rPr>
    </w:lvl>
    <w:lvl w:ilvl="1" w:tplc="240A0003" w:tentative="1">
      <w:start w:val="1"/>
      <w:numFmt w:val="bullet"/>
      <w:lvlText w:val="o"/>
      <w:lvlJc w:val="left"/>
      <w:pPr>
        <w:ind w:left="1939" w:hanging="360"/>
      </w:pPr>
      <w:rPr>
        <w:rFonts w:ascii="Courier New" w:hAnsi="Courier New" w:cs="Courier New" w:hint="default"/>
      </w:rPr>
    </w:lvl>
    <w:lvl w:ilvl="2" w:tplc="240A0005" w:tentative="1">
      <w:start w:val="1"/>
      <w:numFmt w:val="bullet"/>
      <w:lvlText w:val=""/>
      <w:lvlJc w:val="left"/>
      <w:pPr>
        <w:ind w:left="2659" w:hanging="360"/>
      </w:pPr>
      <w:rPr>
        <w:rFonts w:ascii="Wingdings" w:hAnsi="Wingdings" w:hint="default"/>
      </w:rPr>
    </w:lvl>
    <w:lvl w:ilvl="3" w:tplc="240A0001" w:tentative="1">
      <w:start w:val="1"/>
      <w:numFmt w:val="bullet"/>
      <w:lvlText w:val=""/>
      <w:lvlJc w:val="left"/>
      <w:pPr>
        <w:ind w:left="3379" w:hanging="360"/>
      </w:pPr>
      <w:rPr>
        <w:rFonts w:ascii="Symbol" w:hAnsi="Symbol" w:hint="default"/>
      </w:rPr>
    </w:lvl>
    <w:lvl w:ilvl="4" w:tplc="240A0003" w:tentative="1">
      <w:start w:val="1"/>
      <w:numFmt w:val="bullet"/>
      <w:lvlText w:val="o"/>
      <w:lvlJc w:val="left"/>
      <w:pPr>
        <w:ind w:left="4099" w:hanging="360"/>
      </w:pPr>
      <w:rPr>
        <w:rFonts w:ascii="Courier New" w:hAnsi="Courier New" w:cs="Courier New" w:hint="default"/>
      </w:rPr>
    </w:lvl>
    <w:lvl w:ilvl="5" w:tplc="240A0005" w:tentative="1">
      <w:start w:val="1"/>
      <w:numFmt w:val="bullet"/>
      <w:lvlText w:val=""/>
      <w:lvlJc w:val="left"/>
      <w:pPr>
        <w:ind w:left="4819" w:hanging="360"/>
      </w:pPr>
      <w:rPr>
        <w:rFonts w:ascii="Wingdings" w:hAnsi="Wingdings" w:hint="default"/>
      </w:rPr>
    </w:lvl>
    <w:lvl w:ilvl="6" w:tplc="240A0001" w:tentative="1">
      <w:start w:val="1"/>
      <w:numFmt w:val="bullet"/>
      <w:lvlText w:val=""/>
      <w:lvlJc w:val="left"/>
      <w:pPr>
        <w:ind w:left="5539" w:hanging="360"/>
      </w:pPr>
      <w:rPr>
        <w:rFonts w:ascii="Symbol" w:hAnsi="Symbol" w:hint="default"/>
      </w:rPr>
    </w:lvl>
    <w:lvl w:ilvl="7" w:tplc="240A0003" w:tentative="1">
      <w:start w:val="1"/>
      <w:numFmt w:val="bullet"/>
      <w:lvlText w:val="o"/>
      <w:lvlJc w:val="left"/>
      <w:pPr>
        <w:ind w:left="6259" w:hanging="360"/>
      </w:pPr>
      <w:rPr>
        <w:rFonts w:ascii="Courier New" w:hAnsi="Courier New" w:cs="Courier New" w:hint="default"/>
      </w:rPr>
    </w:lvl>
    <w:lvl w:ilvl="8" w:tplc="240A0005" w:tentative="1">
      <w:start w:val="1"/>
      <w:numFmt w:val="bullet"/>
      <w:lvlText w:val=""/>
      <w:lvlJc w:val="left"/>
      <w:pPr>
        <w:ind w:left="6979" w:hanging="360"/>
      </w:pPr>
      <w:rPr>
        <w:rFonts w:ascii="Wingdings" w:hAnsi="Wingdings" w:hint="default"/>
      </w:rPr>
    </w:lvl>
  </w:abstractNum>
  <w:abstractNum w:abstractNumId="12" w15:restartNumberingAfterBreak="0">
    <w:nsid w:val="2CA45355"/>
    <w:multiLevelType w:val="multilevel"/>
    <w:tmpl w:val="6CBA7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4F7968"/>
    <w:multiLevelType w:val="multilevel"/>
    <w:tmpl w:val="9E64E2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B45121"/>
    <w:multiLevelType w:val="multilevel"/>
    <w:tmpl w:val="5AD4F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5C87B2D"/>
    <w:multiLevelType w:val="multilevel"/>
    <w:tmpl w:val="2B0CC680"/>
    <w:lvl w:ilvl="0">
      <w:start w:val="1"/>
      <w:numFmt w:val="decimal"/>
      <w:lvlText w:val="%1."/>
      <w:lvlJc w:val="left"/>
      <w:pPr>
        <w:ind w:left="720" w:hanging="360"/>
      </w:pPr>
      <w:rPr>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37545FB6"/>
    <w:multiLevelType w:val="hybridMultilevel"/>
    <w:tmpl w:val="246469B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0">
    <w:nsid w:val="37BD79F7"/>
    <w:multiLevelType w:val="multilevel"/>
    <w:tmpl w:val="6798CF5C"/>
    <w:lvl w:ilvl="0">
      <w:start w:val="1"/>
      <w:numFmt w:val="decimal"/>
      <w:lvlText w:val="%1."/>
      <w:lvlJc w:val="left"/>
      <w:pPr>
        <w:tabs>
          <w:tab w:val="num" w:pos="720"/>
        </w:tabs>
        <w:ind w:left="720" w:hanging="360"/>
      </w:pPr>
      <w:rPr>
        <w:rFonts w:ascii="Arial Narrow" w:eastAsia="Times New Roman" w:hAnsi="Arial Narrow" w:cs="Aria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CBB122A"/>
    <w:multiLevelType w:val="hybridMultilevel"/>
    <w:tmpl w:val="3EF47A76"/>
    <w:lvl w:ilvl="0" w:tplc="6BE494D6">
      <w:start w:val="1"/>
      <w:numFmt w:val="lowerLetter"/>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9" w15:restartNumberingAfterBreak="0">
    <w:nsid w:val="417971EE"/>
    <w:multiLevelType w:val="multilevel"/>
    <w:tmpl w:val="24FC1F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6032555"/>
    <w:multiLevelType w:val="hybridMultilevel"/>
    <w:tmpl w:val="1AD01C6E"/>
    <w:lvl w:ilvl="0" w:tplc="240A0001">
      <w:start w:val="1"/>
      <w:numFmt w:val="bullet"/>
      <w:lvlText w:val=""/>
      <w:lvlJc w:val="left"/>
      <w:pPr>
        <w:ind w:left="774" w:hanging="360"/>
      </w:pPr>
      <w:rPr>
        <w:rFonts w:ascii="Symbol" w:hAnsi="Symbol" w:hint="default"/>
      </w:rPr>
    </w:lvl>
    <w:lvl w:ilvl="1" w:tplc="240A0003" w:tentative="1">
      <w:start w:val="1"/>
      <w:numFmt w:val="bullet"/>
      <w:lvlText w:val="o"/>
      <w:lvlJc w:val="left"/>
      <w:pPr>
        <w:ind w:left="1494" w:hanging="360"/>
      </w:pPr>
      <w:rPr>
        <w:rFonts w:ascii="Courier New" w:hAnsi="Courier New" w:cs="Courier New" w:hint="default"/>
      </w:rPr>
    </w:lvl>
    <w:lvl w:ilvl="2" w:tplc="240A0005" w:tentative="1">
      <w:start w:val="1"/>
      <w:numFmt w:val="bullet"/>
      <w:lvlText w:val=""/>
      <w:lvlJc w:val="left"/>
      <w:pPr>
        <w:ind w:left="2214" w:hanging="360"/>
      </w:pPr>
      <w:rPr>
        <w:rFonts w:ascii="Wingdings" w:hAnsi="Wingdings" w:hint="default"/>
      </w:rPr>
    </w:lvl>
    <w:lvl w:ilvl="3" w:tplc="240A0001" w:tentative="1">
      <w:start w:val="1"/>
      <w:numFmt w:val="bullet"/>
      <w:lvlText w:val=""/>
      <w:lvlJc w:val="left"/>
      <w:pPr>
        <w:ind w:left="2934" w:hanging="360"/>
      </w:pPr>
      <w:rPr>
        <w:rFonts w:ascii="Symbol" w:hAnsi="Symbol" w:hint="default"/>
      </w:rPr>
    </w:lvl>
    <w:lvl w:ilvl="4" w:tplc="240A0003" w:tentative="1">
      <w:start w:val="1"/>
      <w:numFmt w:val="bullet"/>
      <w:lvlText w:val="o"/>
      <w:lvlJc w:val="left"/>
      <w:pPr>
        <w:ind w:left="3654" w:hanging="360"/>
      </w:pPr>
      <w:rPr>
        <w:rFonts w:ascii="Courier New" w:hAnsi="Courier New" w:cs="Courier New" w:hint="default"/>
      </w:rPr>
    </w:lvl>
    <w:lvl w:ilvl="5" w:tplc="240A0005" w:tentative="1">
      <w:start w:val="1"/>
      <w:numFmt w:val="bullet"/>
      <w:lvlText w:val=""/>
      <w:lvlJc w:val="left"/>
      <w:pPr>
        <w:ind w:left="4374" w:hanging="360"/>
      </w:pPr>
      <w:rPr>
        <w:rFonts w:ascii="Wingdings" w:hAnsi="Wingdings" w:hint="default"/>
      </w:rPr>
    </w:lvl>
    <w:lvl w:ilvl="6" w:tplc="240A0001" w:tentative="1">
      <w:start w:val="1"/>
      <w:numFmt w:val="bullet"/>
      <w:lvlText w:val=""/>
      <w:lvlJc w:val="left"/>
      <w:pPr>
        <w:ind w:left="5094" w:hanging="360"/>
      </w:pPr>
      <w:rPr>
        <w:rFonts w:ascii="Symbol" w:hAnsi="Symbol" w:hint="default"/>
      </w:rPr>
    </w:lvl>
    <w:lvl w:ilvl="7" w:tplc="240A0003" w:tentative="1">
      <w:start w:val="1"/>
      <w:numFmt w:val="bullet"/>
      <w:lvlText w:val="o"/>
      <w:lvlJc w:val="left"/>
      <w:pPr>
        <w:ind w:left="5814" w:hanging="360"/>
      </w:pPr>
      <w:rPr>
        <w:rFonts w:ascii="Courier New" w:hAnsi="Courier New" w:cs="Courier New" w:hint="default"/>
      </w:rPr>
    </w:lvl>
    <w:lvl w:ilvl="8" w:tplc="240A0005" w:tentative="1">
      <w:start w:val="1"/>
      <w:numFmt w:val="bullet"/>
      <w:lvlText w:val=""/>
      <w:lvlJc w:val="left"/>
      <w:pPr>
        <w:ind w:left="6534" w:hanging="360"/>
      </w:pPr>
      <w:rPr>
        <w:rFonts w:ascii="Wingdings" w:hAnsi="Wingdings" w:hint="default"/>
      </w:rPr>
    </w:lvl>
  </w:abstractNum>
  <w:abstractNum w:abstractNumId="21" w15:restartNumberingAfterBreak="0">
    <w:nsid w:val="46271A46"/>
    <w:multiLevelType w:val="hybridMultilevel"/>
    <w:tmpl w:val="0FEC37B0"/>
    <w:lvl w:ilvl="0" w:tplc="F24E61C4">
      <w:start w:val="3"/>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66B4B5A"/>
    <w:multiLevelType w:val="hybridMultilevel"/>
    <w:tmpl w:val="94C0EE40"/>
    <w:lvl w:ilvl="0" w:tplc="240A0019">
      <w:start w:val="2"/>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46AC6FC2"/>
    <w:multiLevelType w:val="hybridMultilevel"/>
    <w:tmpl w:val="8920FBC4"/>
    <w:lvl w:ilvl="0" w:tplc="240A0013">
      <w:start w:val="1"/>
      <w:numFmt w:val="upperRoman"/>
      <w:lvlText w:val="%1."/>
      <w:lvlJc w:val="right"/>
      <w:pPr>
        <w:ind w:left="1800" w:hanging="360"/>
      </w:pPr>
    </w:lvl>
    <w:lvl w:ilvl="1" w:tplc="240A0019" w:tentative="1">
      <w:start w:val="1"/>
      <w:numFmt w:val="lowerLetter"/>
      <w:lvlText w:val="%2."/>
      <w:lvlJc w:val="left"/>
      <w:pPr>
        <w:ind w:left="2520" w:hanging="360"/>
      </w:pPr>
    </w:lvl>
    <w:lvl w:ilvl="2" w:tplc="240A001B" w:tentative="1">
      <w:start w:val="1"/>
      <w:numFmt w:val="lowerRoman"/>
      <w:lvlText w:val="%3."/>
      <w:lvlJc w:val="right"/>
      <w:pPr>
        <w:ind w:left="3240" w:hanging="180"/>
      </w:pPr>
    </w:lvl>
    <w:lvl w:ilvl="3" w:tplc="240A000F" w:tentative="1">
      <w:start w:val="1"/>
      <w:numFmt w:val="decimal"/>
      <w:lvlText w:val="%4."/>
      <w:lvlJc w:val="left"/>
      <w:pPr>
        <w:ind w:left="3960" w:hanging="360"/>
      </w:pPr>
    </w:lvl>
    <w:lvl w:ilvl="4" w:tplc="240A0019" w:tentative="1">
      <w:start w:val="1"/>
      <w:numFmt w:val="lowerLetter"/>
      <w:lvlText w:val="%5."/>
      <w:lvlJc w:val="left"/>
      <w:pPr>
        <w:ind w:left="4680" w:hanging="360"/>
      </w:pPr>
    </w:lvl>
    <w:lvl w:ilvl="5" w:tplc="240A001B" w:tentative="1">
      <w:start w:val="1"/>
      <w:numFmt w:val="lowerRoman"/>
      <w:lvlText w:val="%6."/>
      <w:lvlJc w:val="right"/>
      <w:pPr>
        <w:ind w:left="5400" w:hanging="180"/>
      </w:pPr>
    </w:lvl>
    <w:lvl w:ilvl="6" w:tplc="240A000F" w:tentative="1">
      <w:start w:val="1"/>
      <w:numFmt w:val="decimal"/>
      <w:lvlText w:val="%7."/>
      <w:lvlJc w:val="left"/>
      <w:pPr>
        <w:ind w:left="6120" w:hanging="360"/>
      </w:pPr>
    </w:lvl>
    <w:lvl w:ilvl="7" w:tplc="240A0019" w:tentative="1">
      <w:start w:val="1"/>
      <w:numFmt w:val="lowerLetter"/>
      <w:lvlText w:val="%8."/>
      <w:lvlJc w:val="left"/>
      <w:pPr>
        <w:ind w:left="6840" w:hanging="360"/>
      </w:pPr>
    </w:lvl>
    <w:lvl w:ilvl="8" w:tplc="240A001B" w:tentative="1">
      <w:start w:val="1"/>
      <w:numFmt w:val="lowerRoman"/>
      <w:lvlText w:val="%9."/>
      <w:lvlJc w:val="right"/>
      <w:pPr>
        <w:ind w:left="7560" w:hanging="180"/>
      </w:pPr>
    </w:lvl>
  </w:abstractNum>
  <w:abstractNum w:abstractNumId="24" w15:restartNumberingAfterBreak="0">
    <w:nsid w:val="48E0EBE2"/>
    <w:multiLevelType w:val="hybridMultilevel"/>
    <w:tmpl w:val="125259E4"/>
    <w:lvl w:ilvl="0" w:tplc="00F0359C">
      <w:start w:val="1"/>
      <w:numFmt w:val="bullet"/>
      <w:lvlText w:val=""/>
      <w:lvlJc w:val="left"/>
      <w:pPr>
        <w:ind w:left="720" w:hanging="360"/>
      </w:pPr>
      <w:rPr>
        <w:rFonts w:ascii="Symbol" w:hAnsi="Symbol" w:hint="default"/>
      </w:rPr>
    </w:lvl>
    <w:lvl w:ilvl="1" w:tplc="093A4DF4">
      <w:start w:val="1"/>
      <w:numFmt w:val="bullet"/>
      <w:lvlText w:val="o"/>
      <w:lvlJc w:val="left"/>
      <w:pPr>
        <w:ind w:left="1440" w:hanging="360"/>
      </w:pPr>
      <w:rPr>
        <w:rFonts w:ascii="Courier New" w:hAnsi="Courier New" w:hint="default"/>
      </w:rPr>
    </w:lvl>
    <w:lvl w:ilvl="2" w:tplc="ED92A83E">
      <w:start w:val="1"/>
      <w:numFmt w:val="bullet"/>
      <w:lvlText w:val=""/>
      <w:lvlJc w:val="left"/>
      <w:pPr>
        <w:ind w:left="2160" w:hanging="360"/>
      </w:pPr>
      <w:rPr>
        <w:rFonts w:ascii="Wingdings" w:hAnsi="Wingdings" w:hint="default"/>
      </w:rPr>
    </w:lvl>
    <w:lvl w:ilvl="3" w:tplc="EB34B4E8">
      <w:start w:val="1"/>
      <w:numFmt w:val="bullet"/>
      <w:lvlText w:val=""/>
      <w:lvlJc w:val="left"/>
      <w:pPr>
        <w:ind w:left="2880" w:hanging="360"/>
      </w:pPr>
      <w:rPr>
        <w:rFonts w:ascii="Symbol" w:hAnsi="Symbol" w:hint="default"/>
      </w:rPr>
    </w:lvl>
    <w:lvl w:ilvl="4" w:tplc="9F1C601A">
      <w:start w:val="1"/>
      <w:numFmt w:val="bullet"/>
      <w:lvlText w:val="o"/>
      <w:lvlJc w:val="left"/>
      <w:pPr>
        <w:ind w:left="3600" w:hanging="360"/>
      </w:pPr>
      <w:rPr>
        <w:rFonts w:ascii="Courier New" w:hAnsi="Courier New" w:hint="default"/>
      </w:rPr>
    </w:lvl>
    <w:lvl w:ilvl="5" w:tplc="4C583AD6">
      <w:start w:val="1"/>
      <w:numFmt w:val="bullet"/>
      <w:lvlText w:val=""/>
      <w:lvlJc w:val="left"/>
      <w:pPr>
        <w:ind w:left="4320" w:hanging="360"/>
      </w:pPr>
      <w:rPr>
        <w:rFonts w:ascii="Wingdings" w:hAnsi="Wingdings" w:hint="default"/>
      </w:rPr>
    </w:lvl>
    <w:lvl w:ilvl="6" w:tplc="741A7E14">
      <w:start w:val="1"/>
      <w:numFmt w:val="bullet"/>
      <w:lvlText w:val=""/>
      <w:lvlJc w:val="left"/>
      <w:pPr>
        <w:ind w:left="5040" w:hanging="360"/>
      </w:pPr>
      <w:rPr>
        <w:rFonts w:ascii="Symbol" w:hAnsi="Symbol" w:hint="default"/>
      </w:rPr>
    </w:lvl>
    <w:lvl w:ilvl="7" w:tplc="52829ADC">
      <w:start w:val="1"/>
      <w:numFmt w:val="bullet"/>
      <w:lvlText w:val="o"/>
      <w:lvlJc w:val="left"/>
      <w:pPr>
        <w:ind w:left="5760" w:hanging="360"/>
      </w:pPr>
      <w:rPr>
        <w:rFonts w:ascii="Courier New" w:hAnsi="Courier New" w:hint="default"/>
      </w:rPr>
    </w:lvl>
    <w:lvl w:ilvl="8" w:tplc="6532CA1E">
      <w:start w:val="1"/>
      <w:numFmt w:val="bullet"/>
      <w:lvlText w:val=""/>
      <w:lvlJc w:val="left"/>
      <w:pPr>
        <w:ind w:left="6480" w:hanging="360"/>
      </w:pPr>
      <w:rPr>
        <w:rFonts w:ascii="Wingdings" w:hAnsi="Wingdings" w:hint="default"/>
      </w:rPr>
    </w:lvl>
  </w:abstractNum>
  <w:abstractNum w:abstractNumId="25" w15:restartNumberingAfterBreak="0">
    <w:nsid w:val="48E81D71"/>
    <w:multiLevelType w:val="hybridMultilevel"/>
    <w:tmpl w:val="759EC704"/>
    <w:lvl w:ilvl="0" w:tplc="FFFFFFFF">
      <w:start w:val="1"/>
      <w:numFmt w:val="bullet"/>
      <w:lvlText w:val=""/>
      <w:lvlJc w:val="left"/>
      <w:pPr>
        <w:ind w:left="1405" w:hanging="360"/>
      </w:pPr>
      <w:rPr>
        <w:rFonts w:ascii="Symbol" w:hAnsi="Symbol" w:hint="default"/>
      </w:rPr>
    </w:lvl>
    <w:lvl w:ilvl="1" w:tplc="FFFFFFFF" w:tentative="1">
      <w:start w:val="1"/>
      <w:numFmt w:val="bullet"/>
      <w:lvlText w:val="o"/>
      <w:lvlJc w:val="left"/>
      <w:pPr>
        <w:ind w:left="2125" w:hanging="360"/>
      </w:pPr>
      <w:rPr>
        <w:rFonts w:ascii="Courier New" w:hAnsi="Courier New" w:cs="Courier New" w:hint="default"/>
      </w:rPr>
    </w:lvl>
    <w:lvl w:ilvl="2" w:tplc="240A0001">
      <w:start w:val="1"/>
      <w:numFmt w:val="bullet"/>
      <w:lvlText w:val=""/>
      <w:lvlJc w:val="left"/>
      <w:pPr>
        <w:ind w:left="774" w:hanging="360"/>
      </w:pPr>
      <w:rPr>
        <w:rFonts w:ascii="Symbol" w:hAnsi="Symbol" w:hint="default"/>
      </w:rPr>
    </w:lvl>
    <w:lvl w:ilvl="3" w:tplc="FFFFFFFF" w:tentative="1">
      <w:start w:val="1"/>
      <w:numFmt w:val="bullet"/>
      <w:lvlText w:val=""/>
      <w:lvlJc w:val="left"/>
      <w:pPr>
        <w:ind w:left="3565" w:hanging="360"/>
      </w:pPr>
      <w:rPr>
        <w:rFonts w:ascii="Symbol" w:hAnsi="Symbol" w:hint="default"/>
      </w:rPr>
    </w:lvl>
    <w:lvl w:ilvl="4" w:tplc="FFFFFFFF" w:tentative="1">
      <w:start w:val="1"/>
      <w:numFmt w:val="bullet"/>
      <w:lvlText w:val="o"/>
      <w:lvlJc w:val="left"/>
      <w:pPr>
        <w:ind w:left="4285" w:hanging="360"/>
      </w:pPr>
      <w:rPr>
        <w:rFonts w:ascii="Courier New" w:hAnsi="Courier New" w:cs="Courier New" w:hint="default"/>
      </w:rPr>
    </w:lvl>
    <w:lvl w:ilvl="5" w:tplc="FFFFFFFF" w:tentative="1">
      <w:start w:val="1"/>
      <w:numFmt w:val="bullet"/>
      <w:lvlText w:val=""/>
      <w:lvlJc w:val="left"/>
      <w:pPr>
        <w:ind w:left="5005" w:hanging="360"/>
      </w:pPr>
      <w:rPr>
        <w:rFonts w:ascii="Wingdings" w:hAnsi="Wingdings" w:hint="default"/>
      </w:rPr>
    </w:lvl>
    <w:lvl w:ilvl="6" w:tplc="FFFFFFFF" w:tentative="1">
      <w:start w:val="1"/>
      <w:numFmt w:val="bullet"/>
      <w:lvlText w:val=""/>
      <w:lvlJc w:val="left"/>
      <w:pPr>
        <w:ind w:left="5725" w:hanging="360"/>
      </w:pPr>
      <w:rPr>
        <w:rFonts w:ascii="Symbol" w:hAnsi="Symbol" w:hint="default"/>
      </w:rPr>
    </w:lvl>
    <w:lvl w:ilvl="7" w:tplc="FFFFFFFF" w:tentative="1">
      <w:start w:val="1"/>
      <w:numFmt w:val="bullet"/>
      <w:lvlText w:val="o"/>
      <w:lvlJc w:val="left"/>
      <w:pPr>
        <w:ind w:left="6445" w:hanging="360"/>
      </w:pPr>
      <w:rPr>
        <w:rFonts w:ascii="Courier New" w:hAnsi="Courier New" w:cs="Courier New" w:hint="default"/>
      </w:rPr>
    </w:lvl>
    <w:lvl w:ilvl="8" w:tplc="FFFFFFFF" w:tentative="1">
      <w:start w:val="1"/>
      <w:numFmt w:val="bullet"/>
      <w:lvlText w:val=""/>
      <w:lvlJc w:val="left"/>
      <w:pPr>
        <w:ind w:left="7165" w:hanging="360"/>
      </w:pPr>
      <w:rPr>
        <w:rFonts w:ascii="Wingdings" w:hAnsi="Wingdings" w:hint="default"/>
      </w:rPr>
    </w:lvl>
  </w:abstractNum>
  <w:abstractNum w:abstractNumId="26" w15:restartNumberingAfterBreak="0">
    <w:nsid w:val="4AC24BF9"/>
    <w:multiLevelType w:val="hybridMultilevel"/>
    <w:tmpl w:val="CCFEB7B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7" w15:restartNumberingAfterBreak="0">
    <w:nsid w:val="4B2F13C4"/>
    <w:multiLevelType w:val="multilevel"/>
    <w:tmpl w:val="E996A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F9D036E"/>
    <w:multiLevelType w:val="hybridMultilevel"/>
    <w:tmpl w:val="634CCC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54D11314"/>
    <w:multiLevelType w:val="multilevel"/>
    <w:tmpl w:val="FE5822B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numFmt w:val="bullet"/>
      <w:lvlText w:val="•"/>
      <w:lvlJc w:val="left"/>
      <w:pPr>
        <w:ind w:left="1335" w:hanging="705"/>
      </w:pPr>
      <w:rPr>
        <w:rFonts w:ascii="Arial Narrow" w:eastAsia="Times New Roman" w:hAnsi="Arial Narrow" w:cs="Arial" w:hint="default"/>
      </w:rPr>
    </w:lvl>
    <w:lvl w:ilvl="3">
      <w:start w:val="3"/>
      <w:numFmt w:val="lowerLetter"/>
      <w:lvlText w:val="%4."/>
      <w:lvlJc w:val="left"/>
      <w:pPr>
        <w:ind w:left="630" w:hanging="360"/>
      </w:pPr>
      <w:rPr>
        <w:rFonts w:ascii="Arial Narrow" w:eastAsia="Times New Roman" w:hAnsi="Arial Narrow" w:hint="default"/>
        <w:sz w:val="24"/>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50E4062"/>
    <w:multiLevelType w:val="multilevel"/>
    <w:tmpl w:val="E9585C96"/>
    <w:lvl w:ilvl="0">
      <w:start w:val="1"/>
      <w:numFmt w:val="decimal"/>
      <w:pStyle w:val="Ttulo1Arial"/>
      <w:lvlText w:val="%1"/>
      <w:lvlJc w:val="left"/>
      <w:pPr>
        <w:ind w:left="432" w:hanging="432"/>
      </w:pPr>
      <w:rPr>
        <w:rFonts w:ascii="Arial" w:hAnsi="Arial" w:hint="default"/>
        <w:b/>
        <w:i w:val="0"/>
        <w:sz w:val="22"/>
        <w:szCs w:val="24"/>
      </w:rPr>
    </w:lvl>
    <w:lvl w:ilvl="1">
      <w:start w:val="1"/>
      <w:numFmt w:val="decimal"/>
      <w:pStyle w:val="Ttulo2Arial"/>
      <w:lvlText w:val="%1.%2"/>
      <w:lvlJc w:val="left"/>
      <w:pPr>
        <w:ind w:left="576" w:hanging="576"/>
      </w:pPr>
      <w:rPr>
        <w:rFonts w:ascii="Arial" w:hAnsi="Arial" w:hint="default"/>
        <w:b/>
        <w:i w:val="0"/>
        <w:sz w:val="24"/>
      </w:rPr>
    </w:lvl>
    <w:lvl w:ilvl="2">
      <w:start w:val="1"/>
      <w:numFmt w:val="decimal"/>
      <w:pStyle w:val="Ttulo3Arial"/>
      <w:lvlText w:val="%1.%2.%3"/>
      <w:lvlJc w:val="left"/>
      <w:pPr>
        <w:ind w:left="720" w:hanging="720"/>
      </w:pPr>
      <w:rPr>
        <w:rFonts w:ascii="Arial" w:hAnsi="Arial" w:hint="default"/>
        <w:b/>
        <w:i w:val="0"/>
        <w:sz w:val="22"/>
      </w:rPr>
    </w:lvl>
    <w:lvl w:ilvl="3">
      <w:start w:val="1"/>
      <w:numFmt w:val="decimal"/>
      <w:pStyle w:val="Ttulo4"/>
      <w:lvlText w:val="%1.%2.%3.%4"/>
      <w:lvlJc w:val="left"/>
      <w:pPr>
        <w:ind w:left="864" w:hanging="864"/>
      </w:pPr>
      <w:rPr>
        <w:rFonts w:ascii="Arial" w:hAnsi="Arial" w:hint="default"/>
        <w:b/>
        <w:i/>
        <w:sz w:val="22"/>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1" w15:restartNumberingAfterBreak="0">
    <w:nsid w:val="55CC424A"/>
    <w:multiLevelType w:val="multilevel"/>
    <w:tmpl w:val="AF386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A8A3A14"/>
    <w:multiLevelType w:val="hybridMultilevel"/>
    <w:tmpl w:val="827EBB3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5AB5272A"/>
    <w:multiLevelType w:val="multilevel"/>
    <w:tmpl w:val="CEBEE3BC"/>
    <w:lvl w:ilvl="0">
      <w:start w:val="1"/>
      <w:numFmt w:val="lowerLetter"/>
      <w:lvlText w:val="%1."/>
      <w:lvlJc w:val="left"/>
      <w:pPr>
        <w:tabs>
          <w:tab w:val="num" w:pos="720"/>
        </w:tabs>
        <w:ind w:left="720" w:hanging="360"/>
      </w:pPr>
      <w:rPr>
        <w:rFonts w:hint="default"/>
        <w:sz w:val="24"/>
        <w:szCs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B190E1E"/>
    <w:multiLevelType w:val="hybridMultilevel"/>
    <w:tmpl w:val="30D4835C"/>
    <w:lvl w:ilvl="0" w:tplc="5BF2EEA8">
      <w:start w:val="3"/>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D93155A"/>
    <w:multiLevelType w:val="multilevel"/>
    <w:tmpl w:val="9028F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5EE25E6"/>
    <w:multiLevelType w:val="multilevel"/>
    <w:tmpl w:val="38126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9FA1CFC"/>
    <w:multiLevelType w:val="hybridMultilevel"/>
    <w:tmpl w:val="8F4E3992"/>
    <w:lvl w:ilvl="0" w:tplc="14DCA9FE">
      <w:start w:val="1"/>
      <w:numFmt w:val="bullet"/>
      <w:lvlText w:val=""/>
      <w:lvlJc w:val="left"/>
      <w:pPr>
        <w:ind w:left="720" w:hanging="360"/>
      </w:pPr>
      <w:rPr>
        <w:rFonts w:ascii="Symbol" w:hAnsi="Symbol" w:hint="default"/>
      </w:rPr>
    </w:lvl>
    <w:lvl w:ilvl="1" w:tplc="FB1ACA30">
      <w:start w:val="1"/>
      <w:numFmt w:val="bullet"/>
      <w:lvlText w:val="o"/>
      <w:lvlJc w:val="left"/>
      <w:pPr>
        <w:ind w:left="1440" w:hanging="360"/>
      </w:pPr>
      <w:rPr>
        <w:rFonts w:ascii="Courier New" w:hAnsi="Courier New" w:hint="default"/>
      </w:rPr>
    </w:lvl>
    <w:lvl w:ilvl="2" w:tplc="13224A46">
      <w:start w:val="1"/>
      <w:numFmt w:val="bullet"/>
      <w:lvlText w:val=""/>
      <w:lvlJc w:val="left"/>
      <w:pPr>
        <w:ind w:left="2160" w:hanging="360"/>
      </w:pPr>
      <w:rPr>
        <w:rFonts w:ascii="Wingdings" w:hAnsi="Wingdings" w:hint="default"/>
      </w:rPr>
    </w:lvl>
    <w:lvl w:ilvl="3" w:tplc="D07CD880">
      <w:start w:val="1"/>
      <w:numFmt w:val="bullet"/>
      <w:lvlText w:val=""/>
      <w:lvlJc w:val="left"/>
      <w:pPr>
        <w:ind w:left="2880" w:hanging="360"/>
      </w:pPr>
      <w:rPr>
        <w:rFonts w:ascii="Symbol" w:hAnsi="Symbol" w:hint="default"/>
      </w:rPr>
    </w:lvl>
    <w:lvl w:ilvl="4" w:tplc="5DA87810">
      <w:start w:val="1"/>
      <w:numFmt w:val="bullet"/>
      <w:lvlText w:val="o"/>
      <w:lvlJc w:val="left"/>
      <w:pPr>
        <w:ind w:left="3600" w:hanging="360"/>
      </w:pPr>
      <w:rPr>
        <w:rFonts w:ascii="Courier New" w:hAnsi="Courier New" w:hint="default"/>
      </w:rPr>
    </w:lvl>
    <w:lvl w:ilvl="5" w:tplc="8F147DCA">
      <w:start w:val="1"/>
      <w:numFmt w:val="bullet"/>
      <w:lvlText w:val=""/>
      <w:lvlJc w:val="left"/>
      <w:pPr>
        <w:ind w:left="4320" w:hanging="360"/>
      </w:pPr>
      <w:rPr>
        <w:rFonts w:ascii="Wingdings" w:hAnsi="Wingdings" w:hint="default"/>
      </w:rPr>
    </w:lvl>
    <w:lvl w:ilvl="6" w:tplc="3EC4589C">
      <w:start w:val="1"/>
      <w:numFmt w:val="bullet"/>
      <w:lvlText w:val=""/>
      <w:lvlJc w:val="left"/>
      <w:pPr>
        <w:ind w:left="5040" w:hanging="360"/>
      </w:pPr>
      <w:rPr>
        <w:rFonts w:ascii="Symbol" w:hAnsi="Symbol" w:hint="default"/>
      </w:rPr>
    </w:lvl>
    <w:lvl w:ilvl="7" w:tplc="B5A86590">
      <w:start w:val="1"/>
      <w:numFmt w:val="bullet"/>
      <w:lvlText w:val="o"/>
      <w:lvlJc w:val="left"/>
      <w:pPr>
        <w:ind w:left="5760" w:hanging="360"/>
      </w:pPr>
      <w:rPr>
        <w:rFonts w:ascii="Courier New" w:hAnsi="Courier New" w:hint="default"/>
      </w:rPr>
    </w:lvl>
    <w:lvl w:ilvl="8" w:tplc="A0CA0014">
      <w:start w:val="1"/>
      <w:numFmt w:val="bullet"/>
      <w:lvlText w:val=""/>
      <w:lvlJc w:val="left"/>
      <w:pPr>
        <w:ind w:left="6480" w:hanging="360"/>
      </w:pPr>
      <w:rPr>
        <w:rFonts w:ascii="Wingdings" w:hAnsi="Wingdings" w:hint="default"/>
      </w:rPr>
    </w:lvl>
  </w:abstractNum>
  <w:abstractNum w:abstractNumId="38" w15:restartNumberingAfterBreak="0">
    <w:nsid w:val="6A42295A"/>
    <w:multiLevelType w:val="multilevel"/>
    <w:tmpl w:val="2BC0E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D86773A"/>
    <w:multiLevelType w:val="multilevel"/>
    <w:tmpl w:val="6F8E3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F072D11"/>
    <w:multiLevelType w:val="hybridMultilevel"/>
    <w:tmpl w:val="BFC4577A"/>
    <w:lvl w:ilvl="0" w:tplc="52EA2D76">
      <w:start w:val="1"/>
      <w:numFmt w:val="lowerLetter"/>
      <w:lvlText w:val="%1)"/>
      <w:lvlJc w:val="left"/>
      <w:pPr>
        <w:ind w:left="360" w:hanging="360"/>
      </w:pPr>
      <w:rPr>
        <w:rFonts w:hint="default"/>
        <w:b w:val="0"/>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1" w15:restartNumberingAfterBreak="0">
    <w:nsid w:val="774D18B4"/>
    <w:multiLevelType w:val="hybridMultilevel"/>
    <w:tmpl w:val="C1D464D4"/>
    <w:lvl w:ilvl="0" w:tplc="240A0001">
      <w:start w:val="1"/>
      <w:numFmt w:val="bullet"/>
      <w:lvlText w:val=""/>
      <w:lvlJc w:val="left"/>
      <w:pPr>
        <w:ind w:left="1405" w:hanging="360"/>
      </w:pPr>
      <w:rPr>
        <w:rFonts w:ascii="Symbol" w:hAnsi="Symbol" w:hint="default"/>
      </w:rPr>
    </w:lvl>
    <w:lvl w:ilvl="1" w:tplc="240A0003" w:tentative="1">
      <w:start w:val="1"/>
      <w:numFmt w:val="bullet"/>
      <w:lvlText w:val="o"/>
      <w:lvlJc w:val="left"/>
      <w:pPr>
        <w:ind w:left="2125" w:hanging="360"/>
      </w:pPr>
      <w:rPr>
        <w:rFonts w:ascii="Courier New" w:hAnsi="Courier New" w:cs="Courier New" w:hint="default"/>
      </w:rPr>
    </w:lvl>
    <w:lvl w:ilvl="2" w:tplc="240A0005">
      <w:start w:val="1"/>
      <w:numFmt w:val="bullet"/>
      <w:lvlText w:val=""/>
      <w:lvlJc w:val="left"/>
      <w:pPr>
        <w:ind w:left="2845" w:hanging="360"/>
      </w:pPr>
      <w:rPr>
        <w:rFonts w:ascii="Wingdings" w:hAnsi="Wingdings" w:hint="default"/>
      </w:rPr>
    </w:lvl>
    <w:lvl w:ilvl="3" w:tplc="240A0001" w:tentative="1">
      <w:start w:val="1"/>
      <w:numFmt w:val="bullet"/>
      <w:lvlText w:val=""/>
      <w:lvlJc w:val="left"/>
      <w:pPr>
        <w:ind w:left="3565" w:hanging="360"/>
      </w:pPr>
      <w:rPr>
        <w:rFonts w:ascii="Symbol" w:hAnsi="Symbol" w:hint="default"/>
      </w:rPr>
    </w:lvl>
    <w:lvl w:ilvl="4" w:tplc="240A0003" w:tentative="1">
      <w:start w:val="1"/>
      <w:numFmt w:val="bullet"/>
      <w:lvlText w:val="o"/>
      <w:lvlJc w:val="left"/>
      <w:pPr>
        <w:ind w:left="4285" w:hanging="360"/>
      </w:pPr>
      <w:rPr>
        <w:rFonts w:ascii="Courier New" w:hAnsi="Courier New" w:cs="Courier New" w:hint="default"/>
      </w:rPr>
    </w:lvl>
    <w:lvl w:ilvl="5" w:tplc="240A0005" w:tentative="1">
      <w:start w:val="1"/>
      <w:numFmt w:val="bullet"/>
      <w:lvlText w:val=""/>
      <w:lvlJc w:val="left"/>
      <w:pPr>
        <w:ind w:left="5005" w:hanging="360"/>
      </w:pPr>
      <w:rPr>
        <w:rFonts w:ascii="Wingdings" w:hAnsi="Wingdings" w:hint="default"/>
      </w:rPr>
    </w:lvl>
    <w:lvl w:ilvl="6" w:tplc="240A0001" w:tentative="1">
      <w:start w:val="1"/>
      <w:numFmt w:val="bullet"/>
      <w:lvlText w:val=""/>
      <w:lvlJc w:val="left"/>
      <w:pPr>
        <w:ind w:left="5725" w:hanging="360"/>
      </w:pPr>
      <w:rPr>
        <w:rFonts w:ascii="Symbol" w:hAnsi="Symbol" w:hint="default"/>
      </w:rPr>
    </w:lvl>
    <w:lvl w:ilvl="7" w:tplc="240A0003" w:tentative="1">
      <w:start w:val="1"/>
      <w:numFmt w:val="bullet"/>
      <w:lvlText w:val="o"/>
      <w:lvlJc w:val="left"/>
      <w:pPr>
        <w:ind w:left="6445" w:hanging="360"/>
      </w:pPr>
      <w:rPr>
        <w:rFonts w:ascii="Courier New" w:hAnsi="Courier New" w:cs="Courier New" w:hint="default"/>
      </w:rPr>
    </w:lvl>
    <w:lvl w:ilvl="8" w:tplc="240A0005" w:tentative="1">
      <w:start w:val="1"/>
      <w:numFmt w:val="bullet"/>
      <w:lvlText w:val=""/>
      <w:lvlJc w:val="left"/>
      <w:pPr>
        <w:ind w:left="7165" w:hanging="360"/>
      </w:pPr>
      <w:rPr>
        <w:rFonts w:ascii="Wingdings" w:hAnsi="Wingdings" w:hint="default"/>
      </w:rPr>
    </w:lvl>
  </w:abstractNum>
  <w:abstractNum w:abstractNumId="42" w15:restartNumberingAfterBreak="0">
    <w:nsid w:val="7A16602E"/>
    <w:multiLevelType w:val="multilevel"/>
    <w:tmpl w:val="41F23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D395640"/>
    <w:multiLevelType w:val="hybridMultilevel"/>
    <w:tmpl w:val="FD6A7F9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702514541">
    <w:abstractNumId w:val="37"/>
  </w:num>
  <w:num w:numId="2" w16cid:durableId="851263999">
    <w:abstractNumId w:val="24"/>
  </w:num>
  <w:num w:numId="3" w16cid:durableId="1065225028">
    <w:abstractNumId w:val="15"/>
  </w:num>
  <w:num w:numId="4" w16cid:durableId="1908417392">
    <w:abstractNumId w:val="30"/>
  </w:num>
  <w:num w:numId="5" w16cid:durableId="1182205115">
    <w:abstractNumId w:val="40"/>
  </w:num>
  <w:num w:numId="6" w16cid:durableId="1415783155">
    <w:abstractNumId w:val="10"/>
  </w:num>
  <w:num w:numId="7" w16cid:durableId="2096589546">
    <w:abstractNumId w:val="11"/>
  </w:num>
  <w:num w:numId="8" w16cid:durableId="788430085">
    <w:abstractNumId w:val="7"/>
  </w:num>
  <w:num w:numId="9" w16cid:durableId="1538814669">
    <w:abstractNumId w:val="21"/>
  </w:num>
  <w:num w:numId="10" w16cid:durableId="2029870051">
    <w:abstractNumId w:val="34"/>
  </w:num>
  <w:num w:numId="11" w16cid:durableId="724917893">
    <w:abstractNumId w:val="8"/>
  </w:num>
  <w:num w:numId="12" w16cid:durableId="1926457096">
    <w:abstractNumId w:val="19"/>
  </w:num>
  <w:num w:numId="13" w16cid:durableId="1035345104">
    <w:abstractNumId w:val="5"/>
  </w:num>
  <w:num w:numId="14" w16cid:durableId="270935000">
    <w:abstractNumId w:val="20"/>
  </w:num>
  <w:num w:numId="15" w16cid:durableId="1303191056">
    <w:abstractNumId w:val="35"/>
  </w:num>
  <w:num w:numId="16" w16cid:durableId="370955536">
    <w:abstractNumId w:val="38"/>
  </w:num>
  <w:num w:numId="17" w16cid:durableId="1279411598">
    <w:abstractNumId w:val="36"/>
  </w:num>
  <w:num w:numId="18" w16cid:durableId="1916358418">
    <w:abstractNumId w:val="12"/>
  </w:num>
  <w:num w:numId="19" w16cid:durableId="2007437493">
    <w:abstractNumId w:val="17"/>
  </w:num>
  <w:num w:numId="20" w16cid:durableId="665328279">
    <w:abstractNumId w:val="31"/>
  </w:num>
  <w:num w:numId="21" w16cid:durableId="1706906596">
    <w:abstractNumId w:val="29"/>
  </w:num>
  <w:num w:numId="22" w16cid:durableId="542055882">
    <w:abstractNumId w:val="42"/>
  </w:num>
  <w:num w:numId="23" w16cid:durableId="1456365462">
    <w:abstractNumId w:val="2"/>
  </w:num>
  <w:num w:numId="24" w16cid:durableId="1761099952">
    <w:abstractNumId w:val="27"/>
  </w:num>
  <w:num w:numId="25" w16cid:durableId="1113205426">
    <w:abstractNumId w:val="39"/>
  </w:num>
  <w:num w:numId="26" w16cid:durableId="1878470191">
    <w:abstractNumId w:val="14"/>
  </w:num>
  <w:num w:numId="27" w16cid:durableId="2075009154">
    <w:abstractNumId w:val="9"/>
  </w:num>
  <w:num w:numId="28" w16cid:durableId="1365906018">
    <w:abstractNumId w:val="43"/>
  </w:num>
  <w:num w:numId="29" w16cid:durableId="2051804837">
    <w:abstractNumId w:val="25"/>
  </w:num>
  <w:num w:numId="30" w16cid:durableId="2052337685">
    <w:abstractNumId w:val="0"/>
  </w:num>
  <w:num w:numId="31" w16cid:durableId="1152941058">
    <w:abstractNumId w:val="41"/>
  </w:num>
  <w:num w:numId="32" w16cid:durableId="1165896688">
    <w:abstractNumId w:val="26"/>
  </w:num>
  <w:num w:numId="33" w16cid:durableId="738746445">
    <w:abstractNumId w:val="33"/>
  </w:num>
  <w:num w:numId="34" w16cid:durableId="1347563877">
    <w:abstractNumId w:val="3"/>
  </w:num>
  <w:num w:numId="35" w16cid:durableId="762262900">
    <w:abstractNumId w:val="4"/>
  </w:num>
  <w:num w:numId="36" w16cid:durableId="1351031211">
    <w:abstractNumId w:val="6"/>
  </w:num>
  <w:num w:numId="37" w16cid:durableId="854226588">
    <w:abstractNumId w:val="22"/>
  </w:num>
  <w:num w:numId="38" w16cid:durableId="211233558">
    <w:abstractNumId w:val="13"/>
  </w:num>
  <w:num w:numId="39" w16cid:durableId="1478647220">
    <w:abstractNumId w:val="1"/>
  </w:num>
  <w:num w:numId="40" w16cid:durableId="1560819313">
    <w:abstractNumId w:val="23"/>
  </w:num>
  <w:num w:numId="41" w16cid:durableId="2019379690">
    <w:abstractNumId w:val="32"/>
  </w:num>
  <w:num w:numId="42" w16cid:durableId="1300383806">
    <w:abstractNumId w:val="18"/>
  </w:num>
  <w:num w:numId="43" w16cid:durableId="905990570">
    <w:abstractNumId w:val="16"/>
  </w:num>
  <w:num w:numId="44" w16cid:durableId="1744568738">
    <w:abstractNumId w:val="2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rawingGridVerticalSpacing w:val="136"/>
  <w:displayHorizontalDrawingGridEvery w:val="0"/>
  <w:displayVerticalDrawingGridEvery w:val="0"/>
  <w:noPunctuationKerning/>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6980"/>
    <w:rsid w:val="00001245"/>
    <w:rsid w:val="00002D16"/>
    <w:rsid w:val="00002FC9"/>
    <w:rsid w:val="00003A20"/>
    <w:rsid w:val="00003D24"/>
    <w:rsid w:val="000041FB"/>
    <w:rsid w:val="00005732"/>
    <w:rsid w:val="00005EAE"/>
    <w:rsid w:val="00006253"/>
    <w:rsid w:val="00006F83"/>
    <w:rsid w:val="00007EB8"/>
    <w:rsid w:val="00007F07"/>
    <w:rsid w:val="0001040F"/>
    <w:rsid w:val="00011447"/>
    <w:rsid w:val="000114AF"/>
    <w:rsid w:val="000115F4"/>
    <w:rsid w:val="000125B9"/>
    <w:rsid w:val="00012FCA"/>
    <w:rsid w:val="00013333"/>
    <w:rsid w:val="00013C42"/>
    <w:rsid w:val="0001499A"/>
    <w:rsid w:val="00014D67"/>
    <w:rsid w:val="0001656B"/>
    <w:rsid w:val="00016A94"/>
    <w:rsid w:val="0001701F"/>
    <w:rsid w:val="000170ED"/>
    <w:rsid w:val="0001720E"/>
    <w:rsid w:val="00017835"/>
    <w:rsid w:val="00017B05"/>
    <w:rsid w:val="0002000B"/>
    <w:rsid w:val="00020DCF"/>
    <w:rsid w:val="00020F48"/>
    <w:rsid w:val="000214D8"/>
    <w:rsid w:val="00021797"/>
    <w:rsid w:val="00021FCC"/>
    <w:rsid w:val="000227EF"/>
    <w:rsid w:val="00022F2A"/>
    <w:rsid w:val="000237C7"/>
    <w:rsid w:val="0002454A"/>
    <w:rsid w:val="00024AC9"/>
    <w:rsid w:val="00024F34"/>
    <w:rsid w:val="0002546A"/>
    <w:rsid w:val="000255F2"/>
    <w:rsid w:val="0002625B"/>
    <w:rsid w:val="0002645A"/>
    <w:rsid w:val="00027206"/>
    <w:rsid w:val="00027A41"/>
    <w:rsid w:val="000304B4"/>
    <w:rsid w:val="00032CBF"/>
    <w:rsid w:val="00032E2C"/>
    <w:rsid w:val="00032FBB"/>
    <w:rsid w:val="00033E7D"/>
    <w:rsid w:val="00033F79"/>
    <w:rsid w:val="00034D07"/>
    <w:rsid w:val="00035506"/>
    <w:rsid w:val="00035FE3"/>
    <w:rsid w:val="00036662"/>
    <w:rsid w:val="00036878"/>
    <w:rsid w:val="00036E36"/>
    <w:rsid w:val="00037AF0"/>
    <w:rsid w:val="00037D0B"/>
    <w:rsid w:val="0004017F"/>
    <w:rsid w:val="000416B5"/>
    <w:rsid w:val="00041889"/>
    <w:rsid w:val="00041C5F"/>
    <w:rsid w:val="0004205E"/>
    <w:rsid w:val="000425CF"/>
    <w:rsid w:val="0004362F"/>
    <w:rsid w:val="00043C52"/>
    <w:rsid w:val="00043EC0"/>
    <w:rsid w:val="00044799"/>
    <w:rsid w:val="00045BB1"/>
    <w:rsid w:val="00045DDD"/>
    <w:rsid w:val="00046B8D"/>
    <w:rsid w:val="00046DCB"/>
    <w:rsid w:val="00047518"/>
    <w:rsid w:val="00047A5E"/>
    <w:rsid w:val="00047A6E"/>
    <w:rsid w:val="00050133"/>
    <w:rsid w:val="00050524"/>
    <w:rsid w:val="00050E08"/>
    <w:rsid w:val="00051046"/>
    <w:rsid w:val="0005176A"/>
    <w:rsid w:val="00054850"/>
    <w:rsid w:val="00055571"/>
    <w:rsid w:val="00056286"/>
    <w:rsid w:val="0005637C"/>
    <w:rsid w:val="0005643B"/>
    <w:rsid w:val="00056E87"/>
    <w:rsid w:val="00056EDA"/>
    <w:rsid w:val="00057020"/>
    <w:rsid w:val="00057363"/>
    <w:rsid w:val="00057452"/>
    <w:rsid w:val="00060107"/>
    <w:rsid w:val="00061092"/>
    <w:rsid w:val="0006133F"/>
    <w:rsid w:val="00061667"/>
    <w:rsid w:val="000616F1"/>
    <w:rsid w:val="0006236E"/>
    <w:rsid w:val="0006307F"/>
    <w:rsid w:val="000631D5"/>
    <w:rsid w:val="000656EC"/>
    <w:rsid w:val="00066252"/>
    <w:rsid w:val="00066463"/>
    <w:rsid w:val="00066991"/>
    <w:rsid w:val="00070F34"/>
    <w:rsid w:val="000717A3"/>
    <w:rsid w:val="00072956"/>
    <w:rsid w:val="000730AA"/>
    <w:rsid w:val="00073BA6"/>
    <w:rsid w:val="00074148"/>
    <w:rsid w:val="00074F9C"/>
    <w:rsid w:val="00075E73"/>
    <w:rsid w:val="0007636F"/>
    <w:rsid w:val="00076588"/>
    <w:rsid w:val="00077584"/>
    <w:rsid w:val="0007795B"/>
    <w:rsid w:val="00077B7C"/>
    <w:rsid w:val="00080C6C"/>
    <w:rsid w:val="0008158B"/>
    <w:rsid w:val="00081CEE"/>
    <w:rsid w:val="0008241B"/>
    <w:rsid w:val="00082817"/>
    <w:rsid w:val="000831B5"/>
    <w:rsid w:val="00083755"/>
    <w:rsid w:val="00084B49"/>
    <w:rsid w:val="00084CF2"/>
    <w:rsid w:val="000851C0"/>
    <w:rsid w:val="00085553"/>
    <w:rsid w:val="00086B16"/>
    <w:rsid w:val="00087DA3"/>
    <w:rsid w:val="000901EC"/>
    <w:rsid w:val="000909B8"/>
    <w:rsid w:val="000910DB"/>
    <w:rsid w:val="000916DE"/>
    <w:rsid w:val="00092C0A"/>
    <w:rsid w:val="00092FE1"/>
    <w:rsid w:val="000942D1"/>
    <w:rsid w:val="00094C24"/>
    <w:rsid w:val="00094D9F"/>
    <w:rsid w:val="000A0189"/>
    <w:rsid w:val="000A0A57"/>
    <w:rsid w:val="000A1CEA"/>
    <w:rsid w:val="000A212D"/>
    <w:rsid w:val="000A35DA"/>
    <w:rsid w:val="000A3E34"/>
    <w:rsid w:val="000A5ACE"/>
    <w:rsid w:val="000A63FF"/>
    <w:rsid w:val="000A7E49"/>
    <w:rsid w:val="000B0504"/>
    <w:rsid w:val="000B0F39"/>
    <w:rsid w:val="000B1AEF"/>
    <w:rsid w:val="000B1C86"/>
    <w:rsid w:val="000B20F6"/>
    <w:rsid w:val="000B2B0C"/>
    <w:rsid w:val="000B2B93"/>
    <w:rsid w:val="000B30A6"/>
    <w:rsid w:val="000B39C5"/>
    <w:rsid w:val="000B3D7C"/>
    <w:rsid w:val="000B4B23"/>
    <w:rsid w:val="000B50F1"/>
    <w:rsid w:val="000B54FF"/>
    <w:rsid w:val="000B56A9"/>
    <w:rsid w:val="000B6EA3"/>
    <w:rsid w:val="000B71AA"/>
    <w:rsid w:val="000B79B5"/>
    <w:rsid w:val="000B7CA4"/>
    <w:rsid w:val="000C1419"/>
    <w:rsid w:val="000C1E62"/>
    <w:rsid w:val="000C304D"/>
    <w:rsid w:val="000C38C1"/>
    <w:rsid w:val="000C410F"/>
    <w:rsid w:val="000C41BE"/>
    <w:rsid w:val="000C614C"/>
    <w:rsid w:val="000C694A"/>
    <w:rsid w:val="000C6C52"/>
    <w:rsid w:val="000C6CCA"/>
    <w:rsid w:val="000C78DE"/>
    <w:rsid w:val="000C7AFD"/>
    <w:rsid w:val="000D0111"/>
    <w:rsid w:val="000D07DB"/>
    <w:rsid w:val="000D1097"/>
    <w:rsid w:val="000D1904"/>
    <w:rsid w:val="000D281E"/>
    <w:rsid w:val="000D2DA8"/>
    <w:rsid w:val="000D47C4"/>
    <w:rsid w:val="000D4B07"/>
    <w:rsid w:val="000D512E"/>
    <w:rsid w:val="000D567D"/>
    <w:rsid w:val="000D6A1C"/>
    <w:rsid w:val="000D6BBD"/>
    <w:rsid w:val="000D6E28"/>
    <w:rsid w:val="000E0152"/>
    <w:rsid w:val="000E0DA0"/>
    <w:rsid w:val="000E1564"/>
    <w:rsid w:val="000E15ED"/>
    <w:rsid w:val="000E1657"/>
    <w:rsid w:val="000E1BBC"/>
    <w:rsid w:val="000E2652"/>
    <w:rsid w:val="000E33DF"/>
    <w:rsid w:val="000E370D"/>
    <w:rsid w:val="000E503B"/>
    <w:rsid w:val="000E50D1"/>
    <w:rsid w:val="000E65A4"/>
    <w:rsid w:val="000E6721"/>
    <w:rsid w:val="000E7605"/>
    <w:rsid w:val="000E76CB"/>
    <w:rsid w:val="000F0132"/>
    <w:rsid w:val="000F07DD"/>
    <w:rsid w:val="000F15D2"/>
    <w:rsid w:val="000F22EB"/>
    <w:rsid w:val="000F26E7"/>
    <w:rsid w:val="000F7919"/>
    <w:rsid w:val="0010261E"/>
    <w:rsid w:val="00102747"/>
    <w:rsid w:val="0010536C"/>
    <w:rsid w:val="00105533"/>
    <w:rsid w:val="00105D33"/>
    <w:rsid w:val="00105D42"/>
    <w:rsid w:val="001060F7"/>
    <w:rsid w:val="00106448"/>
    <w:rsid w:val="001066DC"/>
    <w:rsid w:val="001072FB"/>
    <w:rsid w:val="0011042F"/>
    <w:rsid w:val="00110874"/>
    <w:rsid w:val="00110D9F"/>
    <w:rsid w:val="001111FE"/>
    <w:rsid w:val="00111205"/>
    <w:rsid w:val="0011150B"/>
    <w:rsid w:val="00111B2B"/>
    <w:rsid w:val="00112D29"/>
    <w:rsid w:val="00113C65"/>
    <w:rsid w:val="00115A0C"/>
    <w:rsid w:val="00116659"/>
    <w:rsid w:val="001175AA"/>
    <w:rsid w:val="00117811"/>
    <w:rsid w:val="0012026F"/>
    <w:rsid w:val="00121099"/>
    <w:rsid w:val="001214CF"/>
    <w:rsid w:val="001214EE"/>
    <w:rsid w:val="00121B1D"/>
    <w:rsid w:val="00121E0F"/>
    <w:rsid w:val="0012263D"/>
    <w:rsid w:val="001226F5"/>
    <w:rsid w:val="00122B35"/>
    <w:rsid w:val="00123054"/>
    <w:rsid w:val="001241B5"/>
    <w:rsid w:val="00124234"/>
    <w:rsid w:val="00125A3A"/>
    <w:rsid w:val="00126916"/>
    <w:rsid w:val="00126980"/>
    <w:rsid w:val="001276A8"/>
    <w:rsid w:val="001303DD"/>
    <w:rsid w:val="0013051B"/>
    <w:rsid w:val="00131245"/>
    <w:rsid w:val="00131247"/>
    <w:rsid w:val="001312D7"/>
    <w:rsid w:val="001331C6"/>
    <w:rsid w:val="00133B82"/>
    <w:rsid w:val="00134289"/>
    <w:rsid w:val="001348DA"/>
    <w:rsid w:val="00134FB3"/>
    <w:rsid w:val="00135D48"/>
    <w:rsid w:val="00135D81"/>
    <w:rsid w:val="00135E1B"/>
    <w:rsid w:val="001365B5"/>
    <w:rsid w:val="001369E2"/>
    <w:rsid w:val="00136CD0"/>
    <w:rsid w:val="0013737F"/>
    <w:rsid w:val="0014019A"/>
    <w:rsid w:val="00140603"/>
    <w:rsid w:val="00141136"/>
    <w:rsid w:val="00141414"/>
    <w:rsid w:val="00141FEA"/>
    <w:rsid w:val="00142BF2"/>
    <w:rsid w:val="0014344A"/>
    <w:rsid w:val="00143618"/>
    <w:rsid w:val="00143EF1"/>
    <w:rsid w:val="00144695"/>
    <w:rsid w:val="001447C1"/>
    <w:rsid w:val="00145BCA"/>
    <w:rsid w:val="001463ED"/>
    <w:rsid w:val="0014657E"/>
    <w:rsid w:val="001470D2"/>
    <w:rsid w:val="0014723C"/>
    <w:rsid w:val="00150003"/>
    <w:rsid w:val="0015069E"/>
    <w:rsid w:val="00151B19"/>
    <w:rsid w:val="0015216F"/>
    <w:rsid w:val="00152AF8"/>
    <w:rsid w:val="00152DDF"/>
    <w:rsid w:val="00153523"/>
    <w:rsid w:val="00153CE5"/>
    <w:rsid w:val="001550C0"/>
    <w:rsid w:val="00155B3D"/>
    <w:rsid w:val="00156ED5"/>
    <w:rsid w:val="00156F37"/>
    <w:rsid w:val="00157729"/>
    <w:rsid w:val="001600B4"/>
    <w:rsid w:val="0016034A"/>
    <w:rsid w:val="0016071B"/>
    <w:rsid w:val="00164587"/>
    <w:rsid w:val="00164E60"/>
    <w:rsid w:val="001665A3"/>
    <w:rsid w:val="00167009"/>
    <w:rsid w:val="00170086"/>
    <w:rsid w:val="001700C2"/>
    <w:rsid w:val="0017045E"/>
    <w:rsid w:val="001705C5"/>
    <w:rsid w:val="001706EA"/>
    <w:rsid w:val="00170979"/>
    <w:rsid w:val="00171DAF"/>
    <w:rsid w:val="00173538"/>
    <w:rsid w:val="0017432F"/>
    <w:rsid w:val="001743EF"/>
    <w:rsid w:val="0017455B"/>
    <w:rsid w:val="00174A31"/>
    <w:rsid w:val="001756AE"/>
    <w:rsid w:val="001758DF"/>
    <w:rsid w:val="00176AE3"/>
    <w:rsid w:val="00177232"/>
    <w:rsid w:val="00180250"/>
    <w:rsid w:val="001803F3"/>
    <w:rsid w:val="001808C3"/>
    <w:rsid w:val="00182787"/>
    <w:rsid w:val="00183685"/>
    <w:rsid w:val="00184C9D"/>
    <w:rsid w:val="00186170"/>
    <w:rsid w:val="00186486"/>
    <w:rsid w:val="00187186"/>
    <w:rsid w:val="00187352"/>
    <w:rsid w:val="00187823"/>
    <w:rsid w:val="00187F26"/>
    <w:rsid w:val="001907D5"/>
    <w:rsid w:val="001908CD"/>
    <w:rsid w:val="00190CD1"/>
    <w:rsid w:val="0019392E"/>
    <w:rsid w:val="00193A07"/>
    <w:rsid w:val="00193E39"/>
    <w:rsid w:val="00194422"/>
    <w:rsid w:val="0019475B"/>
    <w:rsid w:val="00194C1D"/>
    <w:rsid w:val="00195DF8"/>
    <w:rsid w:val="00196642"/>
    <w:rsid w:val="00196B67"/>
    <w:rsid w:val="001978EB"/>
    <w:rsid w:val="001A1E25"/>
    <w:rsid w:val="001A2AF1"/>
    <w:rsid w:val="001A2F53"/>
    <w:rsid w:val="001A30AE"/>
    <w:rsid w:val="001A650B"/>
    <w:rsid w:val="001A65E4"/>
    <w:rsid w:val="001A7869"/>
    <w:rsid w:val="001A7E00"/>
    <w:rsid w:val="001B0E17"/>
    <w:rsid w:val="001B0F09"/>
    <w:rsid w:val="001B2C46"/>
    <w:rsid w:val="001B386F"/>
    <w:rsid w:val="001B3DA2"/>
    <w:rsid w:val="001B5177"/>
    <w:rsid w:val="001B555A"/>
    <w:rsid w:val="001B57F6"/>
    <w:rsid w:val="001B7B2E"/>
    <w:rsid w:val="001B7DC6"/>
    <w:rsid w:val="001C013E"/>
    <w:rsid w:val="001C01A6"/>
    <w:rsid w:val="001C01FA"/>
    <w:rsid w:val="001C070B"/>
    <w:rsid w:val="001C07D3"/>
    <w:rsid w:val="001C1633"/>
    <w:rsid w:val="001C1699"/>
    <w:rsid w:val="001C19A4"/>
    <w:rsid w:val="001C29D6"/>
    <w:rsid w:val="001C34F2"/>
    <w:rsid w:val="001C4EA8"/>
    <w:rsid w:val="001C4F22"/>
    <w:rsid w:val="001C554B"/>
    <w:rsid w:val="001C708D"/>
    <w:rsid w:val="001C70D3"/>
    <w:rsid w:val="001C7223"/>
    <w:rsid w:val="001D0611"/>
    <w:rsid w:val="001D1605"/>
    <w:rsid w:val="001D1743"/>
    <w:rsid w:val="001D17CF"/>
    <w:rsid w:val="001D2EC8"/>
    <w:rsid w:val="001D3965"/>
    <w:rsid w:val="001D4525"/>
    <w:rsid w:val="001D4B6B"/>
    <w:rsid w:val="001D4E40"/>
    <w:rsid w:val="001D5236"/>
    <w:rsid w:val="001D5CB1"/>
    <w:rsid w:val="001D5D82"/>
    <w:rsid w:val="001D62E9"/>
    <w:rsid w:val="001D65F4"/>
    <w:rsid w:val="001D75A6"/>
    <w:rsid w:val="001E02A8"/>
    <w:rsid w:val="001E08BF"/>
    <w:rsid w:val="001E1CF8"/>
    <w:rsid w:val="001E2543"/>
    <w:rsid w:val="001E2D6F"/>
    <w:rsid w:val="001E5315"/>
    <w:rsid w:val="001E646E"/>
    <w:rsid w:val="001E6C60"/>
    <w:rsid w:val="001F0FE3"/>
    <w:rsid w:val="001F145E"/>
    <w:rsid w:val="001F238A"/>
    <w:rsid w:val="001F2B4B"/>
    <w:rsid w:val="001F2FD5"/>
    <w:rsid w:val="001F40B5"/>
    <w:rsid w:val="001F6A43"/>
    <w:rsid w:val="001F7098"/>
    <w:rsid w:val="001F7D94"/>
    <w:rsid w:val="002000DA"/>
    <w:rsid w:val="00200B06"/>
    <w:rsid w:val="002024BE"/>
    <w:rsid w:val="00202854"/>
    <w:rsid w:val="00202AF4"/>
    <w:rsid w:val="00202FB1"/>
    <w:rsid w:val="002047CB"/>
    <w:rsid w:val="00205CFC"/>
    <w:rsid w:val="002064C8"/>
    <w:rsid w:val="00207B0A"/>
    <w:rsid w:val="00207B63"/>
    <w:rsid w:val="002107B2"/>
    <w:rsid w:val="002114E9"/>
    <w:rsid w:val="00211DB6"/>
    <w:rsid w:val="0021446E"/>
    <w:rsid w:val="00214F6D"/>
    <w:rsid w:val="002150B4"/>
    <w:rsid w:val="00216121"/>
    <w:rsid w:val="002165C7"/>
    <w:rsid w:val="0021714E"/>
    <w:rsid w:val="002171A2"/>
    <w:rsid w:val="00217D9B"/>
    <w:rsid w:val="00217EF5"/>
    <w:rsid w:val="002209FF"/>
    <w:rsid w:val="00220A4B"/>
    <w:rsid w:val="00220FF1"/>
    <w:rsid w:val="002217D1"/>
    <w:rsid w:val="00221CA5"/>
    <w:rsid w:val="00221D4F"/>
    <w:rsid w:val="0022547C"/>
    <w:rsid w:val="00225C12"/>
    <w:rsid w:val="002264B8"/>
    <w:rsid w:val="002277F3"/>
    <w:rsid w:val="00227FAF"/>
    <w:rsid w:val="002303ED"/>
    <w:rsid w:val="00230A22"/>
    <w:rsid w:val="00231535"/>
    <w:rsid w:val="0023160C"/>
    <w:rsid w:val="002321A2"/>
    <w:rsid w:val="002329DB"/>
    <w:rsid w:val="0023318D"/>
    <w:rsid w:val="0023347D"/>
    <w:rsid w:val="00233CB3"/>
    <w:rsid w:val="00235361"/>
    <w:rsid w:val="00235C3F"/>
    <w:rsid w:val="00235CF8"/>
    <w:rsid w:val="00235D16"/>
    <w:rsid w:val="00236963"/>
    <w:rsid w:val="00236F62"/>
    <w:rsid w:val="00236F7D"/>
    <w:rsid w:val="00237C72"/>
    <w:rsid w:val="00237D76"/>
    <w:rsid w:val="00237D99"/>
    <w:rsid w:val="00240242"/>
    <w:rsid w:val="00241FC6"/>
    <w:rsid w:val="002429FF"/>
    <w:rsid w:val="00243BCB"/>
    <w:rsid w:val="00243F4E"/>
    <w:rsid w:val="0024470E"/>
    <w:rsid w:val="00244ADC"/>
    <w:rsid w:val="002450EA"/>
    <w:rsid w:val="00245F97"/>
    <w:rsid w:val="00246C03"/>
    <w:rsid w:val="0024754B"/>
    <w:rsid w:val="002519F7"/>
    <w:rsid w:val="00251A69"/>
    <w:rsid w:val="00251FCE"/>
    <w:rsid w:val="002523C9"/>
    <w:rsid w:val="00252CC5"/>
    <w:rsid w:val="00252F13"/>
    <w:rsid w:val="00253F65"/>
    <w:rsid w:val="00254313"/>
    <w:rsid w:val="00254EA3"/>
    <w:rsid w:val="002553B0"/>
    <w:rsid w:val="00255792"/>
    <w:rsid w:val="00255AC8"/>
    <w:rsid w:val="00260232"/>
    <w:rsid w:val="0026025F"/>
    <w:rsid w:val="002605C2"/>
    <w:rsid w:val="00260A0E"/>
    <w:rsid w:val="002617A7"/>
    <w:rsid w:val="00261C11"/>
    <w:rsid w:val="00263504"/>
    <w:rsid w:val="0026513E"/>
    <w:rsid w:val="002708AD"/>
    <w:rsid w:val="00270D86"/>
    <w:rsid w:val="0027196C"/>
    <w:rsid w:val="00271C44"/>
    <w:rsid w:val="002727E8"/>
    <w:rsid w:val="002729A5"/>
    <w:rsid w:val="00272A0D"/>
    <w:rsid w:val="00273E2E"/>
    <w:rsid w:val="002740A5"/>
    <w:rsid w:val="00274D36"/>
    <w:rsid w:val="0027504D"/>
    <w:rsid w:val="002777BF"/>
    <w:rsid w:val="00277891"/>
    <w:rsid w:val="002804CF"/>
    <w:rsid w:val="00280C7E"/>
    <w:rsid w:val="0028167B"/>
    <w:rsid w:val="0028263D"/>
    <w:rsid w:val="00284988"/>
    <w:rsid w:val="00285257"/>
    <w:rsid w:val="002862C1"/>
    <w:rsid w:val="00286449"/>
    <w:rsid w:val="00286677"/>
    <w:rsid w:val="00286B1B"/>
    <w:rsid w:val="00287EC3"/>
    <w:rsid w:val="00290475"/>
    <w:rsid w:val="00291874"/>
    <w:rsid w:val="00292503"/>
    <w:rsid w:val="00292617"/>
    <w:rsid w:val="00292A30"/>
    <w:rsid w:val="00293F29"/>
    <w:rsid w:val="0029406D"/>
    <w:rsid w:val="002941D1"/>
    <w:rsid w:val="0029528B"/>
    <w:rsid w:val="002A1B78"/>
    <w:rsid w:val="002A218C"/>
    <w:rsid w:val="002A2A12"/>
    <w:rsid w:val="002A57F7"/>
    <w:rsid w:val="002A59F0"/>
    <w:rsid w:val="002A5C66"/>
    <w:rsid w:val="002A5E9C"/>
    <w:rsid w:val="002A5FD2"/>
    <w:rsid w:val="002A6D16"/>
    <w:rsid w:val="002A6DD4"/>
    <w:rsid w:val="002B0418"/>
    <w:rsid w:val="002B0F3C"/>
    <w:rsid w:val="002B10AA"/>
    <w:rsid w:val="002B1C0E"/>
    <w:rsid w:val="002B1E05"/>
    <w:rsid w:val="002B4621"/>
    <w:rsid w:val="002B5767"/>
    <w:rsid w:val="002B74F1"/>
    <w:rsid w:val="002B798D"/>
    <w:rsid w:val="002C010F"/>
    <w:rsid w:val="002C040A"/>
    <w:rsid w:val="002C05D0"/>
    <w:rsid w:val="002C1422"/>
    <w:rsid w:val="002C16CC"/>
    <w:rsid w:val="002C1F49"/>
    <w:rsid w:val="002C22DE"/>
    <w:rsid w:val="002C237E"/>
    <w:rsid w:val="002C2EE9"/>
    <w:rsid w:val="002C330F"/>
    <w:rsid w:val="002C3641"/>
    <w:rsid w:val="002C4256"/>
    <w:rsid w:val="002C4BD9"/>
    <w:rsid w:val="002C61A6"/>
    <w:rsid w:val="002C6429"/>
    <w:rsid w:val="002C7BFA"/>
    <w:rsid w:val="002C7D8E"/>
    <w:rsid w:val="002D00B5"/>
    <w:rsid w:val="002D096D"/>
    <w:rsid w:val="002D0E1C"/>
    <w:rsid w:val="002D11FE"/>
    <w:rsid w:val="002D17AD"/>
    <w:rsid w:val="002D1BF1"/>
    <w:rsid w:val="002D2CB2"/>
    <w:rsid w:val="002D35EC"/>
    <w:rsid w:val="002D39D6"/>
    <w:rsid w:val="002D3DCD"/>
    <w:rsid w:val="002D3FE3"/>
    <w:rsid w:val="002D4DD0"/>
    <w:rsid w:val="002D5E8B"/>
    <w:rsid w:val="002D5F0C"/>
    <w:rsid w:val="002D60E0"/>
    <w:rsid w:val="002D6E34"/>
    <w:rsid w:val="002E0F46"/>
    <w:rsid w:val="002E216D"/>
    <w:rsid w:val="002E23FF"/>
    <w:rsid w:val="002E404C"/>
    <w:rsid w:val="002E4479"/>
    <w:rsid w:val="002E4A97"/>
    <w:rsid w:val="002E4FE8"/>
    <w:rsid w:val="002E67AA"/>
    <w:rsid w:val="002E6957"/>
    <w:rsid w:val="002E6E98"/>
    <w:rsid w:val="002E71C4"/>
    <w:rsid w:val="002E7883"/>
    <w:rsid w:val="002E7E49"/>
    <w:rsid w:val="002F226A"/>
    <w:rsid w:val="002F32FD"/>
    <w:rsid w:val="002F3976"/>
    <w:rsid w:val="002F3A59"/>
    <w:rsid w:val="002F401D"/>
    <w:rsid w:val="002F410C"/>
    <w:rsid w:val="002F51BA"/>
    <w:rsid w:val="002F5ACC"/>
    <w:rsid w:val="002F5C68"/>
    <w:rsid w:val="002F7332"/>
    <w:rsid w:val="002F7B96"/>
    <w:rsid w:val="00300665"/>
    <w:rsid w:val="003009B8"/>
    <w:rsid w:val="00301786"/>
    <w:rsid w:val="0030182F"/>
    <w:rsid w:val="0030199D"/>
    <w:rsid w:val="00301DC2"/>
    <w:rsid w:val="00301F2E"/>
    <w:rsid w:val="0030273A"/>
    <w:rsid w:val="00302993"/>
    <w:rsid w:val="00303503"/>
    <w:rsid w:val="003037C0"/>
    <w:rsid w:val="003041B4"/>
    <w:rsid w:val="003056D4"/>
    <w:rsid w:val="00305F8D"/>
    <w:rsid w:val="00306CEC"/>
    <w:rsid w:val="00307422"/>
    <w:rsid w:val="003074FB"/>
    <w:rsid w:val="003077E3"/>
    <w:rsid w:val="00307BC9"/>
    <w:rsid w:val="00313C12"/>
    <w:rsid w:val="00314BDE"/>
    <w:rsid w:val="00314D1F"/>
    <w:rsid w:val="00314D8B"/>
    <w:rsid w:val="00314F57"/>
    <w:rsid w:val="0031524E"/>
    <w:rsid w:val="003163A3"/>
    <w:rsid w:val="003164E2"/>
    <w:rsid w:val="0031653B"/>
    <w:rsid w:val="00321692"/>
    <w:rsid w:val="00321D67"/>
    <w:rsid w:val="003227FD"/>
    <w:rsid w:val="00322A99"/>
    <w:rsid w:val="0032312D"/>
    <w:rsid w:val="00323EA7"/>
    <w:rsid w:val="0032400F"/>
    <w:rsid w:val="00324086"/>
    <w:rsid w:val="003248BE"/>
    <w:rsid w:val="00325A55"/>
    <w:rsid w:val="003267E4"/>
    <w:rsid w:val="00327F7F"/>
    <w:rsid w:val="00331AA7"/>
    <w:rsid w:val="00332CD8"/>
    <w:rsid w:val="003343DB"/>
    <w:rsid w:val="003352AB"/>
    <w:rsid w:val="00336655"/>
    <w:rsid w:val="00336696"/>
    <w:rsid w:val="00336FB2"/>
    <w:rsid w:val="00337006"/>
    <w:rsid w:val="00337743"/>
    <w:rsid w:val="00337B11"/>
    <w:rsid w:val="00337ED9"/>
    <w:rsid w:val="00337F0B"/>
    <w:rsid w:val="00341F0A"/>
    <w:rsid w:val="00342188"/>
    <w:rsid w:val="00342AF1"/>
    <w:rsid w:val="00342B3C"/>
    <w:rsid w:val="00343525"/>
    <w:rsid w:val="00343970"/>
    <w:rsid w:val="00343990"/>
    <w:rsid w:val="00344236"/>
    <w:rsid w:val="00346554"/>
    <w:rsid w:val="003475E2"/>
    <w:rsid w:val="00347A69"/>
    <w:rsid w:val="00347B91"/>
    <w:rsid w:val="003503EB"/>
    <w:rsid w:val="00350767"/>
    <w:rsid w:val="00350E4B"/>
    <w:rsid w:val="00350EB8"/>
    <w:rsid w:val="003519EB"/>
    <w:rsid w:val="0035296C"/>
    <w:rsid w:val="00352CE1"/>
    <w:rsid w:val="00352F84"/>
    <w:rsid w:val="003533A1"/>
    <w:rsid w:val="00353EF9"/>
    <w:rsid w:val="0035444A"/>
    <w:rsid w:val="003546A2"/>
    <w:rsid w:val="003572A5"/>
    <w:rsid w:val="003603B0"/>
    <w:rsid w:val="00360990"/>
    <w:rsid w:val="00361F68"/>
    <w:rsid w:val="003620AC"/>
    <w:rsid w:val="003623CA"/>
    <w:rsid w:val="00363493"/>
    <w:rsid w:val="00363F11"/>
    <w:rsid w:val="003651DE"/>
    <w:rsid w:val="00365C8E"/>
    <w:rsid w:val="00365DB1"/>
    <w:rsid w:val="00366AAD"/>
    <w:rsid w:val="00367303"/>
    <w:rsid w:val="00367A4A"/>
    <w:rsid w:val="00367C60"/>
    <w:rsid w:val="00367CB8"/>
    <w:rsid w:val="00370FBB"/>
    <w:rsid w:val="003711C0"/>
    <w:rsid w:val="0037294B"/>
    <w:rsid w:val="00373197"/>
    <w:rsid w:val="0037377C"/>
    <w:rsid w:val="00373F0D"/>
    <w:rsid w:val="00375314"/>
    <w:rsid w:val="003761B2"/>
    <w:rsid w:val="00376232"/>
    <w:rsid w:val="00376734"/>
    <w:rsid w:val="00380C12"/>
    <w:rsid w:val="00380C79"/>
    <w:rsid w:val="0038174E"/>
    <w:rsid w:val="0038210D"/>
    <w:rsid w:val="0038390A"/>
    <w:rsid w:val="00384684"/>
    <w:rsid w:val="0038474A"/>
    <w:rsid w:val="00385797"/>
    <w:rsid w:val="00385EEE"/>
    <w:rsid w:val="0038611B"/>
    <w:rsid w:val="00387C42"/>
    <w:rsid w:val="00393191"/>
    <w:rsid w:val="003933EB"/>
    <w:rsid w:val="00393AAE"/>
    <w:rsid w:val="0039420F"/>
    <w:rsid w:val="0039471B"/>
    <w:rsid w:val="0039525F"/>
    <w:rsid w:val="003968BB"/>
    <w:rsid w:val="00396A02"/>
    <w:rsid w:val="00397C82"/>
    <w:rsid w:val="00397D16"/>
    <w:rsid w:val="00397D18"/>
    <w:rsid w:val="003A0006"/>
    <w:rsid w:val="003A068D"/>
    <w:rsid w:val="003A0837"/>
    <w:rsid w:val="003A0BBF"/>
    <w:rsid w:val="003A0DD6"/>
    <w:rsid w:val="003A1137"/>
    <w:rsid w:val="003A257B"/>
    <w:rsid w:val="003A2D65"/>
    <w:rsid w:val="003A2EBD"/>
    <w:rsid w:val="003A3C08"/>
    <w:rsid w:val="003A4B4F"/>
    <w:rsid w:val="003A56C7"/>
    <w:rsid w:val="003A6449"/>
    <w:rsid w:val="003A72BC"/>
    <w:rsid w:val="003A73D2"/>
    <w:rsid w:val="003A7F78"/>
    <w:rsid w:val="003B02D0"/>
    <w:rsid w:val="003B05FF"/>
    <w:rsid w:val="003B0857"/>
    <w:rsid w:val="003B09C5"/>
    <w:rsid w:val="003B13FC"/>
    <w:rsid w:val="003B1905"/>
    <w:rsid w:val="003B1E53"/>
    <w:rsid w:val="003B3491"/>
    <w:rsid w:val="003B3858"/>
    <w:rsid w:val="003B3F46"/>
    <w:rsid w:val="003B4DDE"/>
    <w:rsid w:val="003B5721"/>
    <w:rsid w:val="003B5E9A"/>
    <w:rsid w:val="003B625C"/>
    <w:rsid w:val="003B6A47"/>
    <w:rsid w:val="003B6E08"/>
    <w:rsid w:val="003B7EDF"/>
    <w:rsid w:val="003C093D"/>
    <w:rsid w:val="003C0C28"/>
    <w:rsid w:val="003C0F32"/>
    <w:rsid w:val="003C1608"/>
    <w:rsid w:val="003C1ABF"/>
    <w:rsid w:val="003C2EBA"/>
    <w:rsid w:val="003C2FAB"/>
    <w:rsid w:val="003C3427"/>
    <w:rsid w:val="003C384E"/>
    <w:rsid w:val="003C4567"/>
    <w:rsid w:val="003C60C4"/>
    <w:rsid w:val="003C61EE"/>
    <w:rsid w:val="003C6CAC"/>
    <w:rsid w:val="003C6CE0"/>
    <w:rsid w:val="003C7E2D"/>
    <w:rsid w:val="003C7FD9"/>
    <w:rsid w:val="003D037E"/>
    <w:rsid w:val="003D064F"/>
    <w:rsid w:val="003D0ABB"/>
    <w:rsid w:val="003D3516"/>
    <w:rsid w:val="003D3644"/>
    <w:rsid w:val="003D50FB"/>
    <w:rsid w:val="003D52BA"/>
    <w:rsid w:val="003D742D"/>
    <w:rsid w:val="003D7A0E"/>
    <w:rsid w:val="003D7DEE"/>
    <w:rsid w:val="003E0474"/>
    <w:rsid w:val="003E05C5"/>
    <w:rsid w:val="003E0A7B"/>
    <w:rsid w:val="003E1394"/>
    <w:rsid w:val="003E2092"/>
    <w:rsid w:val="003E31B2"/>
    <w:rsid w:val="003E468E"/>
    <w:rsid w:val="003E4948"/>
    <w:rsid w:val="003E5554"/>
    <w:rsid w:val="003E582F"/>
    <w:rsid w:val="003E5DDB"/>
    <w:rsid w:val="003E6387"/>
    <w:rsid w:val="003E68C7"/>
    <w:rsid w:val="003E769C"/>
    <w:rsid w:val="003F015F"/>
    <w:rsid w:val="003F029F"/>
    <w:rsid w:val="003F03CA"/>
    <w:rsid w:val="003F1E85"/>
    <w:rsid w:val="003F25DA"/>
    <w:rsid w:val="003F3F37"/>
    <w:rsid w:val="003F5218"/>
    <w:rsid w:val="003F79EA"/>
    <w:rsid w:val="00400014"/>
    <w:rsid w:val="00400320"/>
    <w:rsid w:val="00400AB6"/>
    <w:rsid w:val="00401B59"/>
    <w:rsid w:val="0040381B"/>
    <w:rsid w:val="00403E85"/>
    <w:rsid w:val="00404D69"/>
    <w:rsid w:val="004053C3"/>
    <w:rsid w:val="0040575A"/>
    <w:rsid w:val="00405A9C"/>
    <w:rsid w:val="00405CE5"/>
    <w:rsid w:val="00406F14"/>
    <w:rsid w:val="004070C3"/>
    <w:rsid w:val="00407CE2"/>
    <w:rsid w:val="004107C2"/>
    <w:rsid w:val="00410B13"/>
    <w:rsid w:val="0041114C"/>
    <w:rsid w:val="00414C33"/>
    <w:rsid w:val="00414F39"/>
    <w:rsid w:val="0041604F"/>
    <w:rsid w:val="004165BA"/>
    <w:rsid w:val="004174FE"/>
    <w:rsid w:val="00417F7B"/>
    <w:rsid w:val="0042022C"/>
    <w:rsid w:val="004202FD"/>
    <w:rsid w:val="004211C4"/>
    <w:rsid w:val="004215CF"/>
    <w:rsid w:val="0042186C"/>
    <w:rsid w:val="00423ECB"/>
    <w:rsid w:val="00424782"/>
    <w:rsid w:val="0042531C"/>
    <w:rsid w:val="004268B1"/>
    <w:rsid w:val="00426BD5"/>
    <w:rsid w:val="00427DD9"/>
    <w:rsid w:val="004305AF"/>
    <w:rsid w:val="00430E45"/>
    <w:rsid w:val="0043132F"/>
    <w:rsid w:val="004317DB"/>
    <w:rsid w:val="00431B8B"/>
    <w:rsid w:val="00431BB6"/>
    <w:rsid w:val="00432381"/>
    <w:rsid w:val="00432BD8"/>
    <w:rsid w:val="00432C5C"/>
    <w:rsid w:val="004336E6"/>
    <w:rsid w:val="00435ADE"/>
    <w:rsid w:val="00436675"/>
    <w:rsid w:val="004375EE"/>
    <w:rsid w:val="00437A48"/>
    <w:rsid w:val="00437C19"/>
    <w:rsid w:val="00441E29"/>
    <w:rsid w:val="00443BD7"/>
    <w:rsid w:val="00444016"/>
    <w:rsid w:val="00445EFA"/>
    <w:rsid w:val="004461DA"/>
    <w:rsid w:val="0044664E"/>
    <w:rsid w:val="00446E55"/>
    <w:rsid w:val="00446F09"/>
    <w:rsid w:val="004515AB"/>
    <w:rsid w:val="00452DA8"/>
    <w:rsid w:val="00452EA6"/>
    <w:rsid w:val="0045340F"/>
    <w:rsid w:val="00453A48"/>
    <w:rsid w:val="004574CA"/>
    <w:rsid w:val="00457712"/>
    <w:rsid w:val="00457B36"/>
    <w:rsid w:val="00457F2B"/>
    <w:rsid w:val="00460611"/>
    <w:rsid w:val="00461467"/>
    <w:rsid w:val="00461D1F"/>
    <w:rsid w:val="00462B9E"/>
    <w:rsid w:val="004645E2"/>
    <w:rsid w:val="00464610"/>
    <w:rsid w:val="004656E2"/>
    <w:rsid w:val="0046600E"/>
    <w:rsid w:val="00467171"/>
    <w:rsid w:val="00467D2E"/>
    <w:rsid w:val="00470148"/>
    <w:rsid w:val="00470379"/>
    <w:rsid w:val="00470526"/>
    <w:rsid w:val="00470753"/>
    <w:rsid w:val="00470B60"/>
    <w:rsid w:val="004714EC"/>
    <w:rsid w:val="00471E68"/>
    <w:rsid w:val="00472243"/>
    <w:rsid w:val="0047234C"/>
    <w:rsid w:val="0047266C"/>
    <w:rsid w:val="00472C9D"/>
    <w:rsid w:val="00473D3B"/>
    <w:rsid w:val="00475B6C"/>
    <w:rsid w:val="00475BE0"/>
    <w:rsid w:val="0047692F"/>
    <w:rsid w:val="00476D35"/>
    <w:rsid w:val="00480F00"/>
    <w:rsid w:val="004810C3"/>
    <w:rsid w:val="00482D2F"/>
    <w:rsid w:val="00483235"/>
    <w:rsid w:val="004848A4"/>
    <w:rsid w:val="0048555B"/>
    <w:rsid w:val="00485DB1"/>
    <w:rsid w:val="00487089"/>
    <w:rsid w:val="0049056B"/>
    <w:rsid w:val="00490D79"/>
    <w:rsid w:val="00493563"/>
    <w:rsid w:val="004936C2"/>
    <w:rsid w:val="004937D8"/>
    <w:rsid w:val="00494C83"/>
    <w:rsid w:val="00494D8F"/>
    <w:rsid w:val="0049577A"/>
    <w:rsid w:val="00496BDC"/>
    <w:rsid w:val="00497E25"/>
    <w:rsid w:val="004A0755"/>
    <w:rsid w:val="004A2763"/>
    <w:rsid w:val="004A328A"/>
    <w:rsid w:val="004A3881"/>
    <w:rsid w:val="004A43AE"/>
    <w:rsid w:val="004A49DF"/>
    <w:rsid w:val="004A5140"/>
    <w:rsid w:val="004A5635"/>
    <w:rsid w:val="004A6494"/>
    <w:rsid w:val="004A6BE3"/>
    <w:rsid w:val="004A6E48"/>
    <w:rsid w:val="004A7981"/>
    <w:rsid w:val="004A7CF9"/>
    <w:rsid w:val="004B00E7"/>
    <w:rsid w:val="004B078F"/>
    <w:rsid w:val="004B12B9"/>
    <w:rsid w:val="004B179D"/>
    <w:rsid w:val="004B3499"/>
    <w:rsid w:val="004B504F"/>
    <w:rsid w:val="004B6C40"/>
    <w:rsid w:val="004B707A"/>
    <w:rsid w:val="004C0C6E"/>
    <w:rsid w:val="004C0E8A"/>
    <w:rsid w:val="004C0FFD"/>
    <w:rsid w:val="004C30FE"/>
    <w:rsid w:val="004C4371"/>
    <w:rsid w:val="004C4AA5"/>
    <w:rsid w:val="004C7D38"/>
    <w:rsid w:val="004D0C70"/>
    <w:rsid w:val="004D0D86"/>
    <w:rsid w:val="004D10C6"/>
    <w:rsid w:val="004D1992"/>
    <w:rsid w:val="004D2643"/>
    <w:rsid w:val="004D294E"/>
    <w:rsid w:val="004D3D03"/>
    <w:rsid w:val="004D4586"/>
    <w:rsid w:val="004D523A"/>
    <w:rsid w:val="004D5782"/>
    <w:rsid w:val="004D5D9E"/>
    <w:rsid w:val="004D6329"/>
    <w:rsid w:val="004D7DFF"/>
    <w:rsid w:val="004E0282"/>
    <w:rsid w:val="004E034B"/>
    <w:rsid w:val="004E0DB2"/>
    <w:rsid w:val="004E149A"/>
    <w:rsid w:val="004E1544"/>
    <w:rsid w:val="004E1609"/>
    <w:rsid w:val="004E17FC"/>
    <w:rsid w:val="004E1BEA"/>
    <w:rsid w:val="004E274E"/>
    <w:rsid w:val="004E381A"/>
    <w:rsid w:val="004E3CE2"/>
    <w:rsid w:val="004E4635"/>
    <w:rsid w:val="004E4BDA"/>
    <w:rsid w:val="004E517F"/>
    <w:rsid w:val="004E520F"/>
    <w:rsid w:val="004E525A"/>
    <w:rsid w:val="004E54AE"/>
    <w:rsid w:val="004E68B0"/>
    <w:rsid w:val="004E6A8B"/>
    <w:rsid w:val="004F1153"/>
    <w:rsid w:val="004F2196"/>
    <w:rsid w:val="004F2F39"/>
    <w:rsid w:val="004F3374"/>
    <w:rsid w:val="004F3A60"/>
    <w:rsid w:val="004F3ADA"/>
    <w:rsid w:val="004F47BE"/>
    <w:rsid w:val="004F4D57"/>
    <w:rsid w:val="004F5335"/>
    <w:rsid w:val="004F7588"/>
    <w:rsid w:val="004F7657"/>
    <w:rsid w:val="004F778E"/>
    <w:rsid w:val="004F7A38"/>
    <w:rsid w:val="00501375"/>
    <w:rsid w:val="0050148F"/>
    <w:rsid w:val="00502CE2"/>
    <w:rsid w:val="00502F91"/>
    <w:rsid w:val="00503968"/>
    <w:rsid w:val="00506D1F"/>
    <w:rsid w:val="0050731C"/>
    <w:rsid w:val="00507CB9"/>
    <w:rsid w:val="00510288"/>
    <w:rsid w:val="005113A5"/>
    <w:rsid w:val="0051232E"/>
    <w:rsid w:val="0051320D"/>
    <w:rsid w:val="00514C02"/>
    <w:rsid w:val="00515B80"/>
    <w:rsid w:val="005169D1"/>
    <w:rsid w:val="00516B07"/>
    <w:rsid w:val="00516CD4"/>
    <w:rsid w:val="00517CCE"/>
    <w:rsid w:val="00520AAA"/>
    <w:rsid w:val="00520B2A"/>
    <w:rsid w:val="00522129"/>
    <w:rsid w:val="00522C2A"/>
    <w:rsid w:val="00523579"/>
    <w:rsid w:val="005238E5"/>
    <w:rsid w:val="00524279"/>
    <w:rsid w:val="005244EF"/>
    <w:rsid w:val="005249FE"/>
    <w:rsid w:val="00524F08"/>
    <w:rsid w:val="00525F12"/>
    <w:rsid w:val="005300D7"/>
    <w:rsid w:val="00530606"/>
    <w:rsid w:val="0053162A"/>
    <w:rsid w:val="0053257E"/>
    <w:rsid w:val="00532C07"/>
    <w:rsid w:val="005331CD"/>
    <w:rsid w:val="005338E4"/>
    <w:rsid w:val="00534897"/>
    <w:rsid w:val="00535C43"/>
    <w:rsid w:val="00536475"/>
    <w:rsid w:val="00536DE0"/>
    <w:rsid w:val="00540EB1"/>
    <w:rsid w:val="005427E2"/>
    <w:rsid w:val="0054286C"/>
    <w:rsid w:val="00543B1C"/>
    <w:rsid w:val="00543DB8"/>
    <w:rsid w:val="00543E5A"/>
    <w:rsid w:val="00544A84"/>
    <w:rsid w:val="00545A32"/>
    <w:rsid w:val="0054645F"/>
    <w:rsid w:val="00546DA3"/>
    <w:rsid w:val="005473F9"/>
    <w:rsid w:val="005475BC"/>
    <w:rsid w:val="005476EC"/>
    <w:rsid w:val="00550915"/>
    <w:rsid w:val="00550AEC"/>
    <w:rsid w:val="00550B2C"/>
    <w:rsid w:val="00552D57"/>
    <w:rsid w:val="00552FB2"/>
    <w:rsid w:val="005540F3"/>
    <w:rsid w:val="00555A88"/>
    <w:rsid w:val="005603B0"/>
    <w:rsid w:val="005604B3"/>
    <w:rsid w:val="00560BE7"/>
    <w:rsid w:val="00560BEB"/>
    <w:rsid w:val="00560F39"/>
    <w:rsid w:val="005616ED"/>
    <w:rsid w:val="00561B87"/>
    <w:rsid w:val="00561ED4"/>
    <w:rsid w:val="005625CA"/>
    <w:rsid w:val="005627A5"/>
    <w:rsid w:val="005629D0"/>
    <w:rsid w:val="0056339E"/>
    <w:rsid w:val="00564197"/>
    <w:rsid w:val="00564498"/>
    <w:rsid w:val="00564A4E"/>
    <w:rsid w:val="005662EB"/>
    <w:rsid w:val="00567811"/>
    <w:rsid w:val="00570338"/>
    <w:rsid w:val="00570452"/>
    <w:rsid w:val="00572155"/>
    <w:rsid w:val="005721A8"/>
    <w:rsid w:val="00572F54"/>
    <w:rsid w:val="005732DD"/>
    <w:rsid w:val="0057357B"/>
    <w:rsid w:val="0057397D"/>
    <w:rsid w:val="00573E82"/>
    <w:rsid w:val="005749BD"/>
    <w:rsid w:val="0057674D"/>
    <w:rsid w:val="0058042C"/>
    <w:rsid w:val="005815B6"/>
    <w:rsid w:val="00581C1F"/>
    <w:rsid w:val="00581E8D"/>
    <w:rsid w:val="00582629"/>
    <w:rsid w:val="00582F81"/>
    <w:rsid w:val="005830AE"/>
    <w:rsid w:val="00584799"/>
    <w:rsid w:val="005848E1"/>
    <w:rsid w:val="00584E85"/>
    <w:rsid w:val="0058651B"/>
    <w:rsid w:val="005868C1"/>
    <w:rsid w:val="00586EEC"/>
    <w:rsid w:val="00587116"/>
    <w:rsid w:val="005871DA"/>
    <w:rsid w:val="00587695"/>
    <w:rsid w:val="0059054D"/>
    <w:rsid w:val="00590F13"/>
    <w:rsid w:val="00591FD8"/>
    <w:rsid w:val="00592102"/>
    <w:rsid w:val="005921B8"/>
    <w:rsid w:val="00592A13"/>
    <w:rsid w:val="00592A85"/>
    <w:rsid w:val="0059316B"/>
    <w:rsid w:val="00593BB3"/>
    <w:rsid w:val="005949A8"/>
    <w:rsid w:val="00595958"/>
    <w:rsid w:val="00596F7C"/>
    <w:rsid w:val="005A0360"/>
    <w:rsid w:val="005A0627"/>
    <w:rsid w:val="005A077D"/>
    <w:rsid w:val="005A0A57"/>
    <w:rsid w:val="005A19DC"/>
    <w:rsid w:val="005A300E"/>
    <w:rsid w:val="005A3A2F"/>
    <w:rsid w:val="005A4320"/>
    <w:rsid w:val="005A45B6"/>
    <w:rsid w:val="005A498D"/>
    <w:rsid w:val="005A4F38"/>
    <w:rsid w:val="005A5269"/>
    <w:rsid w:val="005A62DF"/>
    <w:rsid w:val="005A6B1C"/>
    <w:rsid w:val="005A70C4"/>
    <w:rsid w:val="005A73B4"/>
    <w:rsid w:val="005A77EC"/>
    <w:rsid w:val="005A7C43"/>
    <w:rsid w:val="005A7E3E"/>
    <w:rsid w:val="005B1139"/>
    <w:rsid w:val="005B1783"/>
    <w:rsid w:val="005B24AE"/>
    <w:rsid w:val="005B2BCA"/>
    <w:rsid w:val="005B31A3"/>
    <w:rsid w:val="005B4AA7"/>
    <w:rsid w:val="005B4CD6"/>
    <w:rsid w:val="005B5630"/>
    <w:rsid w:val="005B60D9"/>
    <w:rsid w:val="005B69C3"/>
    <w:rsid w:val="005B6B54"/>
    <w:rsid w:val="005B77F8"/>
    <w:rsid w:val="005B7EEB"/>
    <w:rsid w:val="005C0157"/>
    <w:rsid w:val="005C031B"/>
    <w:rsid w:val="005C03D0"/>
    <w:rsid w:val="005C0B82"/>
    <w:rsid w:val="005C1300"/>
    <w:rsid w:val="005C19CA"/>
    <w:rsid w:val="005C1C67"/>
    <w:rsid w:val="005C1CB3"/>
    <w:rsid w:val="005C1F41"/>
    <w:rsid w:val="005C2E43"/>
    <w:rsid w:val="005C4522"/>
    <w:rsid w:val="005C5C02"/>
    <w:rsid w:val="005C62C6"/>
    <w:rsid w:val="005C7884"/>
    <w:rsid w:val="005C7F4D"/>
    <w:rsid w:val="005D2CB2"/>
    <w:rsid w:val="005D2F55"/>
    <w:rsid w:val="005D49BF"/>
    <w:rsid w:val="005D506B"/>
    <w:rsid w:val="005D5565"/>
    <w:rsid w:val="005D5804"/>
    <w:rsid w:val="005D5DD2"/>
    <w:rsid w:val="005D6556"/>
    <w:rsid w:val="005D66CE"/>
    <w:rsid w:val="005D793D"/>
    <w:rsid w:val="005D7ADD"/>
    <w:rsid w:val="005E030F"/>
    <w:rsid w:val="005E1D8A"/>
    <w:rsid w:val="005E1E8F"/>
    <w:rsid w:val="005E262F"/>
    <w:rsid w:val="005E2A8C"/>
    <w:rsid w:val="005E3D47"/>
    <w:rsid w:val="005E54E1"/>
    <w:rsid w:val="005E56A6"/>
    <w:rsid w:val="005E60BD"/>
    <w:rsid w:val="005E6501"/>
    <w:rsid w:val="005E6C72"/>
    <w:rsid w:val="005E771D"/>
    <w:rsid w:val="005F035F"/>
    <w:rsid w:val="005F1198"/>
    <w:rsid w:val="005F1846"/>
    <w:rsid w:val="005F30C3"/>
    <w:rsid w:val="005F3A94"/>
    <w:rsid w:val="005F4109"/>
    <w:rsid w:val="005F4B76"/>
    <w:rsid w:val="005F4B7B"/>
    <w:rsid w:val="005F5030"/>
    <w:rsid w:val="005F5DE5"/>
    <w:rsid w:val="005F5E2D"/>
    <w:rsid w:val="005F782F"/>
    <w:rsid w:val="005F7863"/>
    <w:rsid w:val="005F7B77"/>
    <w:rsid w:val="006007D9"/>
    <w:rsid w:val="00600954"/>
    <w:rsid w:val="00601193"/>
    <w:rsid w:val="00601323"/>
    <w:rsid w:val="00601732"/>
    <w:rsid w:val="00601E5A"/>
    <w:rsid w:val="006026A6"/>
    <w:rsid w:val="006031F1"/>
    <w:rsid w:val="0060353B"/>
    <w:rsid w:val="006039FC"/>
    <w:rsid w:val="00604154"/>
    <w:rsid w:val="0060477B"/>
    <w:rsid w:val="00604FDF"/>
    <w:rsid w:val="00605866"/>
    <w:rsid w:val="00606E24"/>
    <w:rsid w:val="00607A06"/>
    <w:rsid w:val="00607A18"/>
    <w:rsid w:val="00610DF5"/>
    <w:rsid w:val="006121BA"/>
    <w:rsid w:val="0061263E"/>
    <w:rsid w:val="00612DE1"/>
    <w:rsid w:val="00612EA9"/>
    <w:rsid w:val="006131B8"/>
    <w:rsid w:val="00615301"/>
    <w:rsid w:val="00616736"/>
    <w:rsid w:val="00620565"/>
    <w:rsid w:val="00620789"/>
    <w:rsid w:val="00620876"/>
    <w:rsid w:val="0062114C"/>
    <w:rsid w:val="006224B2"/>
    <w:rsid w:val="00622C58"/>
    <w:rsid w:val="00622DB2"/>
    <w:rsid w:val="006241AD"/>
    <w:rsid w:val="0062450C"/>
    <w:rsid w:val="00624657"/>
    <w:rsid w:val="00624FD0"/>
    <w:rsid w:val="00626B6D"/>
    <w:rsid w:val="00626C5E"/>
    <w:rsid w:val="00626D9C"/>
    <w:rsid w:val="00627B9A"/>
    <w:rsid w:val="006308AF"/>
    <w:rsid w:val="00630AFE"/>
    <w:rsid w:val="00630C5E"/>
    <w:rsid w:val="00631556"/>
    <w:rsid w:val="006315B4"/>
    <w:rsid w:val="00635218"/>
    <w:rsid w:val="00635AC3"/>
    <w:rsid w:val="00636FFB"/>
    <w:rsid w:val="00640DCE"/>
    <w:rsid w:val="006420BA"/>
    <w:rsid w:val="00642DED"/>
    <w:rsid w:val="00643CB6"/>
    <w:rsid w:val="006450D0"/>
    <w:rsid w:val="0064588B"/>
    <w:rsid w:val="00647B58"/>
    <w:rsid w:val="006522A1"/>
    <w:rsid w:val="00652681"/>
    <w:rsid w:val="006534F6"/>
    <w:rsid w:val="00653660"/>
    <w:rsid w:val="00653BBD"/>
    <w:rsid w:val="00654CCF"/>
    <w:rsid w:val="00655836"/>
    <w:rsid w:val="00655A9A"/>
    <w:rsid w:val="00657741"/>
    <w:rsid w:val="00657E97"/>
    <w:rsid w:val="00660069"/>
    <w:rsid w:val="00660F85"/>
    <w:rsid w:val="006613E6"/>
    <w:rsid w:val="006613FD"/>
    <w:rsid w:val="006619AE"/>
    <w:rsid w:val="006639C7"/>
    <w:rsid w:val="00663E22"/>
    <w:rsid w:val="00665F82"/>
    <w:rsid w:val="00666035"/>
    <w:rsid w:val="00666DA4"/>
    <w:rsid w:val="00667255"/>
    <w:rsid w:val="006709F8"/>
    <w:rsid w:val="0067186C"/>
    <w:rsid w:val="00671E11"/>
    <w:rsid w:val="006720DD"/>
    <w:rsid w:val="006722E7"/>
    <w:rsid w:val="00672C6A"/>
    <w:rsid w:val="00673B1F"/>
    <w:rsid w:val="00673F87"/>
    <w:rsid w:val="0067435D"/>
    <w:rsid w:val="006764D8"/>
    <w:rsid w:val="006779DA"/>
    <w:rsid w:val="00677C3A"/>
    <w:rsid w:val="006803DE"/>
    <w:rsid w:val="00681FE9"/>
    <w:rsid w:val="00682499"/>
    <w:rsid w:val="00682EB3"/>
    <w:rsid w:val="00683208"/>
    <w:rsid w:val="006834CC"/>
    <w:rsid w:val="00685432"/>
    <w:rsid w:val="006865D1"/>
    <w:rsid w:val="00687EB3"/>
    <w:rsid w:val="00690178"/>
    <w:rsid w:val="00690373"/>
    <w:rsid w:val="00690AEE"/>
    <w:rsid w:val="00692980"/>
    <w:rsid w:val="00693246"/>
    <w:rsid w:val="00694620"/>
    <w:rsid w:val="0069506F"/>
    <w:rsid w:val="00696582"/>
    <w:rsid w:val="006967B2"/>
    <w:rsid w:val="0069745E"/>
    <w:rsid w:val="006976D3"/>
    <w:rsid w:val="006978FA"/>
    <w:rsid w:val="006A07A6"/>
    <w:rsid w:val="006A0BB3"/>
    <w:rsid w:val="006A197E"/>
    <w:rsid w:val="006A1DBB"/>
    <w:rsid w:val="006A238E"/>
    <w:rsid w:val="006A367A"/>
    <w:rsid w:val="006A369A"/>
    <w:rsid w:val="006A37CE"/>
    <w:rsid w:val="006A38FC"/>
    <w:rsid w:val="006A39BE"/>
    <w:rsid w:val="006A5824"/>
    <w:rsid w:val="006A634D"/>
    <w:rsid w:val="006A6854"/>
    <w:rsid w:val="006A75CD"/>
    <w:rsid w:val="006A7CE6"/>
    <w:rsid w:val="006B04EC"/>
    <w:rsid w:val="006B058E"/>
    <w:rsid w:val="006B1E01"/>
    <w:rsid w:val="006B4E40"/>
    <w:rsid w:val="006B50C0"/>
    <w:rsid w:val="006B6119"/>
    <w:rsid w:val="006B66EB"/>
    <w:rsid w:val="006B68C6"/>
    <w:rsid w:val="006C076D"/>
    <w:rsid w:val="006C0D57"/>
    <w:rsid w:val="006C103A"/>
    <w:rsid w:val="006C270D"/>
    <w:rsid w:val="006C2739"/>
    <w:rsid w:val="006C2AC5"/>
    <w:rsid w:val="006C3786"/>
    <w:rsid w:val="006C37FD"/>
    <w:rsid w:val="006C3C91"/>
    <w:rsid w:val="006C3D52"/>
    <w:rsid w:val="006C4C08"/>
    <w:rsid w:val="006C4E6A"/>
    <w:rsid w:val="006C50E8"/>
    <w:rsid w:val="006C6C92"/>
    <w:rsid w:val="006C6CF6"/>
    <w:rsid w:val="006C6E5F"/>
    <w:rsid w:val="006C7FCD"/>
    <w:rsid w:val="006D0A15"/>
    <w:rsid w:val="006D1E14"/>
    <w:rsid w:val="006D3235"/>
    <w:rsid w:val="006D464D"/>
    <w:rsid w:val="006D59BA"/>
    <w:rsid w:val="006D5A50"/>
    <w:rsid w:val="006D5DD8"/>
    <w:rsid w:val="006D6F94"/>
    <w:rsid w:val="006E0214"/>
    <w:rsid w:val="006E0ADB"/>
    <w:rsid w:val="006E0E6C"/>
    <w:rsid w:val="006E303F"/>
    <w:rsid w:val="006E5306"/>
    <w:rsid w:val="006E5A5B"/>
    <w:rsid w:val="006E6265"/>
    <w:rsid w:val="006E6F11"/>
    <w:rsid w:val="006E7495"/>
    <w:rsid w:val="006F06DB"/>
    <w:rsid w:val="006F0B6B"/>
    <w:rsid w:val="006F144D"/>
    <w:rsid w:val="006F2222"/>
    <w:rsid w:val="006F461B"/>
    <w:rsid w:val="006F4B01"/>
    <w:rsid w:val="006F5314"/>
    <w:rsid w:val="006F5D15"/>
    <w:rsid w:val="006F622C"/>
    <w:rsid w:val="006F6523"/>
    <w:rsid w:val="006F6A9F"/>
    <w:rsid w:val="00700EA8"/>
    <w:rsid w:val="00700FF6"/>
    <w:rsid w:val="00702D20"/>
    <w:rsid w:val="0070384C"/>
    <w:rsid w:val="007045C2"/>
    <w:rsid w:val="00704D44"/>
    <w:rsid w:val="007053F1"/>
    <w:rsid w:val="00705471"/>
    <w:rsid w:val="0070556A"/>
    <w:rsid w:val="00705E4B"/>
    <w:rsid w:val="00706284"/>
    <w:rsid w:val="00706CF1"/>
    <w:rsid w:val="00706E24"/>
    <w:rsid w:val="00707092"/>
    <w:rsid w:val="00707AEA"/>
    <w:rsid w:val="00710D82"/>
    <w:rsid w:val="007116A6"/>
    <w:rsid w:val="00711CD9"/>
    <w:rsid w:val="00713758"/>
    <w:rsid w:val="0071378C"/>
    <w:rsid w:val="007143F9"/>
    <w:rsid w:val="00714C36"/>
    <w:rsid w:val="007153E6"/>
    <w:rsid w:val="00715A68"/>
    <w:rsid w:val="00715DD5"/>
    <w:rsid w:val="00715ECF"/>
    <w:rsid w:val="00717025"/>
    <w:rsid w:val="007179F7"/>
    <w:rsid w:val="00717A04"/>
    <w:rsid w:val="00717BFE"/>
    <w:rsid w:val="00717F70"/>
    <w:rsid w:val="0072003E"/>
    <w:rsid w:val="007200E8"/>
    <w:rsid w:val="007205ED"/>
    <w:rsid w:val="00720781"/>
    <w:rsid w:val="007208C5"/>
    <w:rsid w:val="00720915"/>
    <w:rsid w:val="0072141E"/>
    <w:rsid w:val="00721908"/>
    <w:rsid w:val="007232EE"/>
    <w:rsid w:val="00723DEA"/>
    <w:rsid w:val="00723EB3"/>
    <w:rsid w:val="007258A4"/>
    <w:rsid w:val="00725BB4"/>
    <w:rsid w:val="007264DD"/>
    <w:rsid w:val="00726E30"/>
    <w:rsid w:val="007277A9"/>
    <w:rsid w:val="00727A25"/>
    <w:rsid w:val="00730AE8"/>
    <w:rsid w:val="00730B74"/>
    <w:rsid w:val="00730D28"/>
    <w:rsid w:val="00730F4F"/>
    <w:rsid w:val="0073136B"/>
    <w:rsid w:val="0073180A"/>
    <w:rsid w:val="00731E9C"/>
    <w:rsid w:val="00732383"/>
    <w:rsid w:val="00732997"/>
    <w:rsid w:val="007335F9"/>
    <w:rsid w:val="007336C3"/>
    <w:rsid w:val="007340BA"/>
    <w:rsid w:val="007341BE"/>
    <w:rsid w:val="00735033"/>
    <w:rsid w:val="00740F87"/>
    <w:rsid w:val="00741B4C"/>
    <w:rsid w:val="00741B84"/>
    <w:rsid w:val="00741F4E"/>
    <w:rsid w:val="00742BE4"/>
    <w:rsid w:val="00743AFC"/>
    <w:rsid w:val="00743D69"/>
    <w:rsid w:val="00743F42"/>
    <w:rsid w:val="00745D3A"/>
    <w:rsid w:val="007476C5"/>
    <w:rsid w:val="00753EE3"/>
    <w:rsid w:val="00754A9D"/>
    <w:rsid w:val="00754CC0"/>
    <w:rsid w:val="00754FDD"/>
    <w:rsid w:val="00755000"/>
    <w:rsid w:val="007554B4"/>
    <w:rsid w:val="00756485"/>
    <w:rsid w:val="0075705D"/>
    <w:rsid w:val="00760EA0"/>
    <w:rsid w:val="007626E1"/>
    <w:rsid w:val="00763309"/>
    <w:rsid w:val="007667C2"/>
    <w:rsid w:val="00767F65"/>
    <w:rsid w:val="00770D6C"/>
    <w:rsid w:val="00770E89"/>
    <w:rsid w:val="00771A7F"/>
    <w:rsid w:val="0077203B"/>
    <w:rsid w:val="00772161"/>
    <w:rsid w:val="00772D05"/>
    <w:rsid w:val="00773BBC"/>
    <w:rsid w:val="007745B3"/>
    <w:rsid w:val="00774A82"/>
    <w:rsid w:val="00774D96"/>
    <w:rsid w:val="00775B2B"/>
    <w:rsid w:val="00777AC2"/>
    <w:rsid w:val="00777C3A"/>
    <w:rsid w:val="007822DF"/>
    <w:rsid w:val="00783515"/>
    <w:rsid w:val="00786AD8"/>
    <w:rsid w:val="00787C94"/>
    <w:rsid w:val="00791205"/>
    <w:rsid w:val="0079146E"/>
    <w:rsid w:val="00791BCB"/>
    <w:rsid w:val="007921BD"/>
    <w:rsid w:val="007922BD"/>
    <w:rsid w:val="007924DF"/>
    <w:rsid w:val="00792E1F"/>
    <w:rsid w:val="00793227"/>
    <w:rsid w:val="00793A02"/>
    <w:rsid w:val="00795C6B"/>
    <w:rsid w:val="007A03B0"/>
    <w:rsid w:val="007A084F"/>
    <w:rsid w:val="007A1566"/>
    <w:rsid w:val="007A1908"/>
    <w:rsid w:val="007A1EF0"/>
    <w:rsid w:val="007A274E"/>
    <w:rsid w:val="007A27B8"/>
    <w:rsid w:val="007A27DA"/>
    <w:rsid w:val="007A3995"/>
    <w:rsid w:val="007A41D0"/>
    <w:rsid w:val="007A4E62"/>
    <w:rsid w:val="007A5002"/>
    <w:rsid w:val="007A5067"/>
    <w:rsid w:val="007A5556"/>
    <w:rsid w:val="007A57BE"/>
    <w:rsid w:val="007A5AC5"/>
    <w:rsid w:val="007B128E"/>
    <w:rsid w:val="007B16D3"/>
    <w:rsid w:val="007B299B"/>
    <w:rsid w:val="007B2B84"/>
    <w:rsid w:val="007B385E"/>
    <w:rsid w:val="007B461A"/>
    <w:rsid w:val="007B47B7"/>
    <w:rsid w:val="007B622D"/>
    <w:rsid w:val="007B66C3"/>
    <w:rsid w:val="007B78DE"/>
    <w:rsid w:val="007B7C9E"/>
    <w:rsid w:val="007B7D78"/>
    <w:rsid w:val="007C1314"/>
    <w:rsid w:val="007C20D0"/>
    <w:rsid w:val="007C35E9"/>
    <w:rsid w:val="007C4288"/>
    <w:rsid w:val="007C45CB"/>
    <w:rsid w:val="007C484E"/>
    <w:rsid w:val="007C54D5"/>
    <w:rsid w:val="007C581A"/>
    <w:rsid w:val="007C5B9D"/>
    <w:rsid w:val="007C6B2C"/>
    <w:rsid w:val="007D02B9"/>
    <w:rsid w:val="007D1045"/>
    <w:rsid w:val="007D1E8D"/>
    <w:rsid w:val="007D21AD"/>
    <w:rsid w:val="007D2B36"/>
    <w:rsid w:val="007D4853"/>
    <w:rsid w:val="007D4A48"/>
    <w:rsid w:val="007D5672"/>
    <w:rsid w:val="007D57C4"/>
    <w:rsid w:val="007D5FA8"/>
    <w:rsid w:val="007D6B9A"/>
    <w:rsid w:val="007E0429"/>
    <w:rsid w:val="007E0A79"/>
    <w:rsid w:val="007E0ACE"/>
    <w:rsid w:val="007E1180"/>
    <w:rsid w:val="007E11D4"/>
    <w:rsid w:val="007E298C"/>
    <w:rsid w:val="007E3C57"/>
    <w:rsid w:val="007E3E68"/>
    <w:rsid w:val="007E41DE"/>
    <w:rsid w:val="007E4665"/>
    <w:rsid w:val="007E488E"/>
    <w:rsid w:val="007E4CE3"/>
    <w:rsid w:val="007E4DCD"/>
    <w:rsid w:val="007E504C"/>
    <w:rsid w:val="007E539E"/>
    <w:rsid w:val="007E7255"/>
    <w:rsid w:val="007E78B3"/>
    <w:rsid w:val="007F0B85"/>
    <w:rsid w:val="007F1F9E"/>
    <w:rsid w:val="007F2A68"/>
    <w:rsid w:val="007F2B1F"/>
    <w:rsid w:val="007F2B5A"/>
    <w:rsid w:val="007F3507"/>
    <w:rsid w:val="007F3A8A"/>
    <w:rsid w:val="007F47FE"/>
    <w:rsid w:val="007F53D5"/>
    <w:rsid w:val="007F54BB"/>
    <w:rsid w:val="007F5995"/>
    <w:rsid w:val="007F5F31"/>
    <w:rsid w:val="007F6185"/>
    <w:rsid w:val="007F7E45"/>
    <w:rsid w:val="008007BE"/>
    <w:rsid w:val="00801413"/>
    <w:rsid w:val="008016FB"/>
    <w:rsid w:val="00801D88"/>
    <w:rsid w:val="008022F7"/>
    <w:rsid w:val="00802B5F"/>
    <w:rsid w:val="00802F7A"/>
    <w:rsid w:val="00803866"/>
    <w:rsid w:val="00803F68"/>
    <w:rsid w:val="008048D9"/>
    <w:rsid w:val="00804C59"/>
    <w:rsid w:val="008061B7"/>
    <w:rsid w:val="008062A3"/>
    <w:rsid w:val="00806522"/>
    <w:rsid w:val="00806A1C"/>
    <w:rsid w:val="00806C5B"/>
    <w:rsid w:val="008075CA"/>
    <w:rsid w:val="0080773A"/>
    <w:rsid w:val="00810D18"/>
    <w:rsid w:val="00811450"/>
    <w:rsid w:val="00811A8E"/>
    <w:rsid w:val="00812BED"/>
    <w:rsid w:val="00813AE9"/>
    <w:rsid w:val="00814663"/>
    <w:rsid w:val="00816346"/>
    <w:rsid w:val="00816FC0"/>
    <w:rsid w:val="0081735E"/>
    <w:rsid w:val="008173F3"/>
    <w:rsid w:val="00817BEA"/>
    <w:rsid w:val="00820200"/>
    <w:rsid w:val="00820885"/>
    <w:rsid w:val="00820BB1"/>
    <w:rsid w:val="0082117C"/>
    <w:rsid w:val="00821593"/>
    <w:rsid w:val="0082262E"/>
    <w:rsid w:val="008227E9"/>
    <w:rsid w:val="00824673"/>
    <w:rsid w:val="008252C5"/>
    <w:rsid w:val="008253D5"/>
    <w:rsid w:val="008267C1"/>
    <w:rsid w:val="00826AA1"/>
    <w:rsid w:val="00831860"/>
    <w:rsid w:val="00832F2D"/>
    <w:rsid w:val="00835ED7"/>
    <w:rsid w:val="008363D9"/>
    <w:rsid w:val="00836745"/>
    <w:rsid w:val="00836C6A"/>
    <w:rsid w:val="00837F44"/>
    <w:rsid w:val="00840173"/>
    <w:rsid w:val="00841C9F"/>
    <w:rsid w:val="0084294E"/>
    <w:rsid w:val="00843900"/>
    <w:rsid w:val="00843AFA"/>
    <w:rsid w:val="00843EFF"/>
    <w:rsid w:val="008442A5"/>
    <w:rsid w:val="008477A9"/>
    <w:rsid w:val="008507BF"/>
    <w:rsid w:val="00850DC1"/>
    <w:rsid w:val="00851F80"/>
    <w:rsid w:val="00852017"/>
    <w:rsid w:val="00853577"/>
    <w:rsid w:val="0085416A"/>
    <w:rsid w:val="0085653C"/>
    <w:rsid w:val="00856B0F"/>
    <w:rsid w:val="00856D3E"/>
    <w:rsid w:val="00856E39"/>
    <w:rsid w:val="00857396"/>
    <w:rsid w:val="00857A43"/>
    <w:rsid w:val="008601B2"/>
    <w:rsid w:val="00860621"/>
    <w:rsid w:val="008608A3"/>
    <w:rsid w:val="00862189"/>
    <w:rsid w:val="0086244F"/>
    <w:rsid w:val="008628CE"/>
    <w:rsid w:val="0086326F"/>
    <w:rsid w:val="008644DC"/>
    <w:rsid w:val="008645EE"/>
    <w:rsid w:val="00865343"/>
    <w:rsid w:val="00865963"/>
    <w:rsid w:val="00865A2F"/>
    <w:rsid w:val="0086691B"/>
    <w:rsid w:val="00867A07"/>
    <w:rsid w:val="0087186A"/>
    <w:rsid w:val="00871AF5"/>
    <w:rsid w:val="00872C56"/>
    <w:rsid w:val="008737FA"/>
    <w:rsid w:val="00874024"/>
    <w:rsid w:val="00874F67"/>
    <w:rsid w:val="008755FF"/>
    <w:rsid w:val="0087670D"/>
    <w:rsid w:val="00876AC2"/>
    <w:rsid w:val="0087798C"/>
    <w:rsid w:val="008779A0"/>
    <w:rsid w:val="00877E8F"/>
    <w:rsid w:val="008807A6"/>
    <w:rsid w:val="0088148D"/>
    <w:rsid w:val="00881976"/>
    <w:rsid w:val="0088356C"/>
    <w:rsid w:val="00883F43"/>
    <w:rsid w:val="008843C5"/>
    <w:rsid w:val="00884C98"/>
    <w:rsid w:val="00884CE2"/>
    <w:rsid w:val="00885154"/>
    <w:rsid w:val="00885490"/>
    <w:rsid w:val="00885C89"/>
    <w:rsid w:val="00885E7D"/>
    <w:rsid w:val="00887442"/>
    <w:rsid w:val="008878A0"/>
    <w:rsid w:val="008901F0"/>
    <w:rsid w:val="008904E8"/>
    <w:rsid w:val="00890DF5"/>
    <w:rsid w:val="008916E8"/>
    <w:rsid w:val="00891A85"/>
    <w:rsid w:val="00891C46"/>
    <w:rsid w:val="0089296A"/>
    <w:rsid w:val="00892EDE"/>
    <w:rsid w:val="0089363F"/>
    <w:rsid w:val="00894D05"/>
    <w:rsid w:val="00895572"/>
    <w:rsid w:val="00896197"/>
    <w:rsid w:val="00896DB0"/>
    <w:rsid w:val="00896ED8"/>
    <w:rsid w:val="008A209D"/>
    <w:rsid w:val="008A2436"/>
    <w:rsid w:val="008A25CC"/>
    <w:rsid w:val="008A3075"/>
    <w:rsid w:val="008A3AE0"/>
    <w:rsid w:val="008A3B3D"/>
    <w:rsid w:val="008A4D77"/>
    <w:rsid w:val="008A4E8C"/>
    <w:rsid w:val="008A506E"/>
    <w:rsid w:val="008A563D"/>
    <w:rsid w:val="008A61EC"/>
    <w:rsid w:val="008A70C5"/>
    <w:rsid w:val="008A7359"/>
    <w:rsid w:val="008B0BB8"/>
    <w:rsid w:val="008B0C99"/>
    <w:rsid w:val="008B3B0A"/>
    <w:rsid w:val="008B4A2C"/>
    <w:rsid w:val="008B54BC"/>
    <w:rsid w:val="008B596C"/>
    <w:rsid w:val="008B6356"/>
    <w:rsid w:val="008B6FAB"/>
    <w:rsid w:val="008B7BB8"/>
    <w:rsid w:val="008B7F8B"/>
    <w:rsid w:val="008BADD2"/>
    <w:rsid w:val="008C0955"/>
    <w:rsid w:val="008C0DAA"/>
    <w:rsid w:val="008C17A3"/>
    <w:rsid w:val="008C27EA"/>
    <w:rsid w:val="008C2BA0"/>
    <w:rsid w:val="008C4FC2"/>
    <w:rsid w:val="008C69F2"/>
    <w:rsid w:val="008C6A1C"/>
    <w:rsid w:val="008C6A29"/>
    <w:rsid w:val="008C71C1"/>
    <w:rsid w:val="008C73A5"/>
    <w:rsid w:val="008C7553"/>
    <w:rsid w:val="008C7819"/>
    <w:rsid w:val="008D0A08"/>
    <w:rsid w:val="008D0BF2"/>
    <w:rsid w:val="008D0D4C"/>
    <w:rsid w:val="008D1D44"/>
    <w:rsid w:val="008D1FF8"/>
    <w:rsid w:val="008D202E"/>
    <w:rsid w:val="008D2269"/>
    <w:rsid w:val="008D2618"/>
    <w:rsid w:val="008D26F6"/>
    <w:rsid w:val="008D2A0D"/>
    <w:rsid w:val="008D3C15"/>
    <w:rsid w:val="008D3E6C"/>
    <w:rsid w:val="008D42C7"/>
    <w:rsid w:val="008D527B"/>
    <w:rsid w:val="008D596C"/>
    <w:rsid w:val="008D612D"/>
    <w:rsid w:val="008D64B2"/>
    <w:rsid w:val="008D6AE6"/>
    <w:rsid w:val="008D6DCA"/>
    <w:rsid w:val="008D6FE3"/>
    <w:rsid w:val="008D770F"/>
    <w:rsid w:val="008D7A80"/>
    <w:rsid w:val="008E04EC"/>
    <w:rsid w:val="008E0781"/>
    <w:rsid w:val="008E085C"/>
    <w:rsid w:val="008E1F80"/>
    <w:rsid w:val="008E3FC6"/>
    <w:rsid w:val="008E43F4"/>
    <w:rsid w:val="008E5235"/>
    <w:rsid w:val="008E57CA"/>
    <w:rsid w:val="008E6067"/>
    <w:rsid w:val="008E7C36"/>
    <w:rsid w:val="008F00C4"/>
    <w:rsid w:val="008F06E9"/>
    <w:rsid w:val="008F1DE8"/>
    <w:rsid w:val="008F37DE"/>
    <w:rsid w:val="008F42F6"/>
    <w:rsid w:val="008F4771"/>
    <w:rsid w:val="008F5282"/>
    <w:rsid w:val="008F6FCB"/>
    <w:rsid w:val="008F74C1"/>
    <w:rsid w:val="009008A0"/>
    <w:rsid w:val="009008DB"/>
    <w:rsid w:val="009008E4"/>
    <w:rsid w:val="00900AE0"/>
    <w:rsid w:val="00902972"/>
    <w:rsid w:val="009037B7"/>
    <w:rsid w:val="0090554F"/>
    <w:rsid w:val="00906613"/>
    <w:rsid w:val="00910B28"/>
    <w:rsid w:val="00910CC4"/>
    <w:rsid w:val="00910D81"/>
    <w:rsid w:val="00912BAC"/>
    <w:rsid w:val="009134F7"/>
    <w:rsid w:val="00913781"/>
    <w:rsid w:val="00913FBD"/>
    <w:rsid w:val="00915CAD"/>
    <w:rsid w:val="009166F2"/>
    <w:rsid w:val="00916B27"/>
    <w:rsid w:val="0091799B"/>
    <w:rsid w:val="00917C81"/>
    <w:rsid w:val="009218FB"/>
    <w:rsid w:val="0092264E"/>
    <w:rsid w:val="00923680"/>
    <w:rsid w:val="00924273"/>
    <w:rsid w:val="00925058"/>
    <w:rsid w:val="009268F3"/>
    <w:rsid w:val="00926A5B"/>
    <w:rsid w:val="00926CDB"/>
    <w:rsid w:val="0092734A"/>
    <w:rsid w:val="00927B49"/>
    <w:rsid w:val="00930113"/>
    <w:rsid w:val="00931F3A"/>
    <w:rsid w:val="009326DD"/>
    <w:rsid w:val="00932ECF"/>
    <w:rsid w:val="00933100"/>
    <w:rsid w:val="0093359B"/>
    <w:rsid w:val="00933E22"/>
    <w:rsid w:val="009348F4"/>
    <w:rsid w:val="009356EC"/>
    <w:rsid w:val="00935C19"/>
    <w:rsid w:val="009372C6"/>
    <w:rsid w:val="00937DA0"/>
    <w:rsid w:val="00937FAD"/>
    <w:rsid w:val="00937FB2"/>
    <w:rsid w:val="0094114F"/>
    <w:rsid w:val="00941542"/>
    <w:rsid w:val="009416D1"/>
    <w:rsid w:val="0094258B"/>
    <w:rsid w:val="00942871"/>
    <w:rsid w:val="00942C00"/>
    <w:rsid w:val="009437F0"/>
    <w:rsid w:val="009500F3"/>
    <w:rsid w:val="0095038B"/>
    <w:rsid w:val="009512C1"/>
    <w:rsid w:val="009521EC"/>
    <w:rsid w:val="009524EF"/>
    <w:rsid w:val="009528E4"/>
    <w:rsid w:val="00952DFE"/>
    <w:rsid w:val="00953358"/>
    <w:rsid w:val="00954ABD"/>
    <w:rsid w:val="009553A0"/>
    <w:rsid w:val="00955476"/>
    <w:rsid w:val="0095690D"/>
    <w:rsid w:val="00957861"/>
    <w:rsid w:val="009602F4"/>
    <w:rsid w:val="00960485"/>
    <w:rsid w:val="009604EC"/>
    <w:rsid w:val="009609C5"/>
    <w:rsid w:val="00961A71"/>
    <w:rsid w:val="00961B7B"/>
    <w:rsid w:val="00962D41"/>
    <w:rsid w:val="0096358D"/>
    <w:rsid w:val="00964047"/>
    <w:rsid w:val="009653BD"/>
    <w:rsid w:val="009657EF"/>
    <w:rsid w:val="00965B1A"/>
    <w:rsid w:val="00966267"/>
    <w:rsid w:val="00966B20"/>
    <w:rsid w:val="0096734A"/>
    <w:rsid w:val="00971B57"/>
    <w:rsid w:val="0097495A"/>
    <w:rsid w:val="0097581E"/>
    <w:rsid w:val="00976322"/>
    <w:rsid w:val="009765BF"/>
    <w:rsid w:val="00976933"/>
    <w:rsid w:val="00976A2C"/>
    <w:rsid w:val="00976E44"/>
    <w:rsid w:val="00977147"/>
    <w:rsid w:val="0098166F"/>
    <w:rsid w:val="00981893"/>
    <w:rsid w:val="00981AC0"/>
    <w:rsid w:val="00981E4F"/>
    <w:rsid w:val="009820CC"/>
    <w:rsid w:val="0098322A"/>
    <w:rsid w:val="00984974"/>
    <w:rsid w:val="00985859"/>
    <w:rsid w:val="00985B82"/>
    <w:rsid w:val="00986438"/>
    <w:rsid w:val="0098645D"/>
    <w:rsid w:val="00986774"/>
    <w:rsid w:val="009869D7"/>
    <w:rsid w:val="009873AA"/>
    <w:rsid w:val="009877A2"/>
    <w:rsid w:val="00987968"/>
    <w:rsid w:val="00987C89"/>
    <w:rsid w:val="00987DBF"/>
    <w:rsid w:val="00990A4A"/>
    <w:rsid w:val="00990AF2"/>
    <w:rsid w:val="00990BAD"/>
    <w:rsid w:val="00991697"/>
    <w:rsid w:val="00991886"/>
    <w:rsid w:val="00992986"/>
    <w:rsid w:val="00993820"/>
    <w:rsid w:val="009938B2"/>
    <w:rsid w:val="00993D52"/>
    <w:rsid w:val="009943E7"/>
    <w:rsid w:val="009948E5"/>
    <w:rsid w:val="00995ADE"/>
    <w:rsid w:val="00996569"/>
    <w:rsid w:val="009966B6"/>
    <w:rsid w:val="009970F9"/>
    <w:rsid w:val="00997A15"/>
    <w:rsid w:val="009A099B"/>
    <w:rsid w:val="009A09D7"/>
    <w:rsid w:val="009A0BF9"/>
    <w:rsid w:val="009A1C48"/>
    <w:rsid w:val="009A2E6A"/>
    <w:rsid w:val="009A483A"/>
    <w:rsid w:val="009A5408"/>
    <w:rsid w:val="009A5590"/>
    <w:rsid w:val="009A6141"/>
    <w:rsid w:val="009A747E"/>
    <w:rsid w:val="009A7725"/>
    <w:rsid w:val="009A7EB8"/>
    <w:rsid w:val="009A7F03"/>
    <w:rsid w:val="009B0BC5"/>
    <w:rsid w:val="009B12DB"/>
    <w:rsid w:val="009B19C1"/>
    <w:rsid w:val="009B1D94"/>
    <w:rsid w:val="009B3282"/>
    <w:rsid w:val="009B329A"/>
    <w:rsid w:val="009B64F7"/>
    <w:rsid w:val="009B7264"/>
    <w:rsid w:val="009B7463"/>
    <w:rsid w:val="009B7FE1"/>
    <w:rsid w:val="009C0E68"/>
    <w:rsid w:val="009C1FF6"/>
    <w:rsid w:val="009C22BA"/>
    <w:rsid w:val="009C2C1F"/>
    <w:rsid w:val="009C346C"/>
    <w:rsid w:val="009C3837"/>
    <w:rsid w:val="009C3A86"/>
    <w:rsid w:val="009C44BD"/>
    <w:rsid w:val="009C4D00"/>
    <w:rsid w:val="009C4DEF"/>
    <w:rsid w:val="009C50D3"/>
    <w:rsid w:val="009C537F"/>
    <w:rsid w:val="009C6026"/>
    <w:rsid w:val="009C66D8"/>
    <w:rsid w:val="009C6F6E"/>
    <w:rsid w:val="009C7F23"/>
    <w:rsid w:val="009D0290"/>
    <w:rsid w:val="009D0585"/>
    <w:rsid w:val="009D0AF6"/>
    <w:rsid w:val="009D1564"/>
    <w:rsid w:val="009D1C24"/>
    <w:rsid w:val="009D1E0D"/>
    <w:rsid w:val="009D1FF8"/>
    <w:rsid w:val="009D2BB3"/>
    <w:rsid w:val="009D57CB"/>
    <w:rsid w:val="009D6C89"/>
    <w:rsid w:val="009E0846"/>
    <w:rsid w:val="009E1597"/>
    <w:rsid w:val="009E1D69"/>
    <w:rsid w:val="009E1EF4"/>
    <w:rsid w:val="009E1F32"/>
    <w:rsid w:val="009E2016"/>
    <w:rsid w:val="009E404C"/>
    <w:rsid w:val="009E4BD5"/>
    <w:rsid w:val="009E6163"/>
    <w:rsid w:val="009E696D"/>
    <w:rsid w:val="009E69BA"/>
    <w:rsid w:val="009E7147"/>
    <w:rsid w:val="009F16DB"/>
    <w:rsid w:val="009F184F"/>
    <w:rsid w:val="009F1BE0"/>
    <w:rsid w:val="009F247E"/>
    <w:rsid w:val="009F3E04"/>
    <w:rsid w:val="009F4674"/>
    <w:rsid w:val="009F54FE"/>
    <w:rsid w:val="009F6535"/>
    <w:rsid w:val="009F66C8"/>
    <w:rsid w:val="009F75B4"/>
    <w:rsid w:val="009F7A13"/>
    <w:rsid w:val="009F7CED"/>
    <w:rsid w:val="00A0160A"/>
    <w:rsid w:val="00A01956"/>
    <w:rsid w:val="00A0221C"/>
    <w:rsid w:val="00A042D2"/>
    <w:rsid w:val="00A04362"/>
    <w:rsid w:val="00A04569"/>
    <w:rsid w:val="00A0476B"/>
    <w:rsid w:val="00A05C8C"/>
    <w:rsid w:val="00A05D1B"/>
    <w:rsid w:val="00A0604B"/>
    <w:rsid w:val="00A0672F"/>
    <w:rsid w:val="00A06D60"/>
    <w:rsid w:val="00A0736A"/>
    <w:rsid w:val="00A07DE7"/>
    <w:rsid w:val="00A07E6D"/>
    <w:rsid w:val="00A10434"/>
    <w:rsid w:val="00A10646"/>
    <w:rsid w:val="00A1075B"/>
    <w:rsid w:val="00A10D3E"/>
    <w:rsid w:val="00A11E93"/>
    <w:rsid w:val="00A120D6"/>
    <w:rsid w:val="00A1301A"/>
    <w:rsid w:val="00A14C37"/>
    <w:rsid w:val="00A158ED"/>
    <w:rsid w:val="00A15DFF"/>
    <w:rsid w:val="00A161B9"/>
    <w:rsid w:val="00A162A7"/>
    <w:rsid w:val="00A163D5"/>
    <w:rsid w:val="00A17A4D"/>
    <w:rsid w:val="00A17E7C"/>
    <w:rsid w:val="00A17F1F"/>
    <w:rsid w:val="00A20462"/>
    <w:rsid w:val="00A20BEC"/>
    <w:rsid w:val="00A20F57"/>
    <w:rsid w:val="00A213AD"/>
    <w:rsid w:val="00A219D7"/>
    <w:rsid w:val="00A222F0"/>
    <w:rsid w:val="00A2296F"/>
    <w:rsid w:val="00A2345F"/>
    <w:rsid w:val="00A23C5D"/>
    <w:rsid w:val="00A25CBD"/>
    <w:rsid w:val="00A26AF0"/>
    <w:rsid w:val="00A26F16"/>
    <w:rsid w:val="00A2776A"/>
    <w:rsid w:val="00A2785C"/>
    <w:rsid w:val="00A30073"/>
    <w:rsid w:val="00A30B3E"/>
    <w:rsid w:val="00A31603"/>
    <w:rsid w:val="00A323EA"/>
    <w:rsid w:val="00A33CAC"/>
    <w:rsid w:val="00A33DCF"/>
    <w:rsid w:val="00A33EA7"/>
    <w:rsid w:val="00A33EB1"/>
    <w:rsid w:val="00A34CEE"/>
    <w:rsid w:val="00A3501F"/>
    <w:rsid w:val="00A3637C"/>
    <w:rsid w:val="00A363BC"/>
    <w:rsid w:val="00A369FF"/>
    <w:rsid w:val="00A377FE"/>
    <w:rsid w:val="00A37F61"/>
    <w:rsid w:val="00A400DF"/>
    <w:rsid w:val="00A4128C"/>
    <w:rsid w:val="00A41AEF"/>
    <w:rsid w:val="00A41C1A"/>
    <w:rsid w:val="00A41DF6"/>
    <w:rsid w:val="00A41F53"/>
    <w:rsid w:val="00A43171"/>
    <w:rsid w:val="00A4392F"/>
    <w:rsid w:val="00A4429C"/>
    <w:rsid w:val="00A447B3"/>
    <w:rsid w:val="00A45291"/>
    <w:rsid w:val="00A464A8"/>
    <w:rsid w:val="00A46A82"/>
    <w:rsid w:val="00A46E5F"/>
    <w:rsid w:val="00A478F8"/>
    <w:rsid w:val="00A47D51"/>
    <w:rsid w:val="00A500DD"/>
    <w:rsid w:val="00A505E4"/>
    <w:rsid w:val="00A513E1"/>
    <w:rsid w:val="00A51A55"/>
    <w:rsid w:val="00A52C3F"/>
    <w:rsid w:val="00A53566"/>
    <w:rsid w:val="00A54F85"/>
    <w:rsid w:val="00A55DB6"/>
    <w:rsid w:val="00A56351"/>
    <w:rsid w:val="00A56BB7"/>
    <w:rsid w:val="00A56F7F"/>
    <w:rsid w:val="00A5757D"/>
    <w:rsid w:val="00A57AE6"/>
    <w:rsid w:val="00A61784"/>
    <w:rsid w:val="00A61B4D"/>
    <w:rsid w:val="00A627C0"/>
    <w:rsid w:val="00A6331A"/>
    <w:rsid w:val="00A63B9D"/>
    <w:rsid w:val="00A64120"/>
    <w:rsid w:val="00A64C88"/>
    <w:rsid w:val="00A6557D"/>
    <w:rsid w:val="00A65BCC"/>
    <w:rsid w:val="00A66AC1"/>
    <w:rsid w:val="00A66B38"/>
    <w:rsid w:val="00A70B1B"/>
    <w:rsid w:val="00A70D4F"/>
    <w:rsid w:val="00A7154B"/>
    <w:rsid w:val="00A7194D"/>
    <w:rsid w:val="00A71C93"/>
    <w:rsid w:val="00A72973"/>
    <w:rsid w:val="00A731E0"/>
    <w:rsid w:val="00A74054"/>
    <w:rsid w:val="00A74AFD"/>
    <w:rsid w:val="00A74CBC"/>
    <w:rsid w:val="00A74E1D"/>
    <w:rsid w:val="00A756BC"/>
    <w:rsid w:val="00A7631F"/>
    <w:rsid w:val="00A778D6"/>
    <w:rsid w:val="00A778E2"/>
    <w:rsid w:val="00A80613"/>
    <w:rsid w:val="00A8064B"/>
    <w:rsid w:val="00A811A1"/>
    <w:rsid w:val="00A82E08"/>
    <w:rsid w:val="00A83592"/>
    <w:rsid w:val="00A83A98"/>
    <w:rsid w:val="00A83B76"/>
    <w:rsid w:val="00A84814"/>
    <w:rsid w:val="00A849AD"/>
    <w:rsid w:val="00A84CDA"/>
    <w:rsid w:val="00A84D68"/>
    <w:rsid w:val="00A855CE"/>
    <w:rsid w:val="00A85AEA"/>
    <w:rsid w:val="00A86EE4"/>
    <w:rsid w:val="00A87EF8"/>
    <w:rsid w:val="00A9039D"/>
    <w:rsid w:val="00A903C0"/>
    <w:rsid w:val="00A90440"/>
    <w:rsid w:val="00A90A75"/>
    <w:rsid w:val="00A90E6D"/>
    <w:rsid w:val="00A91652"/>
    <w:rsid w:val="00A92529"/>
    <w:rsid w:val="00A94019"/>
    <w:rsid w:val="00A951BA"/>
    <w:rsid w:val="00A95B4E"/>
    <w:rsid w:val="00A9694C"/>
    <w:rsid w:val="00A97A13"/>
    <w:rsid w:val="00AA1DB3"/>
    <w:rsid w:val="00AA28E8"/>
    <w:rsid w:val="00AA3D18"/>
    <w:rsid w:val="00AA451F"/>
    <w:rsid w:val="00AA5165"/>
    <w:rsid w:val="00AA5355"/>
    <w:rsid w:val="00AA55A9"/>
    <w:rsid w:val="00AA60D1"/>
    <w:rsid w:val="00AA70E4"/>
    <w:rsid w:val="00AA7F05"/>
    <w:rsid w:val="00AB0708"/>
    <w:rsid w:val="00AB0A96"/>
    <w:rsid w:val="00AB0C45"/>
    <w:rsid w:val="00AB18F4"/>
    <w:rsid w:val="00AB19B8"/>
    <w:rsid w:val="00AB2A59"/>
    <w:rsid w:val="00AB31F9"/>
    <w:rsid w:val="00AB3737"/>
    <w:rsid w:val="00AB55AF"/>
    <w:rsid w:val="00AB5A31"/>
    <w:rsid w:val="00AB5E98"/>
    <w:rsid w:val="00AB6652"/>
    <w:rsid w:val="00AC050D"/>
    <w:rsid w:val="00AC052C"/>
    <w:rsid w:val="00AC13EB"/>
    <w:rsid w:val="00AC1525"/>
    <w:rsid w:val="00AC1AF8"/>
    <w:rsid w:val="00AC22B9"/>
    <w:rsid w:val="00AC2308"/>
    <w:rsid w:val="00AC3E84"/>
    <w:rsid w:val="00AC4458"/>
    <w:rsid w:val="00AC447D"/>
    <w:rsid w:val="00AC54C8"/>
    <w:rsid w:val="00AC55E2"/>
    <w:rsid w:val="00AC5B1C"/>
    <w:rsid w:val="00AC6AE7"/>
    <w:rsid w:val="00AC6B2C"/>
    <w:rsid w:val="00AC70D2"/>
    <w:rsid w:val="00AC73AF"/>
    <w:rsid w:val="00AC7E4F"/>
    <w:rsid w:val="00AD05AC"/>
    <w:rsid w:val="00AD13AA"/>
    <w:rsid w:val="00AD141E"/>
    <w:rsid w:val="00AD21FF"/>
    <w:rsid w:val="00AD3317"/>
    <w:rsid w:val="00AD4C13"/>
    <w:rsid w:val="00AD5446"/>
    <w:rsid w:val="00AD5B31"/>
    <w:rsid w:val="00AD623F"/>
    <w:rsid w:val="00AD6506"/>
    <w:rsid w:val="00AD7202"/>
    <w:rsid w:val="00AD7977"/>
    <w:rsid w:val="00AE03F3"/>
    <w:rsid w:val="00AE0C61"/>
    <w:rsid w:val="00AE1698"/>
    <w:rsid w:val="00AE1F71"/>
    <w:rsid w:val="00AE2329"/>
    <w:rsid w:val="00AE272C"/>
    <w:rsid w:val="00AE4E64"/>
    <w:rsid w:val="00AE539B"/>
    <w:rsid w:val="00AE5E72"/>
    <w:rsid w:val="00AE6435"/>
    <w:rsid w:val="00AE650F"/>
    <w:rsid w:val="00AF4210"/>
    <w:rsid w:val="00AF4F03"/>
    <w:rsid w:val="00AF511E"/>
    <w:rsid w:val="00AF5AC2"/>
    <w:rsid w:val="00AF5E71"/>
    <w:rsid w:val="00AF6711"/>
    <w:rsid w:val="00AF6F7A"/>
    <w:rsid w:val="00B00499"/>
    <w:rsid w:val="00B0107A"/>
    <w:rsid w:val="00B0110C"/>
    <w:rsid w:val="00B01625"/>
    <w:rsid w:val="00B0169A"/>
    <w:rsid w:val="00B01EEF"/>
    <w:rsid w:val="00B02D24"/>
    <w:rsid w:val="00B03149"/>
    <w:rsid w:val="00B0487B"/>
    <w:rsid w:val="00B04A83"/>
    <w:rsid w:val="00B0530E"/>
    <w:rsid w:val="00B05D1C"/>
    <w:rsid w:val="00B066BF"/>
    <w:rsid w:val="00B10D65"/>
    <w:rsid w:val="00B11B12"/>
    <w:rsid w:val="00B11CC6"/>
    <w:rsid w:val="00B13365"/>
    <w:rsid w:val="00B137B3"/>
    <w:rsid w:val="00B13AE3"/>
    <w:rsid w:val="00B1423E"/>
    <w:rsid w:val="00B14653"/>
    <w:rsid w:val="00B14AEB"/>
    <w:rsid w:val="00B14C16"/>
    <w:rsid w:val="00B14F96"/>
    <w:rsid w:val="00B164C7"/>
    <w:rsid w:val="00B1710D"/>
    <w:rsid w:val="00B17889"/>
    <w:rsid w:val="00B21291"/>
    <w:rsid w:val="00B22CCA"/>
    <w:rsid w:val="00B23B4E"/>
    <w:rsid w:val="00B249F2"/>
    <w:rsid w:val="00B24B97"/>
    <w:rsid w:val="00B24D77"/>
    <w:rsid w:val="00B25550"/>
    <w:rsid w:val="00B25564"/>
    <w:rsid w:val="00B265C6"/>
    <w:rsid w:val="00B273F4"/>
    <w:rsid w:val="00B2763C"/>
    <w:rsid w:val="00B27C06"/>
    <w:rsid w:val="00B30D22"/>
    <w:rsid w:val="00B30DCD"/>
    <w:rsid w:val="00B30FBD"/>
    <w:rsid w:val="00B31128"/>
    <w:rsid w:val="00B31B46"/>
    <w:rsid w:val="00B32CFA"/>
    <w:rsid w:val="00B33480"/>
    <w:rsid w:val="00B3460B"/>
    <w:rsid w:val="00B34D75"/>
    <w:rsid w:val="00B354C4"/>
    <w:rsid w:val="00B35A1F"/>
    <w:rsid w:val="00B37528"/>
    <w:rsid w:val="00B377D3"/>
    <w:rsid w:val="00B3797A"/>
    <w:rsid w:val="00B401EA"/>
    <w:rsid w:val="00B40FE2"/>
    <w:rsid w:val="00B4175A"/>
    <w:rsid w:val="00B4178F"/>
    <w:rsid w:val="00B41DAA"/>
    <w:rsid w:val="00B4216E"/>
    <w:rsid w:val="00B44290"/>
    <w:rsid w:val="00B4487B"/>
    <w:rsid w:val="00B448DC"/>
    <w:rsid w:val="00B454BA"/>
    <w:rsid w:val="00B45DF1"/>
    <w:rsid w:val="00B463AC"/>
    <w:rsid w:val="00B465EA"/>
    <w:rsid w:val="00B46BE4"/>
    <w:rsid w:val="00B46C8B"/>
    <w:rsid w:val="00B47078"/>
    <w:rsid w:val="00B5000F"/>
    <w:rsid w:val="00B50114"/>
    <w:rsid w:val="00B507BD"/>
    <w:rsid w:val="00B51095"/>
    <w:rsid w:val="00B512DD"/>
    <w:rsid w:val="00B5139E"/>
    <w:rsid w:val="00B515F2"/>
    <w:rsid w:val="00B51973"/>
    <w:rsid w:val="00B51C78"/>
    <w:rsid w:val="00B521B1"/>
    <w:rsid w:val="00B539D4"/>
    <w:rsid w:val="00B53C83"/>
    <w:rsid w:val="00B5400E"/>
    <w:rsid w:val="00B543C8"/>
    <w:rsid w:val="00B55E26"/>
    <w:rsid w:val="00B56720"/>
    <w:rsid w:val="00B56CAE"/>
    <w:rsid w:val="00B57195"/>
    <w:rsid w:val="00B607A5"/>
    <w:rsid w:val="00B60ACF"/>
    <w:rsid w:val="00B60CA1"/>
    <w:rsid w:val="00B6123C"/>
    <w:rsid w:val="00B61484"/>
    <w:rsid w:val="00B61A5E"/>
    <w:rsid w:val="00B61CA6"/>
    <w:rsid w:val="00B62061"/>
    <w:rsid w:val="00B621EB"/>
    <w:rsid w:val="00B62EC9"/>
    <w:rsid w:val="00B633FA"/>
    <w:rsid w:val="00B6400D"/>
    <w:rsid w:val="00B65245"/>
    <w:rsid w:val="00B65F1B"/>
    <w:rsid w:val="00B66AE4"/>
    <w:rsid w:val="00B66D03"/>
    <w:rsid w:val="00B7000F"/>
    <w:rsid w:val="00B70331"/>
    <w:rsid w:val="00B7108B"/>
    <w:rsid w:val="00B714EA"/>
    <w:rsid w:val="00B7168D"/>
    <w:rsid w:val="00B728B5"/>
    <w:rsid w:val="00B729FC"/>
    <w:rsid w:val="00B73383"/>
    <w:rsid w:val="00B73808"/>
    <w:rsid w:val="00B73E74"/>
    <w:rsid w:val="00B73EC6"/>
    <w:rsid w:val="00B7585F"/>
    <w:rsid w:val="00B75AC4"/>
    <w:rsid w:val="00B76430"/>
    <w:rsid w:val="00B764B2"/>
    <w:rsid w:val="00B766E4"/>
    <w:rsid w:val="00B77509"/>
    <w:rsid w:val="00B7756F"/>
    <w:rsid w:val="00B77D54"/>
    <w:rsid w:val="00B803AC"/>
    <w:rsid w:val="00B80E2A"/>
    <w:rsid w:val="00B823E8"/>
    <w:rsid w:val="00B82BB0"/>
    <w:rsid w:val="00B82FB0"/>
    <w:rsid w:val="00B8326D"/>
    <w:rsid w:val="00B840F4"/>
    <w:rsid w:val="00B8434B"/>
    <w:rsid w:val="00B84AD9"/>
    <w:rsid w:val="00B84AF8"/>
    <w:rsid w:val="00B8734D"/>
    <w:rsid w:val="00B87584"/>
    <w:rsid w:val="00B90062"/>
    <w:rsid w:val="00B9036E"/>
    <w:rsid w:val="00B90492"/>
    <w:rsid w:val="00B91712"/>
    <w:rsid w:val="00B91F43"/>
    <w:rsid w:val="00B91FAC"/>
    <w:rsid w:val="00B92611"/>
    <w:rsid w:val="00B937B6"/>
    <w:rsid w:val="00B94273"/>
    <w:rsid w:val="00B94B62"/>
    <w:rsid w:val="00B95864"/>
    <w:rsid w:val="00B96223"/>
    <w:rsid w:val="00B96CEC"/>
    <w:rsid w:val="00B96D51"/>
    <w:rsid w:val="00B97568"/>
    <w:rsid w:val="00BA0475"/>
    <w:rsid w:val="00BA2324"/>
    <w:rsid w:val="00BA23B5"/>
    <w:rsid w:val="00BA3300"/>
    <w:rsid w:val="00BA3BC3"/>
    <w:rsid w:val="00BA450F"/>
    <w:rsid w:val="00BA545E"/>
    <w:rsid w:val="00BA6B99"/>
    <w:rsid w:val="00BA7E89"/>
    <w:rsid w:val="00BB28DB"/>
    <w:rsid w:val="00BB356B"/>
    <w:rsid w:val="00BB3784"/>
    <w:rsid w:val="00BB545F"/>
    <w:rsid w:val="00BB56F4"/>
    <w:rsid w:val="00BB57CE"/>
    <w:rsid w:val="00BB6439"/>
    <w:rsid w:val="00BB75F1"/>
    <w:rsid w:val="00BB787B"/>
    <w:rsid w:val="00BC19ED"/>
    <w:rsid w:val="00BC2933"/>
    <w:rsid w:val="00BC3F5E"/>
    <w:rsid w:val="00BC4235"/>
    <w:rsid w:val="00BC5A32"/>
    <w:rsid w:val="00BC7A8B"/>
    <w:rsid w:val="00BC7BBE"/>
    <w:rsid w:val="00BD011D"/>
    <w:rsid w:val="00BD3151"/>
    <w:rsid w:val="00BD3A46"/>
    <w:rsid w:val="00BD444C"/>
    <w:rsid w:val="00BD4B65"/>
    <w:rsid w:val="00BD68FA"/>
    <w:rsid w:val="00BD6F4B"/>
    <w:rsid w:val="00BD7D5C"/>
    <w:rsid w:val="00BE1418"/>
    <w:rsid w:val="00BE18FE"/>
    <w:rsid w:val="00BE1A67"/>
    <w:rsid w:val="00BE1D08"/>
    <w:rsid w:val="00BE280C"/>
    <w:rsid w:val="00BE3020"/>
    <w:rsid w:val="00BE325A"/>
    <w:rsid w:val="00BE32D9"/>
    <w:rsid w:val="00BE32F2"/>
    <w:rsid w:val="00BE34CE"/>
    <w:rsid w:val="00BE35EB"/>
    <w:rsid w:val="00BE4889"/>
    <w:rsid w:val="00BE5129"/>
    <w:rsid w:val="00BE5353"/>
    <w:rsid w:val="00BE5DDB"/>
    <w:rsid w:val="00BE67A0"/>
    <w:rsid w:val="00BE6B70"/>
    <w:rsid w:val="00BE70A8"/>
    <w:rsid w:val="00BF054E"/>
    <w:rsid w:val="00BF093F"/>
    <w:rsid w:val="00BF0DB9"/>
    <w:rsid w:val="00BF1990"/>
    <w:rsid w:val="00BF37A1"/>
    <w:rsid w:val="00BF523B"/>
    <w:rsid w:val="00BF5ABA"/>
    <w:rsid w:val="00C0165D"/>
    <w:rsid w:val="00C024DC"/>
    <w:rsid w:val="00C02CFE"/>
    <w:rsid w:val="00C04642"/>
    <w:rsid w:val="00C04710"/>
    <w:rsid w:val="00C04EF9"/>
    <w:rsid w:val="00C05485"/>
    <w:rsid w:val="00C054EA"/>
    <w:rsid w:val="00C06B56"/>
    <w:rsid w:val="00C06F90"/>
    <w:rsid w:val="00C075F1"/>
    <w:rsid w:val="00C12B93"/>
    <w:rsid w:val="00C12EF8"/>
    <w:rsid w:val="00C134C3"/>
    <w:rsid w:val="00C13F3F"/>
    <w:rsid w:val="00C14802"/>
    <w:rsid w:val="00C15258"/>
    <w:rsid w:val="00C155BD"/>
    <w:rsid w:val="00C158FA"/>
    <w:rsid w:val="00C159EA"/>
    <w:rsid w:val="00C16AA2"/>
    <w:rsid w:val="00C17F61"/>
    <w:rsid w:val="00C20B33"/>
    <w:rsid w:val="00C21508"/>
    <w:rsid w:val="00C232A9"/>
    <w:rsid w:val="00C2378D"/>
    <w:rsid w:val="00C24E59"/>
    <w:rsid w:val="00C25278"/>
    <w:rsid w:val="00C26BB4"/>
    <w:rsid w:val="00C26C14"/>
    <w:rsid w:val="00C27D76"/>
    <w:rsid w:val="00C30DE6"/>
    <w:rsid w:val="00C319AD"/>
    <w:rsid w:val="00C319C5"/>
    <w:rsid w:val="00C31BFD"/>
    <w:rsid w:val="00C31D59"/>
    <w:rsid w:val="00C32349"/>
    <w:rsid w:val="00C33805"/>
    <w:rsid w:val="00C33EC8"/>
    <w:rsid w:val="00C35CA1"/>
    <w:rsid w:val="00C36892"/>
    <w:rsid w:val="00C4009A"/>
    <w:rsid w:val="00C40106"/>
    <w:rsid w:val="00C401C2"/>
    <w:rsid w:val="00C40D11"/>
    <w:rsid w:val="00C41453"/>
    <w:rsid w:val="00C41E86"/>
    <w:rsid w:val="00C42901"/>
    <w:rsid w:val="00C42C37"/>
    <w:rsid w:val="00C42D52"/>
    <w:rsid w:val="00C43B8A"/>
    <w:rsid w:val="00C43C3A"/>
    <w:rsid w:val="00C4472A"/>
    <w:rsid w:val="00C44D82"/>
    <w:rsid w:val="00C45735"/>
    <w:rsid w:val="00C458CF"/>
    <w:rsid w:val="00C45AFE"/>
    <w:rsid w:val="00C46330"/>
    <w:rsid w:val="00C464F7"/>
    <w:rsid w:val="00C468FE"/>
    <w:rsid w:val="00C46D9E"/>
    <w:rsid w:val="00C477B9"/>
    <w:rsid w:val="00C47F73"/>
    <w:rsid w:val="00C501E8"/>
    <w:rsid w:val="00C5073C"/>
    <w:rsid w:val="00C50864"/>
    <w:rsid w:val="00C50DF2"/>
    <w:rsid w:val="00C51112"/>
    <w:rsid w:val="00C513B7"/>
    <w:rsid w:val="00C51A62"/>
    <w:rsid w:val="00C51F81"/>
    <w:rsid w:val="00C52E86"/>
    <w:rsid w:val="00C53C84"/>
    <w:rsid w:val="00C548DA"/>
    <w:rsid w:val="00C54AE6"/>
    <w:rsid w:val="00C550DF"/>
    <w:rsid w:val="00C55587"/>
    <w:rsid w:val="00C57DE7"/>
    <w:rsid w:val="00C6077B"/>
    <w:rsid w:val="00C61124"/>
    <w:rsid w:val="00C61441"/>
    <w:rsid w:val="00C6159D"/>
    <w:rsid w:val="00C61A1A"/>
    <w:rsid w:val="00C61B17"/>
    <w:rsid w:val="00C6214C"/>
    <w:rsid w:val="00C6326F"/>
    <w:rsid w:val="00C63415"/>
    <w:rsid w:val="00C6661D"/>
    <w:rsid w:val="00C670B1"/>
    <w:rsid w:val="00C67557"/>
    <w:rsid w:val="00C676B6"/>
    <w:rsid w:val="00C67D6C"/>
    <w:rsid w:val="00C70680"/>
    <w:rsid w:val="00C7294E"/>
    <w:rsid w:val="00C74331"/>
    <w:rsid w:val="00C74BEC"/>
    <w:rsid w:val="00C752AE"/>
    <w:rsid w:val="00C75705"/>
    <w:rsid w:val="00C80EB3"/>
    <w:rsid w:val="00C81890"/>
    <w:rsid w:val="00C82F5E"/>
    <w:rsid w:val="00C8356C"/>
    <w:rsid w:val="00C8514A"/>
    <w:rsid w:val="00C8539C"/>
    <w:rsid w:val="00C8589A"/>
    <w:rsid w:val="00C85F83"/>
    <w:rsid w:val="00C86128"/>
    <w:rsid w:val="00C86559"/>
    <w:rsid w:val="00C871EC"/>
    <w:rsid w:val="00C916AF"/>
    <w:rsid w:val="00C917EB"/>
    <w:rsid w:val="00C91F90"/>
    <w:rsid w:val="00C9276B"/>
    <w:rsid w:val="00C949B4"/>
    <w:rsid w:val="00C959F4"/>
    <w:rsid w:val="00C95A32"/>
    <w:rsid w:val="00C96C57"/>
    <w:rsid w:val="00C96FCF"/>
    <w:rsid w:val="00C976EE"/>
    <w:rsid w:val="00CA0A21"/>
    <w:rsid w:val="00CA13E6"/>
    <w:rsid w:val="00CA1803"/>
    <w:rsid w:val="00CA18F5"/>
    <w:rsid w:val="00CA1A92"/>
    <w:rsid w:val="00CA3A9F"/>
    <w:rsid w:val="00CA431B"/>
    <w:rsid w:val="00CA4A8B"/>
    <w:rsid w:val="00CA4C44"/>
    <w:rsid w:val="00CA5248"/>
    <w:rsid w:val="00CA57DF"/>
    <w:rsid w:val="00CA5B28"/>
    <w:rsid w:val="00CA7094"/>
    <w:rsid w:val="00CA71DE"/>
    <w:rsid w:val="00CB0063"/>
    <w:rsid w:val="00CB1A3E"/>
    <w:rsid w:val="00CB2A98"/>
    <w:rsid w:val="00CB2EC8"/>
    <w:rsid w:val="00CB3629"/>
    <w:rsid w:val="00CB3916"/>
    <w:rsid w:val="00CB4D37"/>
    <w:rsid w:val="00CB6088"/>
    <w:rsid w:val="00CB66C3"/>
    <w:rsid w:val="00CB66F7"/>
    <w:rsid w:val="00CB6D65"/>
    <w:rsid w:val="00CB7BF9"/>
    <w:rsid w:val="00CC0C62"/>
    <w:rsid w:val="00CC1E51"/>
    <w:rsid w:val="00CC259C"/>
    <w:rsid w:val="00CC2E5B"/>
    <w:rsid w:val="00CC2F14"/>
    <w:rsid w:val="00CC3025"/>
    <w:rsid w:val="00CC32CF"/>
    <w:rsid w:val="00CC3EFF"/>
    <w:rsid w:val="00CC42D1"/>
    <w:rsid w:val="00CC4304"/>
    <w:rsid w:val="00CC43E9"/>
    <w:rsid w:val="00CC4BB2"/>
    <w:rsid w:val="00CC5B3E"/>
    <w:rsid w:val="00CC701F"/>
    <w:rsid w:val="00CC70ED"/>
    <w:rsid w:val="00CD0855"/>
    <w:rsid w:val="00CD2271"/>
    <w:rsid w:val="00CD37FF"/>
    <w:rsid w:val="00CD4041"/>
    <w:rsid w:val="00CD48C0"/>
    <w:rsid w:val="00CD4FDD"/>
    <w:rsid w:val="00CD57D6"/>
    <w:rsid w:val="00CD57EF"/>
    <w:rsid w:val="00CD6AE5"/>
    <w:rsid w:val="00CE084C"/>
    <w:rsid w:val="00CE0F9A"/>
    <w:rsid w:val="00CE1A87"/>
    <w:rsid w:val="00CE24B1"/>
    <w:rsid w:val="00CE3962"/>
    <w:rsid w:val="00CE4E5F"/>
    <w:rsid w:val="00CE5769"/>
    <w:rsid w:val="00CE5A80"/>
    <w:rsid w:val="00CE5AB3"/>
    <w:rsid w:val="00CE5F26"/>
    <w:rsid w:val="00CE7344"/>
    <w:rsid w:val="00CE7F49"/>
    <w:rsid w:val="00CF1249"/>
    <w:rsid w:val="00CF147E"/>
    <w:rsid w:val="00CF16F6"/>
    <w:rsid w:val="00CF1A99"/>
    <w:rsid w:val="00CF25EF"/>
    <w:rsid w:val="00CF28CA"/>
    <w:rsid w:val="00CF3BA0"/>
    <w:rsid w:val="00CF4353"/>
    <w:rsid w:val="00CF44FE"/>
    <w:rsid w:val="00CF4A98"/>
    <w:rsid w:val="00CF5E49"/>
    <w:rsid w:val="00CF63F5"/>
    <w:rsid w:val="00CF6AF6"/>
    <w:rsid w:val="00CF7790"/>
    <w:rsid w:val="00CF7E90"/>
    <w:rsid w:val="00D01A17"/>
    <w:rsid w:val="00D01D17"/>
    <w:rsid w:val="00D02591"/>
    <w:rsid w:val="00D02827"/>
    <w:rsid w:val="00D02D08"/>
    <w:rsid w:val="00D04642"/>
    <w:rsid w:val="00D04A96"/>
    <w:rsid w:val="00D04A9B"/>
    <w:rsid w:val="00D04F41"/>
    <w:rsid w:val="00D05B39"/>
    <w:rsid w:val="00D05B67"/>
    <w:rsid w:val="00D05D52"/>
    <w:rsid w:val="00D06679"/>
    <w:rsid w:val="00D0673C"/>
    <w:rsid w:val="00D06BAD"/>
    <w:rsid w:val="00D073F3"/>
    <w:rsid w:val="00D078EA"/>
    <w:rsid w:val="00D1231A"/>
    <w:rsid w:val="00D127BB"/>
    <w:rsid w:val="00D12C89"/>
    <w:rsid w:val="00D13319"/>
    <w:rsid w:val="00D138EC"/>
    <w:rsid w:val="00D14732"/>
    <w:rsid w:val="00D15E5F"/>
    <w:rsid w:val="00D165C4"/>
    <w:rsid w:val="00D16607"/>
    <w:rsid w:val="00D16BBC"/>
    <w:rsid w:val="00D174DE"/>
    <w:rsid w:val="00D216C9"/>
    <w:rsid w:val="00D24980"/>
    <w:rsid w:val="00D24BD6"/>
    <w:rsid w:val="00D259E1"/>
    <w:rsid w:val="00D26315"/>
    <w:rsid w:val="00D26D53"/>
    <w:rsid w:val="00D2791E"/>
    <w:rsid w:val="00D30210"/>
    <w:rsid w:val="00D31F43"/>
    <w:rsid w:val="00D323B5"/>
    <w:rsid w:val="00D35DE5"/>
    <w:rsid w:val="00D36625"/>
    <w:rsid w:val="00D3688E"/>
    <w:rsid w:val="00D378DB"/>
    <w:rsid w:val="00D37AAC"/>
    <w:rsid w:val="00D40716"/>
    <w:rsid w:val="00D407B1"/>
    <w:rsid w:val="00D40B81"/>
    <w:rsid w:val="00D40E59"/>
    <w:rsid w:val="00D415E6"/>
    <w:rsid w:val="00D423F2"/>
    <w:rsid w:val="00D425E6"/>
    <w:rsid w:val="00D433CE"/>
    <w:rsid w:val="00D4435B"/>
    <w:rsid w:val="00D444C5"/>
    <w:rsid w:val="00D45053"/>
    <w:rsid w:val="00D45308"/>
    <w:rsid w:val="00D458E1"/>
    <w:rsid w:val="00D465F2"/>
    <w:rsid w:val="00D47221"/>
    <w:rsid w:val="00D4763B"/>
    <w:rsid w:val="00D50BC7"/>
    <w:rsid w:val="00D514D1"/>
    <w:rsid w:val="00D51D48"/>
    <w:rsid w:val="00D521A7"/>
    <w:rsid w:val="00D528C3"/>
    <w:rsid w:val="00D530DC"/>
    <w:rsid w:val="00D534D5"/>
    <w:rsid w:val="00D5372C"/>
    <w:rsid w:val="00D53BD1"/>
    <w:rsid w:val="00D540E5"/>
    <w:rsid w:val="00D54691"/>
    <w:rsid w:val="00D54C12"/>
    <w:rsid w:val="00D54E4F"/>
    <w:rsid w:val="00D55282"/>
    <w:rsid w:val="00D556F3"/>
    <w:rsid w:val="00D56D07"/>
    <w:rsid w:val="00D61E22"/>
    <w:rsid w:val="00D62023"/>
    <w:rsid w:val="00D6209F"/>
    <w:rsid w:val="00D65842"/>
    <w:rsid w:val="00D65F66"/>
    <w:rsid w:val="00D67666"/>
    <w:rsid w:val="00D6791F"/>
    <w:rsid w:val="00D7070F"/>
    <w:rsid w:val="00D7086F"/>
    <w:rsid w:val="00D709DD"/>
    <w:rsid w:val="00D71D15"/>
    <w:rsid w:val="00D735E3"/>
    <w:rsid w:val="00D736E5"/>
    <w:rsid w:val="00D763B7"/>
    <w:rsid w:val="00D7647A"/>
    <w:rsid w:val="00D76732"/>
    <w:rsid w:val="00D80B19"/>
    <w:rsid w:val="00D811A2"/>
    <w:rsid w:val="00D81705"/>
    <w:rsid w:val="00D82375"/>
    <w:rsid w:val="00D8294A"/>
    <w:rsid w:val="00D82FA2"/>
    <w:rsid w:val="00D8357A"/>
    <w:rsid w:val="00D83F98"/>
    <w:rsid w:val="00D8412B"/>
    <w:rsid w:val="00D848B0"/>
    <w:rsid w:val="00D84A75"/>
    <w:rsid w:val="00D85F90"/>
    <w:rsid w:val="00D870F2"/>
    <w:rsid w:val="00D90649"/>
    <w:rsid w:val="00D9106C"/>
    <w:rsid w:val="00D91E89"/>
    <w:rsid w:val="00D91EA5"/>
    <w:rsid w:val="00D9213D"/>
    <w:rsid w:val="00D945F5"/>
    <w:rsid w:val="00D95144"/>
    <w:rsid w:val="00D95B4B"/>
    <w:rsid w:val="00D965B1"/>
    <w:rsid w:val="00D96DED"/>
    <w:rsid w:val="00D97DF9"/>
    <w:rsid w:val="00DA00EC"/>
    <w:rsid w:val="00DA14E9"/>
    <w:rsid w:val="00DA2829"/>
    <w:rsid w:val="00DA3642"/>
    <w:rsid w:val="00DA3846"/>
    <w:rsid w:val="00DA3DF9"/>
    <w:rsid w:val="00DA48CE"/>
    <w:rsid w:val="00DA638A"/>
    <w:rsid w:val="00DA6526"/>
    <w:rsid w:val="00DA6C54"/>
    <w:rsid w:val="00DA7816"/>
    <w:rsid w:val="00DB08E8"/>
    <w:rsid w:val="00DB0EB1"/>
    <w:rsid w:val="00DB1DE4"/>
    <w:rsid w:val="00DB1F24"/>
    <w:rsid w:val="00DB3759"/>
    <w:rsid w:val="00DB4084"/>
    <w:rsid w:val="00DB63DD"/>
    <w:rsid w:val="00DC015C"/>
    <w:rsid w:val="00DC0ADD"/>
    <w:rsid w:val="00DC0FE7"/>
    <w:rsid w:val="00DC1533"/>
    <w:rsid w:val="00DC19EE"/>
    <w:rsid w:val="00DC235C"/>
    <w:rsid w:val="00DC26A9"/>
    <w:rsid w:val="00DC30A7"/>
    <w:rsid w:val="00DC4019"/>
    <w:rsid w:val="00DC54A3"/>
    <w:rsid w:val="00DC7DEC"/>
    <w:rsid w:val="00DC7F80"/>
    <w:rsid w:val="00DD10B5"/>
    <w:rsid w:val="00DD181C"/>
    <w:rsid w:val="00DD1D5F"/>
    <w:rsid w:val="00DD2B6D"/>
    <w:rsid w:val="00DD2F2C"/>
    <w:rsid w:val="00DD3563"/>
    <w:rsid w:val="00DD474C"/>
    <w:rsid w:val="00DD48D9"/>
    <w:rsid w:val="00DD4DB9"/>
    <w:rsid w:val="00DD65A5"/>
    <w:rsid w:val="00DD71A8"/>
    <w:rsid w:val="00DD7817"/>
    <w:rsid w:val="00DD7B36"/>
    <w:rsid w:val="00DE1540"/>
    <w:rsid w:val="00DE3114"/>
    <w:rsid w:val="00DE403F"/>
    <w:rsid w:val="00DE413E"/>
    <w:rsid w:val="00DE45B2"/>
    <w:rsid w:val="00DE520C"/>
    <w:rsid w:val="00DE5FBF"/>
    <w:rsid w:val="00DE6EFF"/>
    <w:rsid w:val="00DF0091"/>
    <w:rsid w:val="00DF1E66"/>
    <w:rsid w:val="00DF232D"/>
    <w:rsid w:val="00DF397B"/>
    <w:rsid w:val="00DF60FD"/>
    <w:rsid w:val="00DF6410"/>
    <w:rsid w:val="00DF792F"/>
    <w:rsid w:val="00E007F7"/>
    <w:rsid w:val="00E00CE4"/>
    <w:rsid w:val="00E03377"/>
    <w:rsid w:val="00E03C45"/>
    <w:rsid w:val="00E04899"/>
    <w:rsid w:val="00E05274"/>
    <w:rsid w:val="00E05F18"/>
    <w:rsid w:val="00E064E1"/>
    <w:rsid w:val="00E0690F"/>
    <w:rsid w:val="00E06A27"/>
    <w:rsid w:val="00E11DFE"/>
    <w:rsid w:val="00E12202"/>
    <w:rsid w:val="00E134E7"/>
    <w:rsid w:val="00E16652"/>
    <w:rsid w:val="00E205AC"/>
    <w:rsid w:val="00E206B9"/>
    <w:rsid w:val="00E220AB"/>
    <w:rsid w:val="00E22ADD"/>
    <w:rsid w:val="00E230A7"/>
    <w:rsid w:val="00E23686"/>
    <w:rsid w:val="00E23745"/>
    <w:rsid w:val="00E23DF5"/>
    <w:rsid w:val="00E242C5"/>
    <w:rsid w:val="00E24673"/>
    <w:rsid w:val="00E24D5C"/>
    <w:rsid w:val="00E24F26"/>
    <w:rsid w:val="00E25810"/>
    <w:rsid w:val="00E25945"/>
    <w:rsid w:val="00E25FC2"/>
    <w:rsid w:val="00E261B4"/>
    <w:rsid w:val="00E262B1"/>
    <w:rsid w:val="00E26EFD"/>
    <w:rsid w:val="00E275CF"/>
    <w:rsid w:val="00E27F52"/>
    <w:rsid w:val="00E30324"/>
    <w:rsid w:val="00E31054"/>
    <w:rsid w:val="00E31E85"/>
    <w:rsid w:val="00E333A8"/>
    <w:rsid w:val="00E34696"/>
    <w:rsid w:val="00E348E8"/>
    <w:rsid w:val="00E34B86"/>
    <w:rsid w:val="00E34BC7"/>
    <w:rsid w:val="00E3728C"/>
    <w:rsid w:val="00E3752F"/>
    <w:rsid w:val="00E378D8"/>
    <w:rsid w:val="00E37D81"/>
    <w:rsid w:val="00E4055C"/>
    <w:rsid w:val="00E407FF"/>
    <w:rsid w:val="00E40C34"/>
    <w:rsid w:val="00E41E2C"/>
    <w:rsid w:val="00E420A9"/>
    <w:rsid w:val="00E4230E"/>
    <w:rsid w:val="00E432C8"/>
    <w:rsid w:val="00E43F3E"/>
    <w:rsid w:val="00E44207"/>
    <w:rsid w:val="00E45A27"/>
    <w:rsid w:val="00E45A5C"/>
    <w:rsid w:val="00E45AB6"/>
    <w:rsid w:val="00E45FF5"/>
    <w:rsid w:val="00E46480"/>
    <w:rsid w:val="00E46D93"/>
    <w:rsid w:val="00E511BE"/>
    <w:rsid w:val="00E51E6B"/>
    <w:rsid w:val="00E5449F"/>
    <w:rsid w:val="00E546B9"/>
    <w:rsid w:val="00E55857"/>
    <w:rsid w:val="00E60C2A"/>
    <w:rsid w:val="00E610EC"/>
    <w:rsid w:val="00E6271E"/>
    <w:rsid w:val="00E62C2B"/>
    <w:rsid w:val="00E62F01"/>
    <w:rsid w:val="00E63576"/>
    <w:rsid w:val="00E646F3"/>
    <w:rsid w:val="00E64E2D"/>
    <w:rsid w:val="00E64EE6"/>
    <w:rsid w:val="00E64F06"/>
    <w:rsid w:val="00E65506"/>
    <w:rsid w:val="00E656FE"/>
    <w:rsid w:val="00E65AD9"/>
    <w:rsid w:val="00E66C57"/>
    <w:rsid w:val="00E66D00"/>
    <w:rsid w:val="00E66F06"/>
    <w:rsid w:val="00E6748B"/>
    <w:rsid w:val="00E7027B"/>
    <w:rsid w:val="00E70552"/>
    <w:rsid w:val="00E70635"/>
    <w:rsid w:val="00E7142A"/>
    <w:rsid w:val="00E7224C"/>
    <w:rsid w:val="00E729F2"/>
    <w:rsid w:val="00E73830"/>
    <w:rsid w:val="00E73E71"/>
    <w:rsid w:val="00E74AE9"/>
    <w:rsid w:val="00E7516F"/>
    <w:rsid w:val="00E75DBD"/>
    <w:rsid w:val="00E76062"/>
    <w:rsid w:val="00E766C5"/>
    <w:rsid w:val="00E76EBC"/>
    <w:rsid w:val="00E77194"/>
    <w:rsid w:val="00E77932"/>
    <w:rsid w:val="00E779EA"/>
    <w:rsid w:val="00E805D3"/>
    <w:rsid w:val="00E80826"/>
    <w:rsid w:val="00E80A3B"/>
    <w:rsid w:val="00E81451"/>
    <w:rsid w:val="00E81D74"/>
    <w:rsid w:val="00E8258F"/>
    <w:rsid w:val="00E827AC"/>
    <w:rsid w:val="00E84200"/>
    <w:rsid w:val="00E84DA1"/>
    <w:rsid w:val="00E90273"/>
    <w:rsid w:val="00E91332"/>
    <w:rsid w:val="00E91550"/>
    <w:rsid w:val="00E91885"/>
    <w:rsid w:val="00E9411D"/>
    <w:rsid w:val="00E9510F"/>
    <w:rsid w:val="00E95E21"/>
    <w:rsid w:val="00E9761E"/>
    <w:rsid w:val="00E97671"/>
    <w:rsid w:val="00E97991"/>
    <w:rsid w:val="00EA0A89"/>
    <w:rsid w:val="00EA1048"/>
    <w:rsid w:val="00EA1353"/>
    <w:rsid w:val="00EA1959"/>
    <w:rsid w:val="00EA2B33"/>
    <w:rsid w:val="00EA3045"/>
    <w:rsid w:val="00EA4FB4"/>
    <w:rsid w:val="00EA61CD"/>
    <w:rsid w:val="00EA648E"/>
    <w:rsid w:val="00EA74D2"/>
    <w:rsid w:val="00EA76B9"/>
    <w:rsid w:val="00EB0FE7"/>
    <w:rsid w:val="00EB1150"/>
    <w:rsid w:val="00EB1D0D"/>
    <w:rsid w:val="00EB29D3"/>
    <w:rsid w:val="00EB2A39"/>
    <w:rsid w:val="00EB2C26"/>
    <w:rsid w:val="00EB58C5"/>
    <w:rsid w:val="00EB662F"/>
    <w:rsid w:val="00EB6912"/>
    <w:rsid w:val="00EC0487"/>
    <w:rsid w:val="00EC053C"/>
    <w:rsid w:val="00EC078E"/>
    <w:rsid w:val="00EC1DE8"/>
    <w:rsid w:val="00EC1FA9"/>
    <w:rsid w:val="00EC2A5A"/>
    <w:rsid w:val="00EC35AE"/>
    <w:rsid w:val="00EC3981"/>
    <w:rsid w:val="00EC476D"/>
    <w:rsid w:val="00EC4B1E"/>
    <w:rsid w:val="00EC5ED5"/>
    <w:rsid w:val="00EC6071"/>
    <w:rsid w:val="00EC749E"/>
    <w:rsid w:val="00ED016A"/>
    <w:rsid w:val="00ED0AA8"/>
    <w:rsid w:val="00ED1358"/>
    <w:rsid w:val="00ED2748"/>
    <w:rsid w:val="00ED3A1A"/>
    <w:rsid w:val="00ED3DCE"/>
    <w:rsid w:val="00ED4708"/>
    <w:rsid w:val="00ED4E87"/>
    <w:rsid w:val="00ED58DD"/>
    <w:rsid w:val="00ED6069"/>
    <w:rsid w:val="00ED66DA"/>
    <w:rsid w:val="00ED6F10"/>
    <w:rsid w:val="00EE0B44"/>
    <w:rsid w:val="00EE0D69"/>
    <w:rsid w:val="00EE0F26"/>
    <w:rsid w:val="00EE1CEE"/>
    <w:rsid w:val="00EE25B4"/>
    <w:rsid w:val="00EE2ABB"/>
    <w:rsid w:val="00EE3CAB"/>
    <w:rsid w:val="00EE3D86"/>
    <w:rsid w:val="00EE69CF"/>
    <w:rsid w:val="00EE6F85"/>
    <w:rsid w:val="00EF0150"/>
    <w:rsid w:val="00EF02DB"/>
    <w:rsid w:val="00EF08E8"/>
    <w:rsid w:val="00EF0E86"/>
    <w:rsid w:val="00EF192B"/>
    <w:rsid w:val="00EF1E66"/>
    <w:rsid w:val="00EF25EF"/>
    <w:rsid w:val="00EF265B"/>
    <w:rsid w:val="00EF2CD9"/>
    <w:rsid w:val="00EF2DD2"/>
    <w:rsid w:val="00EF38C2"/>
    <w:rsid w:val="00EF4596"/>
    <w:rsid w:val="00EF57E5"/>
    <w:rsid w:val="00EF6224"/>
    <w:rsid w:val="00EF6515"/>
    <w:rsid w:val="00EF6981"/>
    <w:rsid w:val="00EF72E6"/>
    <w:rsid w:val="00EF7506"/>
    <w:rsid w:val="00EF78B1"/>
    <w:rsid w:val="00EF7931"/>
    <w:rsid w:val="00EF7E4A"/>
    <w:rsid w:val="00F00501"/>
    <w:rsid w:val="00F00D27"/>
    <w:rsid w:val="00F02205"/>
    <w:rsid w:val="00F04831"/>
    <w:rsid w:val="00F05AB6"/>
    <w:rsid w:val="00F06B8A"/>
    <w:rsid w:val="00F0729F"/>
    <w:rsid w:val="00F07749"/>
    <w:rsid w:val="00F07A7D"/>
    <w:rsid w:val="00F1117B"/>
    <w:rsid w:val="00F11574"/>
    <w:rsid w:val="00F14124"/>
    <w:rsid w:val="00F153C1"/>
    <w:rsid w:val="00F15AFE"/>
    <w:rsid w:val="00F16839"/>
    <w:rsid w:val="00F16C45"/>
    <w:rsid w:val="00F20445"/>
    <w:rsid w:val="00F211E7"/>
    <w:rsid w:val="00F2176D"/>
    <w:rsid w:val="00F21D37"/>
    <w:rsid w:val="00F221F0"/>
    <w:rsid w:val="00F22403"/>
    <w:rsid w:val="00F22F9E"/>
    <w:rsid w:val="00F23D8C"/>
    <w:rsid w:val="00F25413"/>
    <w:rsid w:val="00F26136"/>
    <w:rsid w:val="00F261C4"/>
    <w:rsid w:val="00F263F4"/>
    <w:rsid w:val="00F2713B"/>
    <w:rsid w:val="00F27696"/>
    <w:rsid w:val="00F27BDA"/>
    <w:rsid w:val="00F30365"/>
    <w:rsid w:val="00F305D8"/>
    <w:rsid w:val="00F330F1"/>
    <w:rsid w:val="00F33302"/>
    <w:rsid w:val="00F33707"/>
    <w:rsid w:val="00F33915"/>
    <w:rsid w:val="00F343E0"/>
    <w:rsid w:val="00F35EA4"/>
    <w:rsid w:val="00F35F5A"/>
    <w:rsid w:val="00F37106"/>
    <w:rsid w:val="00F378CE"/>
    <w:rsid w:val="00F402DF"/>
    <w:rsid w:val="00F4053A"/>
    <w:rsid w:val="00F41119"/>
    <w:rsid w:val="00F4166B"/>
    <w:rsid w:val="00F4173A"/>
    <w:rsid w:val="00F426D5"/>
    <w:rsid w:val="00F42B05"/>
    <w:rsid w:val="00F42D1D"/>
    <w:rsid w:val="00F43850"/>
    <w:rsid w:val="00F43AF4"/>
    <w:rsid w:val="00F4477A"/>
    <w:rsid w:val="00F44A2E"/>
    <w:rsid w:val="00F45300"/>
    <w:rsid w:val="00F4538E"/>
    <w:rsid w:val="00F45499"/>
    <w:rsid w:val="00F45B4E"/>
    <w:rsid w:val="00F464F6"/>
    <w:rsid w:val="00F473B0"/>
    <w:rsid w:val="00F47D57"/>
    <w:rsid w:val="00F5290E"/>
    <w:rsid w:val="00F52BE7"/>
    <w:rsid w:val="00F53C6C"/>
    <w:rsid w:val="00F54FBB"/>
    <w:rsid w:val="00F556B0"/>
    <w:rsid w:val="00F55CE3"/>
    <w:rsid w:val="00F55DC4"/>
    <w:rsid w:val="00F576B3"/>
    <w:rsid w:val="00F57A3A"/>
    <w:rsid w:val="00F607A1"/>
    <w:rsid w:val="00F60D26"/>
    <w:rsid w:val="00F61F6A"/>
    <w:rsid w:val="00F6237D"/>
    <w:rsid w:val="00F62462"/>
    <w:rsid w:val="00F62979"/>
    <w:rsid w:val="00F629E0"/>
    <w:rsid w:val="00F62EA8"/>
    <w:rsid w:val="00F62F1B"/>
    <w:rsid w:val="00F631EC"/>
    <w:rsid w:val="00F63525"/>
    <w:rsid w:val="00F65855"/>
    <w:rsid w:val="00F65E43"/>
    <w:rsid w:val="00F70C2D"/>
    <w:rsid w:val="00F70EB3"/>
    <w:rsid w:val="00F70F27"/>
    <w:rsid w:val="00F710E0"/>
    <w:rsid w:val="00F71233"/>
    <w:rsid w:val="00F71568"/>
    <w:rsid w:val="00F72B3A"/>
    <w:rsid w:val="00F73F08"/>
    <w:rsid w:val="00F745E1"/>
    <w:rsid w:val="00F746EE"/>
    <w:rsid w:val="00F748E4"/>
    <w:rsid w:val="00F75A79"/>
    <w:rsid w:val="00F75D7E"/>
    <w:rsid w:val="00F7620E"/>
    <w:rsid w:val="00F775AD"/>
    <w:rsid w:val="00F8091A"/>
    <w:rsid w:val="00F80E07"/>
    <w:rsid w:val="00F80FAF"/>
    <w:rsid w:val="00F823D7"/>
    <w:rsid w:val="00F823F6"/>
    <w:rsid w:val="00F840C5"/>
    <w:rsid w:val="00F8598E"/>
    <w:rsid w:val="00F8707A"/>
    <w:rsid w:val="00F90326"/>
    <w:rsid w:val="00F90AC7"/>
    <w:rsid w:val="00F90C52"/>
    <w:rsid w:val="00F90C6A"/>
    <w:rsid w:val="00F90F86"/>
    <w:rsid w:val="00F91457"/>
    <w:rsid w:val="00F91E7D"/>
    <w:rsid w:val="00F92DF0"/>
    <w:rsid w:val="00F935B2"/>
    <w:rsid w:val="00F94C3F"/>
    <w:rsid w:val="00F94D04"/>
    <w:rsid w:val="00F9685C"/>
    <w:rsid w:val="00F96C22"/>
    <w:rsid w:val="00F97D7B"/>
    <w:rsid w:val="00FA02AB"/>
    <w:rsid w:val="00FA0454"/>
    <w:rsid w:val="00FA2C2E"/>
    <w:rsid w:val="00FA2C5F"/>
    <w:rsid w:val="00FA3909"/>
    <w:rsid w:val="00FA4848"/>
    <w:rsid w:val="00FA4A9E"/>
    <w:rsid w:val="00FA4AA2"/>
    <w:rsid w:val="00FA53C9"/>
    <w:rsid w:val="00FA6BD3"/>
    <w:rsid w:val="00FB1248"/>
    <w:rsid w:val="00FB217D"/>
    <w:rsid w:val="00FB21C0"/>
    <w:rsid w:val="00FB29CC"/>
    <w:rsid w:val="00FB3076"/>
    <w:rsid w:val="00FB3810"/>
    <w:rsid w:val="00FB40A0"/>
    <w:rsid w:val="00FB46F2"/>
    <w:rsid w:val="00FB4A15"/>
    <w:rsid w:val="00FB4C3B"/>
    <w:rsid w:val="00FB4EBC"/>
    <w:rsid w:val="00FB4F86"/>
    <w:rsid w:val="00FB5A64"/>
    <w:rsid w:val="00FB65D9"/>
    <w:rsid w:val="00FB750D"/>
    <w:rsid w:val="00FB7BDA"/>
    <w:rsid w:val="00FC0522"/>
    <w:rsid w:val="00FC248A"/>
    <w:rsid w:val="00FC2CAE"/>
    <w:rsid w:val="00FC2D83"/>
    <w:rsid w:val="00FC2DE3"/>
    <w:rsid w:val="00FC308A"/>
    <w:rsid w:val="00FC3291"/>
    <w:rsid w:val="00FC3F81"/>
    <w:rsid w:val="00FC41FA"/>
    <w:rsid w:val="00FC44AF"/>
    <w:rsid w:val="00FC45DC"/>
    <w:rsid w:val="00FC519D"/>
    <w:rsid w:val="00FC58C2"/>
    <w:rsid w:val="00FC63EC"/>
    <w:rsid w:val="00FC7F93"/>
    <w:rsid w:val="00FD0670"/>
    <w:rsid w:val="00FD1AFD"/>
    <w:rsid w:val="00FD1C71"/>
    <w:rsid w:val="00FD3D04"/>
    <w:rsid w:val="00FD4251"/>
    <w:rsid w:val="00FD49A0"/>
    <w:rsid w:val="00FD4FDB"/>
    <w:rsid w:val="00FD5B46"/>
    <w:rsid w:val="00FD6A29"/>
    <w:rsid w:val="00FE0B8B"/>
    <w:rsid w:val="00FE0D27"/>
    <w:rsid w:val="00FE17A9"/>
    <w:rsid w:val="00FE274E"/>
    <w:rsid w:val="00FE27DE"/>
    <w:rsid w:val="00FE39BA"/>
    <w:rsid w:val="00FE4C21"/>
    <w:rsid w:val="00FE53EB"/>
    <w:rsid w:val="00FE640E"/>
    <w:rsid w:val="00FE648A"/>
    <w:rsid w:val="00FF1679"/>
    <w:rsid w:val="00FF179A"/>
    <w:rsid w:val="00FF2938"/>
    <w:rsid w:val="00FF3021"/>
    <w:rsid w:val="00FF36C9"/>
    <w:rsid w:val="00FF41E0"/>
    <w:rsid w:val="00FF41F1"/>
    <w:rsid w:val="00FF54B4"/>
    <w:rsid w:val="00FF550C"/>
    <w:rsid w:val="00FF5EAE"/>
    <w:rsid w:val="00FF66CA"/>
    <w:rsid w:val="01720715"/>
    <w:rsid w:val="02E295F7"/>
    <w:rsid w:val="03D2387E"/>
    <w:rsid w:val="0700C48D"/>
    <w:rsid w:val="0841DDE0"/>
    <w:rsid w:val="0C41482B"/>
    <w:rsid w:val="0D636ADA"/>
    <w:rsid w:val="120A76BA"/>
    <w:rsid w:val="122B30F6"/>
    <w:rsid w:val="131B9B7A"/>
    <w:rsid w:val="132D32A8"/>
    <w:rsid w:val="14D80895"/>
    <w:rsid w:val="15E7FFE5"/>
    <w:rsid w:val="1813DA84"/>
    <w:rsid w:val="18A0B2EE"/>
    <w:rsid w:val="18A3D777"/>
    <w:rsid w:val="18C52F3B"/>
    <w:rsid w:val="1A7EAEFC"/>
    <w:rsid w:val="1E9D0C7C"/>
    <w:rsid w:val="2166A8D0"/>
    <w:rsid w:val="21A95ED7"/>
    <w:rsid w:val="21C27787"/>
    <w:rsid w:val="21E1F5A0"/>
    <w:rsid w:val="22FBAF86"/>
    <w:rsid w:val="236D4056"/>
    <w:rsid w:val="23E038E5"/>
    <w:rsid w:val="2507F305"/>
    <w:rsid w:val="25EA3BB1"/>
    <w:rsid w:val="261368F4"/>
    <w:rsid w:val="26837AD6"/>
    <w:rsid w:val="275D56EC"/>
    <w:rsid w:val="29914343"/>
    <w:rsid w:val="2E68DC6B"/>
    <w:rsid w:val="36E6686C"/>
    <w:rsid w:val="376FE2AB"/>
    <w:rsid w:val="385A0981"/>
    <w:rsid w:val="393311C3"/>
    <w:rsid w:val="3A5879B2"/>
    <w:rsid w:val="3C03FEDF"/>
    <w:rsid w:val="3C0DBA87"/>
    <w:rsid w:val="3C759982"/>
    <w:rsid w:val="401B1ADC"/>
    <w:rsid w:val="42AA24F5"/>
    <w:rsid w:val="4322DD27"/>
    <w:rsid w:val="43954DCD"/>
    <w:rsid w:val="48BC75EC"/>
    <w:rsid w:val="49CABF37"/>
    <w:rsid w:val="4A53185F"/>
    <w:rsid w:val="4AFD08C6"/>
    <w:rsid w:val="4E8FB702"/>
    <w:rsid w:val="516F21BD"/>
    <w:rsid w:val="53264E33"/>
    <w:rsid w:val="5389767C"/>
    <w:rsid w:val="5431B9C1"/>
    <w:rsid w:val="55489940"/>
    <w:rsid w:val="56B3846D"/>
    <w:rsid w:val="582188E0"/>
    <w:rsid w:val="593BFACE"/>
    <w:rsid w:val="60FA1E9B"/>
    <w:rsid w:val="62309B2B"/>
    <w:rsid w:val="644BD83E"/>
    <w:rsid w:val="649A1BD5"/>
    <w:rsid w:val="64EA2C36"/>
    <w:rsid w:val="65933DC3"/>
    <w:rsid w:val="65CA0C45"/>
    <w:rsid w:val="6648E3D6"/>
    <w:rsid w:val="67EB70AE"/>
    <w:rsid w:val="688A142A"/>
    <w:rsid w:val="68D11A68"/>
    <w:rsid w:val="6A720879"/>
    <w:rsid w:val="6CB98BFA"/>
    <w:rsid w:val="6E4752D1"/>
    <w:rsid w:val="702CAD55"/>
    <w:rsid w:val="73C2E83F"/>
    <w:rsid w:val="745CBA9F"/>
    <w:rsid w:val="76A15486"/>
    <w:rsid w:val="78197E73"/>
    <w:rsid w:val="78629C9D"/>
    <w:rsid w:val="7AB0C021"/>
    <w:rsid w:val="7B5898EC"/>
    <w:rsid w:val="7E5EEB99"/>
    <w:rsid w:val="7FF194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2F20D4"/>
  <w15:chartTrackingRefBased/>
  <w15:docId w15:val="{1BE48F7B-BBFF-4B22-BD9E-F24DAFB85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footnote text" w:uiPriority="99"/>
    <w:lsdException w:name="annotation text" w:uiPriority="99"/>
    <w:lsdException w:name="footer" w:uiPriority="99"/>
    <w:lsdException w:name="caption" w:semiHidden="1" w:uiPriority="35" w:unhideWhenUsed="1" w:qFormat="1"/>
    <w:lsdException w:name="footnote reference" w:uiPriority="99"/>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lang w:val="es-ES" w:eastAsia="es-ES"/>
    </w:rPr>
  </w:style>
  <w:style w:type="paragraph" w:styleId="Ttulo1">
    <w:name w:val="heading 1"/>
    <w:basedOn w:val="Normal"/>
    <w:next w:val="Normal"/>
    <w:link w:val="Ttulo1Car"/>
    <w:qFormat/>
    <w:pPr>
      <w:keepNext/>
      <w:spacing w:before="240" w:after="60"/>
      <w:outlineLvl w:val="0"/>
    </w:pPr>
    <w:rPr>
      <w:b/>
      <w:color w:val="000080"/>
      <w:spacing w:val="-8"/>
      <w:kern w:val="28"/>
      <w:sz w:val="28"/>
      <w:lang w:val="es-CO"/>
    </w:rPr>
  </w:style>
  <w:style w:type="paragraph" w:styleId="Ttulo2">
    <w:name w:val="heading 2"/>
    <w:basedOn w:val="Normal"/>
    <w:next w:val="Normal"/>
    <w:link w:val="Ttulo2Car"/>
    <w:qFormat/>
    <w:pPr>
      <w:keepNext/>
      <w:jc w:val="center"/>
      <w:outlineLvl w:val="1"/>
    </w:pPr>
    <w:rPr>
      <w:b/>
    </w:rPr>
  </w:style>
  <w:style w:type="paragraph" w:styleId="Ttulo3">
    <w:name w:val="heading 3"/>
    <w:basedOn w:val="Normal"/>
    <w:next w:val="Normal"/>
    <w:link w:val="Ttulo3Car"/>
    <w:qFormat/>
    <w:pPr>
      <w:keepNext/>
      <w:jc w:val="center"/>
      <w:outlineLvl w:val="2"/>
    </w:pPr>
    <w:rPr>
      <w:rFonts w:ascii="Tahoma" w:hAnsi="Tahoma" w:cs="Tahoma"/>
      <w:b/>
      <w:sz w:val="18"/>
    </w:rPr>
  </w:style>
  <w:style w:type="paragraph" w:styleId="Ttulo4">
    <w:name w:val="heading 4"/>
    <w:basedOn w:val="Ttulo3"/>
    <w:next w:val="Normal"/>
    <w:link w:val="Ttulo4Car"/>
    <w:uiPriority w:val="9"/>
    <w:unhideWhenUsed/>
    <w:qFormat/>
    <w:rsid w:val="005D5804"/>
    <w:pPr>
      <w:keepNext w:val="0"/>
      <w:numPr>
        <w:ilvl w:val="3"/>
        <w:numId w:val="4"/>
      </w:numPr>
      <w:spacing w:after="160" w:line="259" w:lineRule="auto"/>
      <w:jc w:val="left"/>
      <w:outlineLvl w:val="3"/>
    </w:pPr>
    <w:rPr>
      <w:rFonts w:ascii="Aptos" w:hAnsi="Aptos" w:cs="Times New Roman (Headings CS)"/>
      <w:kern w:val="2"/>
      <w:sz w:val="22"/>
      <w:szCs w:val="32"/>
      <w:lang w:val="es-CO" w:eastAsia="en-US"/>
    </w:rPr>
  </w:style>
  <w:style w:type="paragraph" w:styleId="Ttulo5">
    <w:name w:val="heading 5"/>
    <w:basedOn w:val="Ttulo4"/>
    <w:next w:val="Normal"/>
    <w:link w:val="Ttulo5Car"/>
    <w:uiPriority w:val="9"/>
    <w:unhideWhenUsed/>
    <w:qFormat/>
    <w:rsid w:val="005D5804"/>
    <w:pPr>
      <w:numPr>
        <w:ilvl w:val="4"/>
      </w:numPr>
      <w:outlineLvl w:val="4"/>
    </w:pPr>
    <w:rPr>
      <w:i/>
      <w:iCs/>
    </w:rPr>
  </w:style>
  <w:style w:type="paragraph" w:styleId="Ttulo6">
    <w:name w:val="heading 6"/>
    <w:basedOn w:val="Normal"/>
    <w:next w:val="Normal"/>
    <w:link w:val="Ttulo6Car"/>
    <w:uiPriority w:val="9"/>
    <w:semiHidden/>
    <w:unhideWhenUsed/>
    <w:qFormat/>
    <w:rsid w:val="005D5804"/>
    <w:pPr>
      <w:keepNext/>
      <w:keepLines/>
      <w:numPr>
        <w:ilvl w:val="5"/>
        <w:numId w:val="4"/>
      </w:numPr>
      <w:spacing w:before="40" w:after="160" w:line="259" w:lineRule="auto"/>
      <w:outlineLvl w:val="5"/>
    </w:pPr>
    <w:rPr>
      <w:rFonts w:ascii="Aptos" w:hAnsi="Aptos"/>
      <w:i/>
      <w:iCs/>
      <w:color w:val="595959"/>
      <w:kern w:val="2"/>
      <w:sz w:val="22"/>
      <w:szCs w:val="22"/>
      <w:lang w:val="es-CO" w:eastAsia="en-US"/>
    </w:rPr>
  </w:style>
  <w:style w:type="paragraph" w:styleId="Ttulo7">
    <w:name w:val="heading 7"/>
    <w:basedOn w:val="Normal"/>
    <w:next w:val="Normal"/>
    <w:link w:val="Ttulo7Car"/>
    <w:uiPriority w:val="9"/>
    <w:semiHidden/>
    <w:unhideWhenUsed/>
    <w:qFormat/>
    <w:rsid w:val="005D5804"/>
    <w:pPr>
      <w:keepNext/>
      <w:keepLines/>
      <w:numPr>
        <w:ilvl w:val="6"/>
        <w:numId w:val="4"/>
      </w:numPr>
      <w:spacing w:before="40" w:after="160" w:line="259" w:lineRule="auto"/>
      <w:outlineLvl w:val="6"/>
    </w:pPr>
    <w:rPr>
      <w:rFonts w:ascii="Aptos" w:hAnsi="Aptos"/>
      <w:color w:val="595959"/>
      <w:kern w:val="2"/>
      <w:sz w:val="22"/>
      <w:szCs w:val="22"/>
      <w:lang w:val="es-CO" w:eastAsia="en-US"/>
    </w:rPr>
  </w:style>
  <w:style w:type="paragraph" w:styleId="Ttulo8">
    <w:name w:val="heading 8"/>
    <w:basedOn w:val="Normal"/>
    <w:next w:val="Normal"/>
    <w:link w:val="Ttulo8Car"/>
    <w:uiPriority w:val="9"/>
    <w:semiHidden/>
    <w:unhideWhenUsed/>
    <w:qFormat/>
    <w:rsid w:val="005D5804"/>
    <w:pPr>
      <w:keepNext/>
      <w:keepLines/>
      <w:numPr>
        <w:ilvl w:val="7"/>
        <w:numId w:val="4"/>
      </w:numPr>
      <w:spacing w:after="160" w:line="259" w:lineRule="auto"/>
      <w:outlineLvl w:val="7"/>
    </w:pPr>
    <w:rPr>
      <w:rFonts w:ascii="Aptos" w:hAnsi="Aptos"/>
      <w:i/>
      <w:iCs/>
      <w:color w:val="272727"/>
      <w:kern w:val="2"/>
      <w:sz w:val="22"/>
      <w:szCs w:val="22"/>
      <w:lang w:val="es-CO" w:eastAsia="en-US"/>
    </w:rPr>
  </w:style>
  <w:style w:type="paragraph" w:styleId="Ttulo9">
    <w:name w:val="heading 9"/>
    <w:basedOn w:val="Normal"/>
    <w:next w:val="Normal"/>
    <w:link w:val="Ttulo9Car"/>
    <w:uiPriority w:val="9"/>
    <w:semiHidden/>
    <w:unhideWhenUsed/>
    <w:qFormat/>
    <w:rsid w:val="005D5804"/>
    <w:pPr>
      <w:keepNext/>
      <w:keepLines/>
      <w:numPr>
        <w:ilvl w:val="8"/>
        <w:numId w:val="4"/>
      </w:numPr>
      <w:spacing w:after="160" w:line="259" w:lineRule="auto"/>
      <w:outlineLvl w:val="8"/>
    </w:pPr>
    <w:rPr>
      <w:rFonts w:ascii="Aptos" w:hAnsi="Aptos"/>
      <w:color w:val="272727"/>
      <w:kern w:val="2"/>
      <w:sz w:val="22"/>
      <w:szCs w:val="22"/>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BodyText21">
    <w:name w:val="Body Text 21"/>
    <w:basedOn w:val="Normal"/>
    <w:pPr>
      <w:overflowPunct w:val="0"/>
      <w:autoSpaceDE w:val="0"/>
      <w:autoSpaceDN w:val="0"/>
      <w:adjustRightInd w:val="0"/>
      <w:ind w:right="902"/>
      <w:textAlignment w:val="baseline"/>
    </w:pPr>
    <w:rPr>
      <w:rFonts w:ascii="Verdana" w:hAnsi="Verdana"/>
      <w:sz w:val="18"/>
      <w:lang w:val="es-CO"/>
    </w:rPr>
  </w:style>
  <w:style w:type="paragraph" w:styleId="Sangra3detindependiente">
    <w:name w:val="Body Text Indent 3"/>
    <w:basedOn w:val="Normal"/>
    <w:link w:val="Sangra3detindependienteCar"/>
    <w:pPr>
      <w:overflowPunct w:val="0"/>
      <w:autoSpaceDE w:val="0"/>
      <w:autoSpaceDN w:val="0"/>
      <w:adjustRightInd w:val="0"/>
      <w:ind w:left="709" w:hanging="349"/>
      <w:jc w:val="both"/>
      <w:textAlignment w:val="baseline"/>
    </w:pPr>
    <w:rPr>
      <w:rFonts w:ascii="Tahoma" w:hAnsi="Tahoma" w:cs="Tahoma"/>
      <w:bCs/>
      <w:sz w:val="22"/>
      <w:lang w:val="es-CO"/>
    </w:rPr>
  </w:style>
  <w:style w:type="paragraph" w:styleId="Textoindependiente">
    <w:name w:val="Body Text"/>
    <w:basedOn w:val="Normal"/>
    <w:link w:val="TextoindependienteCar"/>
    <w:pPr>
      <w:jc w:val="both"/>
    </w:pPr>
    <w:rPr>
      <w:rFonts w:ascii="Tahoma" w:hAnsi="Tahoma" w:cs="Tahoma"/>
      <w:iCs/>
      <w:sz w:val="18"/>
    </w:rPr>
  </w:style>
  <w:style w:type="paragraph" w:customStyle="1" w:styleId="BodyText31">
    <w:name w:val="Body Text 31"/>
    <w:basedOn w:val="Normal"/>
    <w:pPr>
      <w:widowControl w:val="0"/>
      <w:overflowPunct w:val="0"/>
      <w:autoSpaceDE w:val="0"/>
      <w:autoSpaceDN w:val="0"/>
      <w:adjustRightInd w:val="0"/>
      <w:jc w:val="both"/>
      <w:textAlignment w:val="baseline"/>
    </w:pPr>
    <w:rPr>
      <w:b/>
      <w:sz w:val="24"/>
      <w:lang w:val="es-CO"/>
    </w:rPr>
  </w:style>
  <w:style w:type="character" w:customStyle="1" w:styleId="InitialStyle">
    <w:name w:val="InitialStyle"/>
    <w:rPr>
      <w:rFonts w:ascii="Courier New" w:hAnsi="Courier New"/>
      <w:color w:val="auto"/>
      <w:spacing w:val="0"/>
      <w:sz w:val="28"/>
    </w:rPr>
  </w:style>
  <w:style w:type="paragraph" w:styleId="Textoindependiente2">
    <w:name w:val="Body Text 2"/>
    <w:basedOn w:val="Normal"/>
    <w:link w:val="Textoindependiente2Car"/>
    <w:rsid w:val="003227FD"/>
    <w:pPr>
      <w:spacing w:after="120" w:line="480" w:lineRule="auto"/>
    </w:pPr>
  </w:style>
  <w:style w:type="paragraph" w:styleId="Encabezado">
    <w:name w:val="header"/>
    <w:basedOn w:val="Normal"/>
    <w:link w:val="EncabezadoCar"/>
    <w:rsid w:val="00A2785C"/>
    <w:pPr>
      <w:tabs>
        <w:tab w:val="center" w:pos="4252"/>
        <w:tab w:val="right" w:pos="8504"/>
      </w:tabs>
    </w:pPr>
  </w:style>
  <w:style w:type="paragraph" w:styleId="Piedepgina">
    <w:name w:val="footer"/>
    <w:basedOn w:val="Normal"/>
    <w:link w:val="PiedepginaCar"/>
    <w:uiPriority w:val="99"/>
    <w:rsid w:val="00A2785C"/>
    <w:pPr>
      <w:tabs>
        <w:tab w:val="center" w:pos="4252"/>
        <w:tab w:val="right" w:pos="8504"/>
      </w:tabs>
    </w:pPr>
  </w:style>
  <w:style w:type="character" w:styleId="Nmerodepgina">
    <w:name w:val="page number"/>
    <w:basedOn w:val="Fuentedeprrafopredeter"/>
    <w:rsid w:val="0080773A"/>
  </w:style>
  <w:style w:type="paragraph" w:styleId="NormalWeb">
    <w:name w:val="Normal (Web)"/>
    <w:basedOn w:val="Normal"/>
    <w:uiPriority w:val="99"/>
    <w:rsid w:val="00BA450F"/>
    <w:pPr>
      <w:spacing w:before="100" w:beforeAutospacing="1" w:after="100" w:afterAutospacing="1"/>
    </w:pPr>
    <w:rPr>
      <w:rFonts w:ascii="Arial Unicode MS" w:eastAsia="Arial Unicode MS" w:hAnsi="Arial Unicode MS" w:cs="Arial Unicode MS"/>
      <w:sz w:val="24"/>
      <w:szCs w:val="24"/>
    </w:rPr>
  </w:style>
  <w:style w:type="character" w:styleId="Refdecomentario">
    <w:name w:val="annotation reference"/>
    <w:uiPriority w:val="99"/>
    <w:semiHidden/>
    <w:rsid w:val="00885E7D"/>
    <w:rPr>
      <w:sz w:val="16"/>
      <w:szCs w:val="16"/>
    </w:rPr>
  </w:style>
  <w:style w:type="paragraph" w:styleId="Textocomentario">
    <w:name w:val="annotation text"/>
    <w:basedOn w:val="Normal"/>
    <w:link w:val="TextocomentarioCar"/>
    <w:uiPriority w:val="99"/>
    <w:rsid w:val="00885E7D"/>
  </w:style>
  <w:style w:type="paragraph" w:styleId="Asuntodelcomentario">
    <w:name w:val="annotation subject"/>
    <w:basedOn w:val="Textocomentario"/>
    <w:next w:val="Textocomentario"/>
    <w:link w:val="AsuntodelcomentarioCar"/>
    <w:semiHidden/>
    <w:rsid w:val="00885E7D"/>
    <w:rPr>
      <w:b/>
      <w:bCs/>
    </w:rPr>
  </w:style>
  <w:style w:type="paragraph" w:styleId="Textodeglobo">
    <w:name w:val="Balloon Text"/>
    <w:basedOn w:val="Normal"/>
    <w:link w:val="TextodegloboCar"/>
    <w:semiHidden/>
    <w:rsid w:val="00885E7D"/>
    <w:rPr>
      <w:rFonts w:ascii="Tahoma" w:hAnsi="Tahoma" w:cs="Tahoma"/>
      <w:sz w:val="16"/>
      <w:szCs w:val="16"/>
    </w:rPr>
  </w:style>
  <w:style w:type="paragraph" w:customStyle="1" w:styleId="Listavistosa-nfasis11">
    <w:name w:val="Lista vistosa - Énfasis 11"/>
    <w:aliases w:val="Normal. Viñetas"/>
    <w:basedOn w:val="Normal"/>
    <w:link w:val="ColorfulList-Accent1Char"/>
    <w:uiPriority w:val="34"/>
    <w:qFormat/>
    <w:rsid w:val="009C537F"/>
    <w:pPr>
      <w:spacing w:after="200" w:line="276" w:lineRule="auto"/>
      <w:ind w:left="720"/>
      <w:contextualSpacing/>
    </w:pPr>
    <w:rPr>
      <w:rFonts w:ascii="Calibri" w:hAnsi="Calibri"/>
      <w:sz w:val="22"/>
      <w:szCs w:val="22"/>
      <w:lang w:val="es-CO" w:eastAsia="es-CO"/>
    </w:rPr>
  </w:style>
  <w:style w:type="paragraph" w:customStyle="1" w:styleId="Default">
    <w:name w:val="Default"/>
    <w:rsid w:val="00DF1E66"/>
    <w:pPr>
      <w:autoSpaceDE w:val="0"/>
      <w:autoSpaceDN w:val="0"/>
      <w:adjustRightInd w:val="0"/>
    </w:pPr>
    <w:rPr>
      <w:rFonts w:ascii="Arial" w:hAnsi="Arial" w:cs="Arial"/>
      <w:color w:val="000000"/>
      <w:sz w:val="24"/>
      <w:szCs w:val="24"/>
      <w:lang w:val="es-CO" w:eastAsia="es-CO"/>
    </w:rPr>
  </w:style>
  <w:style w:type="paragraph" w:customStyle="1" w:styleId="Cuerpo">
    <w:name w:val="Cuerpo"/>
    <w:rsid w:val="00DF1E66"/>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lang w:val="es-CO" w:eastAsia="es-CO"/>
    </w:rPr>
  </w:style>
  <w:style w:type="character" w:customStyle="1" w:styleId="PiedepginaCar">
    <w:name w:val="Pie de página Car"/>
    <w:link w:val="Piedepgina"/>
    <w:uiPriority w:val="99"/>
    <w:rsid w:val="00B4178F"/>
    <w:rPr>
      <w:rFonts w:ascii="Arial" w:hAnsi="Arial"/>
      <w:lang w:val="es-ES" w:eastAsia="es-ES"/>
    </w:rPr>
  </w:style>
  <w:style w:type="paragraph" w:customStyle="1" w:styleId="xmsonormal">
    <w:name w:val="x_msonormal"/>
    <w:basedOn w:val="Normal"/>
    <w:rsid w:val="00715DD5"/>
    <w:pPr>
      <w:spacing w:before="100" w:beforeAutospacing="1" w:after="100" w:afterAutospacing="1"/>
    </w:pPr>
    <w:rPr>
      <w:rFonts w:ascii="Times New Roman" w:hAnsi="Times New Roman"/>
      <w:sz w:val="24"/>
      <w:szCs w:val="24"/>
      <w:lang w:val="es-CO" w:eastAsia="es-CO"/>
    </w:rPr>
  </w:style>
  <w:style w:type="paragraph" w:customStyle="1" w:styleId="xmsolistparagraph">
    <w:name w:val="x_msolistparagraph"/>
    <w:basedOn w:val="Normal"/>
    <w:rsid w:val="00715DD5"/>
    <w:pPr>
      <w:spacing w:before="100" w:beforeAutospacing="1" w:after="100" w:afterAutospacing="1"/>
    </w:pPr>
    <w:rPr>
      <w:rFonts w:ascii="Times New Roman" w:hAnsi="Times New Roman"/>
      <w:sz w:val="24"/>
      <w:szCs w:val="24"/>
      <w:lang w:val="es-CO" w:eastAsia="es-CO"/>
    </w:rPr>
  </w:style>
  <w:style w:type="character" w:customStyle="1" w:styleId="apple-converted-space">
    <w:name w:val="apple-converted-space"/>
    <w:basedOn w:val="Fuentedeprrafopredeter"/>
    <w:rsid w:val="00715DD5"/>
  </w:style>
  <w:style w:type="paragraph" w:customStyle="1" w:styleId="xcuerpo">
    <w:name w:val="x_cuerpo"/>
    <w:basedOn w:val="Normal"/>
    <w:rsid w:val="00715DD5"/>
    <w:pPr>
      <w:spacing w:before="100" w:beforeAutospacing="1" w:after="100" w:afterAutospacing="1"/>
    </w:pPr>
    <w:rPr>
      <w:rFonts w:ascii="Times New Roman" w:hAnsi="Times New Roman"/>
      <w:sz w:val="24"/>
      <w:szCs w:val="24"/>
      <w:lang w:val="es-CO" w:eastAsia="es-CO"/>
    </w:rPr>
  </w:style>
  <w:style w:type="paragraph" w:styleId="Textonotapie">
    <w:name w:val="footnote text"/>
    <w:basedOn w:val="Normal"/>
    <w:link w:val="TextonotapieCar"/>
    <w:uiPriority w:val="99"/>
    <w:rsid w:val="00925058"/>
    <w:rPr>
      <w:rFonts w:ascii="Times" w:eastAsia="Times" w:hAnsi="Times"/>
      <w:lang w:val="en-US"/>
    </w:rPr>
  </w:style>
  <w:style w:type="character" w:customStyle="1" w:styleId="TextonotapieCar">
    <w:name w:val="Texto nota pie Car"/>
    <w:link w:val="Textonotapie"/>
    <w:uiPriority w:val="99"/>
    <w:rsid w:val="00925058"/>
    <w:rPr>
      <w:rFonts w:ascii="Times" w:eastAsia="Times" w:hAnsi="Times"/>
      <w:lang w:val="en-US" w:eastAsia="es-ES"/>
    </w:rPr>
  </w:style>
  <w:style w:type="character" w:styleId="Refdenotaalpie">
    <w:name w:val="footnote reference"/>
    <w:uiPriority w:val="99"/>
    <w:rsid w:val="00925058"/>
    <w:rPr>
      <w:vertAlign w:val="superscript"/>
    </w:rPr>
  </w:style>
  <w:style w:type="paragraph" w:customStyle="1" w:styleId="Cuadrculamedia21">
    <w:name w:val="Cuadrícula media 21"/>
    <w:qFormat/>
    <w:rsid w:val="00236F62"/>
    <w:rPr>
      <w:rFonts w:ascii="Calibri" w:eastAsia="Calibri" w:hAnsi="Calibri"/>
      <w:sz w:val="22"/>
      <w:szCs w:val="22"/>
      <w:lang w:val="es-CO" w:eastAsia="en-US"/>
    </w:rPr>
  </w:style>
  <w:style w:type="character" w:styleId="Textoennegrita">
    <w:name w:val="Strong"/>
    <w:uiPriority w:val="22"/>
    <w:qFormat/>
    <w:rsid w:val="002D2CB2"/>
    <w:rPr>
      <w:b/>
      <w:bCs/>
    </w:rPr>
  </w:style>
  <w:style w:type="paragraph" w:styleId="Ttulo">
    <w:name w:val="Title"/>
    <w:basedOn w:val="Normal"/>
    <w:link w:val="TtuloCar"/>
    <w:qFormat/>
    <w:rsid w:val="00AE03F3"/>
    <w:pPr>
      <w:jc w:val="center"/>
    </w:pPr>
    <w:rPr>
      <w:rFonts w:cs="Arial"/>
      <w:b/>
      <w:bCs/>
      <w:sz w:val="32"/>
      <w:szCs w:val="24"/>
    </w:rPr>
  </w:style>
  <w:style w:type="character" w:customStyle="1" w:styleId="TtuloCar">
    <w:name w:val="Título Car"/>
    <w:link w:val="Ttulo"/>
    <w:rsid w:val="00AE03F3"/>
    <w:rPr>
      <w:rFonts w:ascii="Arial" w:hAnsi="Arial" w:cs="Arial"/>
      <w:b/>
      <w:bCs/>
      <w:sz w:val="32"/>
      <w:szCs w:val="24"/>
      <w:lang w:val="es-ES" w:eastAsia="es-ES"/>
    </w:rPr>
  </w:style>
  <w:style w:type="character" w:customStyle="1" w:styleId="ColorfulList-Accent1Char">
    <w:name w:val="Colorful List - Accent 1 Char"/>
    <w:aliases w:val="Normal. Viñetas Char"/>
    <w:link w:val="Listavistosa-nfasis11"/>
    <w:uiPriority w:val="34"/>
    <w:locked/>
    <w:rsid w:val="005629D0"/>
    <w:rPr>
      <w:rFonts w:ascii="Calibri" w:hAnsi="Calibri"/>
      <w:sz w:val="22"/>
      <w:szCs w:val="22"/>
    </w:rPr>
  </w:style>
  <w:style w:type="character" w:styleId="Hipervnculo">
    <w:name w:val="Hyperlink"/>
    <w:uiPriority w:val="99"/>
    <w:unhideWhenUsed/>
    <w:rsid w:val="00F80E07"/>
    <w:rPr>
      <w:color w:val="0000FF"/>
      <w:u w:val="single"/>
    </w:rPr>
  </w:style>
  <w:style w:type="table" w:styleId="Tablaconcuadrcula">
    <w:name w:val="Table Grid"/>
    <w:basedOn w:val="Tablanormal"/>
    <w:uiPriority w:val="39"/>
    <w:rsid w:val="003507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Fluvial1,Guión,Fuente,Flor,Titulo 8,Viñeta 2,Guia 1,Párrafo de lista3,Párrafo de lista4,Párrafo de lista5,Ha,titulo 3,BOLA,Párrafo de lista21,Párrafo de lista6,Colorful List Accent 1,Párrafo de lista1,Bolita,BOLADEF,HOJA"/>
    <w:basedOn w:val="Normal"/>
    <w:link w:val="PrrafodelistaCar"/>
    <w:uiPriority w:val="34"/>
    <w:qFormat/>
    <w:rsid w:val="00BA3BC3"/>
    <w:pPr>
      <w:ind w:left="720"/>
      <w:contextualSpacing/>
      <w:jc w:val="both"/>
    </w:pPr>
    <w:rPr>
      <w:rFonts w:ascii="Calibri" w:eastAsia="Calibri" w:hAnsi="Calibri" w:cs="Arial"/>
      <w:sz w:val="22"/>
      <w:szCs w:val="22"/>
      <w:lang w:val="es-CO" w:eastAsia="en-US"/>
    </w:rPr>
  </w:style>
  <w:style w:type="character" w:customStyle="1" w:styleId="PrrafodelistaCar">
    <w:name w:val="Párrafo de lista Car"/>
    <w:aliases w:val="Fluvial1 Car,Guión Car,Fuente Car,Flor Car,Titulo 8 Car,Viñeta 2 Car,Guia 1 Car,Párrafo de lista3 Car,Párrafo de lista4 Car,Párrafo de lista5 Car,Ha Car,titulo 3 Car,BOLA Car,Párrafo de lista21 Car,Párrafo de lista6 Car,Bolita Car"/>
    <w:link w:val="Prrafodelista"/>
    <w:uiPriority w:val="34"/>
    <w:locked/>
    <w:rsid w:val="00BA3BC3"/>
    <w:rPr>
      <w:rFonts w:ascii="Calibri" w:eastAsia="Calibri" w:hAnsi="Calibri" w:cs="Arial"/>
      <w:sz w:val="22"/>
      <w:szCs w:val="22"/>
      <w:lang w:eastAsia="en-US"/>
    </w:rPr>
  </w:style>
  <w:style w:type="paragraph" w:styleId="Revisin">
    <w:name w:val="Revision"/>
    <w:hidden/>
    <w:uiPriority w:val="71"/>
    <w:rsid w:val="00E31054"/>
    <w:rPr>
      <w:rFonts w:ascii="Arial" w:hAnsi="Arial"/>
      <w:lang w:val="es-ES" w:eastAsia="es-ES"/>
    </w:rPr>
  </w:style>
  <w:style w:type="paragraph" w:styleId="Descripcin">
    <w:name w:val="caption"/>
    <w:basedOn w:val="Normal"/>
    <w:next w:val="Normal"/>
    <w:uiPriority w:val="35"/>
    <w:unhideWhenUsed/>
    <w:qFormat/>
    <w:rsid w:val="00E31054"/>
    <w:pPr>
      <w:spacing w:after="200"/>
    </w:pPr>
    <w:rPr>
      <w:rFonts w:ascii="Calibri" w:eastAsia="Calibri" w:hAnsi="Calibri"/>
      <w:i/>
      <w:iCs/>
      <w:color w:val="44546A"/>
      <w:kern w:val="2"/>
      <w:sz w:val="18"/>
      <w:szCs w:val="18"/>
      <w:lang w:val="es-CO" w:eastAsia="en-US"/>
    </w:rPr>
  </w:style>
  <w:style w:type="character" w:customStyle="1" w:styleId="Ttulo4Car">
    <w:name w:val="Título 4 Car"/>
    <w:link w:val="Ttulo4"/>
    <w:uiPriority w:val="9"/>
    <w:rsid w:val="005D5804"/>
    <w:rPr>
      <w:rFonts w:ascii="Aptos" w:hAnsi="Aptos" w:cs="Times New Roman (Headings CS)"/>
      <w:b/>
      <w:kern w:val="2"/>
      <w:sz w:val="22"/>
      <w:szCs w:val="32"/>
      <w:lang w:val="es-CO" w:eastAsia="en-US"/>
    </w:rPr>
  </w:style>
  <w:style w:type="character" w:customStyle="1" w:styleId="Ttulo5Car">
    <w:name w:val="Título 5 Car"/>
    <w:link w:val="Ttulo5"/>
    <w:uiPriority w:val="9"/>
    <w:rsid w:val="005D5804"/>
    <w:rPr>
      <w:rFonts w:ascii="Aptos" w:hAnsi="Aptos" w:cs="Times New Roman (Headings CS)"/>
      <w:b/>
      <w:i/>
      <w:iCs/>
      <w:kern w:val="2"/>
      <w:sz w:val="22"/>
      <w:szCs w:val="32"/>
      <w:lang w:val="es-CO" w:eastAsia="en-US"/>
    </w:rPr>
  </w:style>
  <w:style w:type="character" w:customStyle="1" w:styleId="Ttulo6Car">
    <w:name w:val="Título 6 Car"/>
    <w:link w:val="Ttulo6"/>
    <w:uiPriority w:val="9"/>
    <w:semiHidden/>
    <w:rsid w:val="005D5804"/>
    <w:rPr>
      <w:rFonts w:ascii="Aptos" w:hAnsi="Aptos"/>
      <w:i/>
      <w:iCs/>
      <w:color w:val="595959"/>
      <w:kern w:val="2"/>
      <w:sz w:val="22"/>
      <w:szCs w:val="22"/>
      <w:lang w:val="es-CO" w:eastAsia="en-US"/>
    </w:rPr>
  </w:style>
  <w:style w:type="character" w:customStyle="1" w:styleId="Ttulo7Car">
    <w:name w:val="Título 7 Car"/>
    <w:link w:val="Ttulo7"/>
    <w:uiPriority w:val="9"/>
    <w:semiHidden/>
    <w:rsid w:val="005D5804"/>
    <w:rPr>
      <w:rFonts w:ascii="Aptos" w:hAnsi="Aptos"/>
      <w:color w:val="595959"/>
      <w:kern w:val="2"/>
      <w:sz w:val="22"/>
      <w:szCs w:val="22"/>
      <w:lang w:val="es-CO" w:eastAsia="en-US"/>
    </w:rPr>
  </w:style>
  <w:style w:type="character" w:customStyle="1" w:styleId="Ttulo8Car">
    <w:name w:val="Título 8 Car"/>
    <w:link w:val="Ttulo8"/>
    <w:uiPriority w:val="9"/>
    <w:semiHidden/>
    <w:rsid w:val="005D5804"/>
    <w:rPr>
      <w:rFonts w:ascii="Aptos" w:hAnsi="Aptos"/>
      <w:i/>
      <w:iCs/>
      <w:color w:val="272727"/>
      <w:kern w:val="2"/>
      <w:sz w:val="22"/>
      <w:szCs w:val="22"/>
      <w:lang w:val="es-CO" w:eastAsia="en-US"/>
    </w:rPr>
  </w:style>
  <w:style w:type="character" w:customStyle="1" w:styleId="Ttulo9Car">
    <w:name w:val="Título 9 Car"/>
    <w:link w:val="Ttulo9"/>
    <w:uiPriority w:val="9"/>
    <w:semiHidden/>
    <w:rsid w:val="005D5804"/>
    <w:rPr>
      <w:rFonts w:ascii="Aptos" w:hAnsi="Aptos"/>
      <w:color w:val="272727"/>
      <w:kern w:val="2"/>
      <w:sz w:val="22"/>
      <w:szCs w:val="22"/>
      <w:lang w:val="es-CO" w:eastAsia="en-US"/>
    </w:rPr>
  </w:style>
  <w:style w:type="paragraph" w:customStyle="1" w:styleId="NormalArial">
    <w:name w:val="Normal Arial"/>
    <w:basedOn w:val="Normal"/>
    <w:qFormat/>
    <w:rsid w:val="005D5804"/>
    <w:pPr>
      <w:spacing w:after="160" w:line="288" w:lineRule="auto"/>
      <w:jc w:val="both"/>
    </w:pPr>
    <w:rPr>
      <w:rFonts w:eastAsia="Aptos"/>
      <w:kern w:val="2"/>
      <w:sz w:val="22"/>
      <w:szCs w:val="22"/>
      <w:lang w:val="es-CO" w:eastAsia="en-US"/>
    </w:rPr>
  </w:style>
  <w:style w:type="paragraph" w:customStyle="1" w:styleId="Ttulo1Arial">
    <w:name w:val="Título 1 Arial"/>
    <w:basedOn w:val="Ttulo1"/>
    <w:next w:val="NormalArial"/>
    <w:qFormat/>
    <w:rsid w:val="005D5804"/>
    <w:pPr>
      <w:keepNext w:val="0"/>
      <w:numPr>
        <w:numId w:val="4"/>
      </w:numPr>
      <w:tabs>
        <w:tab w:val="num" w:pos="720"/>
      </w:tabs>
      <w:spacing w:after="200" w:line="288" w:lineRule="auto"/>
      <w:ind w:left="720" w:hanging="360"/>
      <w:jc w:val="center"/>
    </w:pPr>
    <w:rPr>
      <w:rFonts w:cs="Times New Roman (Headings CS)"/>
      <w:color w:val="auto"/>
      <w:spacing w:val="0"/>
      <w:kern w:val="2"/>
      <w:sz w:val="26"/>
      <w:szCs w:val="32"/>
      <w:lang w:eastAsia="en-US"/>
    </w:rPr>
  </w:style>
  <w:style w:type="paragraph" w:customStyle="1" w:styleId="Ttulo2Arial">
    <w:name w:val="Título 2 Arial"/>
    <w:basedOn w:val="Ttulo2"/>
    <w:next w:val="NormalArial"/>
    <w:qFormat/>
    <w:rsid w:val="005D5804"/>
    <w:pPr>
      <w:keepNext w:val="0"/>
      <w:numPr>
        <w:ilvl w:val="1"/>
        <w:numId w:val="4"/>
      </w:numPr>
      <w:tabs>
        <w:tab w:val="num" w:pos="1440"/>
      </w:tabs>
      <w:spacing w:before="200" w:after="200" w:line="288" w:lineRule="auto"/>
      <w:ind w:left="1440" w:hanging="360"/>
      <w:jc w:val="left"/>
    </w:pPr>
    <w:rPr>
      <w:rFonts w:cs="Times New Roman (Headings CS)"/>
      <w:kern w:val="2"/>
      <w:sz w:val="22"/>
      <w:szCs w:val="32"/>
      <w:lang w:val="es-CO" w:eastAsia="en-US"/>
    </w:rPr>
  </w:style>
  <w:style w:type="paragraph" w:customStyle="1" w:styleId="Ttulo3Arial">
    <w:name w:val="Título 3 Arial"/>
    <w:basedOn w:val="Ttulo3"/>
    <w:next w:val="NormalArial"/>
    <w:qFormat/>
    <w:rsid w:val="005D5804"/>
    <w:pPr>
      <w:keepNext w:val="0"/>
      <w:numPr>
        <w:ilvl w:val="2"/>
        <w:numId w:val="4"/>
      </w:numPr>
      <w:tabs>
        <w:tab w:val="num" w:pos="2160"/>
      </w:tabs>
      <w:spacing w:before="160" w:after="160" w:line="288" w:lineRule="auto"/>
      <w:ind w:left="2160" w:hanging="360"/>
      <w:jc w:val="left"/>
    </w:pPr>
    <w:rPr>
      <w:rFonts w:ascii="Arial" w:hAnsi="Arial" w:cs="Times New Roman (Headings CS)"/>
      <w:iCs/>
      <w:kern w:val="2"/>
      <w:sz w:val="22"/>
      <w:szCs w:val="32"/>
      <w:lang w:val="es-CO" w:eastAsia="en-US"/>
    </w:rPr>
  </w:style>
  <w:style w:type="paragraph" w:customStyle="1" w:styleId="FigurasArial">
    <w:name w:val="Figuras Arial"/>
    <w:basedOn w:val="NormalArial"/>
    <w:qFormat/>
    <w:rsid w:val="005D5804"/>
    <w:pPr>
      <w:spacing w:before="160"/>
    </w:pPr>
    <w:rPr>
      <w:b/>
      <w:sz w:val="20"/>
    </w:rPr>
  </w:style>
  <w:style w:type="character" w:styleId="Mencinsinresolver">
    <w:name w:val="Unresolved Mention"/>
    <w:uiPriority w:val="99"/>
    <w:semiHidden/>
    <w:unhideWhenUsed/>
    <w:rsid w:val="00E4055C"/>
    <w:rPr>
      <w:color w:val="605E5C"/>
      <w:shd w:val="clear" w:color="auto" w:fill="E1DFDD"/>
    </w:rPr>
  </w:style>
  <w:style w:type="table" w:styleId="Tablaclsica2">
    <w:name w:val="Table Classic 2"/>
    <w:basedOn w:val="Tablanormal"/>
    <w:rsid w:val="000E672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Sombreadovistoso-nfasis6">
    <w:name w:val="Colorful Shading Accent 6"/>
    <w:basedOn w:val="Tablanormal"/>
    <w:uiPriority w:val="62"/>
    <w:rsid w:val="00A2776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Tabladelista3-nfasis6">
    <w:name w:val="List Table 3 Accent 6"/>
    <w:basedOn w:val="Tablanormal"/>
    <w:uiPriority w:val="46"/>
    <w:rsid w:val="00A2776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Tablaconcuadrcula6concolores-nfasis6">
    <w:name w:val="Grid Table 6 Colorful Accent 6"/>
    <w:basedOn w:val="Tablanormal"/>
    <w:uiPriority w:val="49"/>
    <w:rsid w:val="00A277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Tablaconcuadrcula5oscura-nfasis5">
    <w:name w:val="Grid Table 5 Dark Accent 5"/>
    <w:basedOn w:val="Tablanormal"/>
    <w:uiPriority w:val="48"/>
    <w:rsid w:val="00772D05"/>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character" w:customStyle="1" w:styleId="TextocomentarioCar">
    <w:name w:val="Texto comentario Car"/>
    <w:link w:val="Textocomentario"/>
    <w:uiPriority w:val="99"/>
    <w:rsid w:val="008878A0"/>
    <w:rPr>
      <w:rFonts w:ascii="Arial" w:hAnsi="Arial"/>
      <w:lang w:val="es-ES" w:eastAsia="es-ES"/>
    </w:rPr>
  </w:style>
  <w:style w:type="paragraph" w:customStyle="1" w:styleId="Normal1">
    <w:name w:val="Normal1"/>
    <w:rsid w:val="00B90492"/>
    <w:rPr>
      <w:sz w:val="24"/>
      <w:szCs w:val="24"/>
      <w:lang w:val="es-CO" w:eastAsia="es-CO"/>
    </w:rPr>
  </w:style>
  <w:style w:type="character" w:styleId="Mencionar">
    <w:name w:val="Mention"/>
    <w:basedOn w:val="Fuentedeprrafopredeter"/>
    <w:uiPriority w:val="99"/>
    <w:unhideWhenUsed/>
    <w:rsid w:val="008D0D4C"/>
    <w:rPr>
      <w:color w:val="2B579A"/>
      <w:shd w:val="clear" w:color="auto" w:fill="E1DFDD"/>
    </w:rPr>
  </w:style>
  <w:style w:type="character" w:customStyle="1" w:styleId="Ttulo1Car">
    <w:name w:val="Título 1 Car"/>
    <w:basedOn w:val="Fuentedeprrafopredeter"/>
    <w:link w:val="Ttulo1"/>
    <w:rsid w:val="00072956"/>
    <w:rPr>
      <w:rFonts w:ascii="Arial" w:hAnsi="Arial"/>
      <w:b/>
      <w:color w:val="000080"/>
      <w:spacing w:val="-8"/>
      <w:kern w:val="28"/>
      <w:sz w:val="28"/>
      <w:lang w:val="es-CO" w:eastAsia="es-ES"/>
    </w:rPr>
  </w:style>
  <w:style w:type="character" w:customStyle="1" w:styleId="Ttulo2Car">
    <w:name w:val="Título 2 Car"/>
    <w:basedOn w:val="Fuentedeprrafopredeter"/>
    <w:link w:val="Ttulo2"/>
    <w:rsid w:val="00072956"/>
    <w:rPr>
      <w:rFonts w:ascii="Arial" w:hAnsi="Arial"/>
      <w:b/>
      <w:lang w:val="es-ES" w:eastAsia="es-ES"/>
    </w:rPr>
  </w:style>
  <w:style w:type="character" w:customStyle="1" w:styleId="Ttulo3Car">
    <w:name w:val="Título 3 Car"/>
    <w:basedOn w:val="Fuentedeprrafopredeter"/>
    <w:link w:val="Ttulo3"/>
    <w:rsid w:val="00072956"/>
    <w:rPr>
      <w:rFonts w:ascii="Tahoma" w:hAnsi="Tahoma" w:cs="Tahoma"/>
      <w:b/>
      <w:sz w:val="18"/>
      <w:lang w:val="es-ES" w:eastAsia="es-ES"/>
    </w:rPr>
  </w:style>
  <w:style w:type="character" w:customStyle="1" w:styleId="Sangra3detindependienteCar">
    <w:name w:val="Sangría 3 de t. independiente Car"/>
    <w:basedOn w:val="Fuentedeprrafopredeter"/>
    <w:link w:val="Sangra3detindependiente"/>
    <w:rsid w:val="00072956"/>
    <w:rPr>
      <w:rFonts w:ascii="Tahoma" w:hAnsi="Tahoma" w:cs="Tahoma"/>
      <w:bCs/>
      <w:sz w:val="22"/>
      <w:lang w:val="es-CO" w:eastAsia="es-ES"/>
    </w:rPr>
  </w:style>
  <w:style w:type="character" w:customStyle="1" w:styleId="TextoindependienteCar">
    <w:name w:val="Texto independiente Car"/>
    <w:basedOn w:val="Fuentedeprrafopredeter"/>
    <w:link w:val="Textoindependiente"/>
    <w:rsid w:val="00072956"/>
    <w:rPr>
      <w:rFonts w:ascii="Tahoma" w:hAnsi="Tahoma" w:cs="Tahoma"/>
      <w:iCs/>
      <w:sz w:val="18"/>
      <w:lang w:val="es-ES" w:eastAsia="es-ES"/>
    </w:rPr>
  </w:style>
  <w:style w:type="character" w:customStyle="1" w:styleId="Textoindependiente2Car">
    <w:name w:val="Texto independiente 2 Car"/>
    <w:basedOn w:val="Fuentedeprrafopredeter"/>
    <w:link w:val="Textoindependiente2"/>
    <w:rsid w:val="00072956"/>
    <w:rPr>
      <w:rFonts w:ascii="Arial" w:hAnsi="Arial"/>
      <w:lang w:val="es-ES" w:eastAsia="es-ES"/>
    </w:rPr>
  </w:style>
  <w:style w:type="character" w:customStyle="1" w:styleId="EncabezadoCar">
    <w:name w:val="Encabezado Car"/>
    <w:basedOn w:val="Fuentedeprrafopredeter"/>
    <w:link w:val="Encabezado"/>
    <w:rsid w:val="00072956"/>
    <w:rPr>
      <w:rFonts w:ascii="Arial" w:hAnsi="Arial"/>
      <w:lang w:val="es-ES" w:eastAsia="es-ES"/>
    </w:rPr>
  </w:style>
  <w:style w:type="character" w:customStyle="1" w:styleId="AsuntodelcomentarioCar">
    <w:name w:val="Asunto del comentario Car"/>
    <w:basedOn w:val="TextocomentarioCar"/>
    <w:link w:val="Asuntodelcomentario"/>
    <w:semiHidden/>
    <w:rsid w:val="00072956"/>
    <w:rPr>
      <w:rFonts w:ascii="Arial" w:hAnsi="Arial"/>
      <w:b/>
      <w:bCs/>
      <w:lang w:val="es-ES" w:eastAsia="es-ES"/>
    </w:rPr>
  </w:style>
  <w:style w:type="character" w:customStyle="1" w:styleId="TextodegloboCar">
    <w:name w:val="Texto de globo Car"/>
    <w:basedOn w:val="Fuentedeprrafopredeter"/>
    <w:link w:val="Textodeglobo"/>
    <w:semiHidden/>
    <w:rsid w:val="00072956"/>
    <w:rPr>
      <w:rFonts w:ascii="Tahoma" w:hAnsi="Tahoma" w:cs="Tahoma"/>
      <w:sz w:val="16"/>
      <w:szCs w:val="16"/>
      <w:lang w:val="es-ES" w:eastAsia="es-ES"/>
    </w:rPr>
  </w:style>
  <w:style w:type="paragraph" w:customStyle="1" w:styleId="paragraph">
    <w:name w:val="paragraph"/>
    <w:basedOn w:val="Normal"/>
    <w:rsid w:val="00370FBB"/>
    <w:pPr>
      <w:spacing w:before="100" w:beforeAutospacing="1" w:after="100" w:afterAutospacing="1"/>
    </w:pPr>
    <w:rPr>
      <w:rFonts w:ascii="Times New Roman" w:hAnsi="Times New Roman"/>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57941">
      <w:bodyDiv w:val="1"/>
      <w:marLeft w:val="0"/>
      <w:marRight w:val="0"/>
      <w:marTop w:val="0"/>
      <w:marBottom w:val="0"/>
      <w:divBdr>
        <w:top w:val="none" w:sz="0" w:space="0" w:color="auto"/>
        <w:left w:val="none" w:sz="0" w:space="0" w:color="auto"/>
        <w:bottom w:val="none" w:sz="0" w:space="0" w:color="auto"/>
        <w:right w:val="none" w:sz="0" w:space="0" w:color="auto"/>
      </w:divBdr>
    </w:div>
    <w:div w:id="88159907">
      <w:bodyDiv w:val="1"/>
      <w:marLeft w:val="0"/>
      <w:marRight w:val="0"/>
      <w:marTop w:val="0"/>
      <w:marBottom w:val="0"/>
      <w:divBdr>
        <w:top w:val="none" w:sz="0" w:space="0" w:color="auto"/>
        <w:left w:val="none" w:sz="0" w:space="0" w:color="auto"/>
        <w:bottom w:val="none" w:sz="0" w:space="0" w:color="auto"/>
        <w:right w:val="none" w:sz="0" w:space="0" w:color="auto"/>
      </w:divBdr>
    </w:div>
    <w:div w:id="108011168">
      <w:bodyDiv w:val="1"/>
      <w:marLeft w:val="0"/>
      <w:marRight w:val="0"/>
      <w:marTop w:val="0"/>
      <w:marBottom w:val="0"/>
      <w:divBdr>
        <w:top w:val="none" w:sz="0" w:space="0" w:color="auto"/>
        <w:left w:val="none" w:sz="0" w:space="0" w:color="auto"/>
        <w:bottom w:val="none" w:sz="0" w:space="0" w:color="auto"/>
        <w:right w:val="none" w:sz="0" w:space="0" w:color="auto"/>
      </w:divBdr>
    </w:div>
    <w:div w:id="108357885">
      <w:bodyDiv w:val="1"/>
      <w:marLeft w:val="0"/>
      <w:marRight w:val="0"/>
      <w:marTop w:val="0"/>
      <w:marBottom w:val="0"/>
      <w:divBdr>
        <w:top w:val="none" w:sz="0" w:space="0" w:color="auto"/>
        <w:left w:val="none" w:sz="0" w:space="0" w:color="auto"/>
        <w:bottom w:val="none" w:sz="0" w:space="0" w:color="auto"/>
        <w:right w:val="none" w:sz="0" w:space="0" w:color="auto"/>
      </w:divBdr>
    </w:div>
    <w:div w:id="115149900">
      <w:bodyDiv w:val="1"/>
      <w:marLeft w:val="0"/>
      <w:marRight w:val="0"/>
      <w:marTop w:val="0"/>
      <w:marBottom w:val="0"/>
      <w:divBdr>
        <w:top w:val="none" w:sz="0" w:space="0" w:color="auto"/>
        <w:left w:val="none" w:sz="0" w:space="0" w:color="auto"/>
        <w:bottom w:val="none" w:sz="0" w:space="0" w:color="auto"/>
        <w:right w:val="none" w:sz="0" w:space="0" w:color="auto"/>
      </w:divBdr>
    </w:div>
    <w:div w:id="154300239">
      <w:bodyDiv w:val="1"/>
      <w:marLeft w:val="0"/>
      <w:marRight w:val="0"/>
      <w:marTop w:val="0"/>
      <w:marBottom w:val="0"/>
      <w:divBdr>
        <w:top w:val="none" w:sz="0" w:space="0" w:color="auto"/>
        <w:left w:val="none" w:sz="0" w:space="0" w:color="auto"/>
        <w:bottom w:val="none" w:sz="0" w:space="0" w:color="auto"/>
        <w:right w:val="none" w:sz="0" w:space="0" w:color="auto"/>
      </w:divBdr>
    </w:div>
    <w:div w:id="200821758">
      <w:bodyDiv w:val="1"/>
      <w:marLeft w:val="0"/>
      <w:marRight w:val="0"/>
      <w:marTop w:val="0"/>
      <w:marBottom w:val="0"/>
      <w:divBdr>
        <w:top w:val="none" w:sz="0" w:space="0" w:color="auto"/>
        <w:left w:val="none" w:sz="0" w:space="0" w:color="auto"/>
        <w:bottom w:val="none" w:sz="0" w:space="0" w:color="auto"/>
        <w:right w:val="none" w:sz="0" w:space="0" w:color="auto"/>
      </w:divBdr>
      <w:divsChild>
        <w:div w:id="65614941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726504">
      <w:bodyDiv w:val="1"/>
      <w:marLeft w:val="0"/>
      <w:marRight w:val="0"/>
      <w:marTop w:val="0"/>
      <w:marBottom w:val="0"/>
      <w:divBdr>
        <w:top w:val="none" w:sz="0" w:space="0" w:color="auto"/>
        <w:left w:val="none" w:sz="0" w:space="0" w:color="auto"/>
        <w:bottom w:val="none" w:sz="0" w:space="0" w:color="auto"/>
        <w:right w:val="none" w:sz="0" w:space="0" w:color="auto"/>
      </w:divBdr>
    </w:div>
    <w:div w:id="214393562">
      <w:bodyDiv w:val="1"/>
      <w:marLeft w:val="0"/>
      <w:marRight w:val="0"/>
      <w:marTop w:val="0"/>
      <w:marBottom w:val="0"/>
      <w:divBdr>
        <w:top w:val="none" w:sz="0" w:space="0" w:color="auto"/>
        <w:left w:val="none" w:sz="0" w:space="0" w:color="auto"/>
        <w:bottom w:val="none" w:sz="0" w:space="0" w:color="auto"/>
        <w:right w:val="none" w:sz="0" w:space="0" w:color="auto"/>
      </w:divBdr>
    </w:div>
    <w:div w:id="249587341">
      <w:bodyDiv w:val="1"/>
      <w:marLeft w:val="0"/>
      <w:marRight w:val="0"/>
      <w:marTop w:val="0"/>
      <w:marBottom w:val="0"/>
      <w:divBdr>
        <w:top w:val="none" w:sz="0" w:space="0" w:color="auto"/>
        <w:left w:val="none" w:sz="0" w:space="0" w:color="auto"/>
        <w:bottom w:val="none" w:sz="0" w:space="0" w:color="auto"/>
        <w:right w:val="none" w:sz="0" w:space="0" w:color="auto"/>
      </w:divBdr>
    </w:div>
    <w:div w:id="264389574">
      <w:bodyDiv w:val="1"/>
      <w:marLeft w:val="0"/>
      <w:marRight w:val="0"/>
      <w:marTop w:val="0"/>
      <w:marBottom w:val="0"/>
      <w:divBdr>
        <w:top w:val="none" w:sz="0" w:space="0" w:color="auto"/>
        <w:left w:val="none" w:sz="0" w:space="0" w:color="auto"/>
        <w:bottom w:val="none" w:sz="0" w:space="0" w:color="auto"/>
        <w:right w:val="none" w:sz="0" w:space="0" w:color="auto"/>
      </w:divBdr>
    </w:div>
    <w:div w:id="279531054">
      <w:bodyDiv w:val="1"/>
      <w:marLeft w:val="0"/>
      <w:marRight w:val="0"/>
      <w:marTop w:val="0"/>
      <w:marBottom w:val="0"/>
      <w:divBdr>
        <w:top w:val="none" w:sz="0" w:space="0" w:color="auto"/>
        <w:left w:val="none" w:sz="0" w:space="0" w:color="auto"/>
        <w:bottom w:val="none" w:sz="0" w:space="0" w:color="auto"/>
        <w:right w:val="none" w:sz="0" w:space="0" w:color="auto"/>
      </w:divBdr>
    </w:div>
    <w:div w:id="300035025">
      <w:bodyDiv w:val="1"/>
      <w:marLeft w:val="0"/>
      <w:marRight w:val="0"/>
      <w:marTop w:val="0"/>
      <w:marBottom w:val="0"/>
      <w:divBdr>
        <w:top w:val="none" w:sz="0" w:space="0" w:color="auto"/>
        <w:left w:val="none" w:sz="0" w:space="0" w:color="auto"/>
        <w:bottom w:val="none" w:sz="0" w:space="0" w:color="auto"/>
        <w:right w:val="none" w:sz="0" w:space="0" w:color="auto"/>
      </w:divBdr>
    </w:div>
    <w:div w:id="326173738">
      <w:bodyDiv w:val="1"/>
      <w:marLeft w:val="0"/>
      <w:marRight w:val="0"/>
      <w:marTop w:val="0"/>
      <w:marBottom w:val="0"/>
      <w:divBdr>
        <w:top w:val="none" w:sz="0" w:space="0" w:color="auto"/>
        <w:left w:val="none" w:sz="0" w:space="0" w:color="auto"/>
        <w:bottom w:val="none" w:sz="0" w:space="0" w:color="auto"/>
        <w:right w:val="none" w:sz="0" w:space="0" w:color="auto"/>
      </w:divBdr>
    </w:div>
    <w:div w:id="328604925">
      <w:bodyDiv w:val="1"/>
      <w:marLeft w:val="0"/>
      <w:marRight w:val="0"/>
      <w:marTop w:val="0"/>
      <w:marBottom w:val="0"/>
      <w:divBdr>
        <w:top w:val="none" w:sz="0" w:space="0" w:color="auto"/>
        <w:left w:val="none" w:sz="0" w:space="0" w:color="auto"/>
        <w:bottom w:val="none" w:sz="0" w:space="0" w:color="auto"/>
        <w:right w:val="none" w:sz="0" w:space="0" w:color="auto"/>
      </w:divBdr>
    </w:div>
    <w:div w:id="341863676">
      <w:bodyDiv w:val="1"/>
      <w:marLeft w:val="0"/>
      <w:marRight w:val="0"/>
      <w:marTop w:val="0"/>
      <w:marBottom w:val="0"/>
      <w:divBdr>
        <w:top w:val="none" w:sz="0" w:space="0" w:color="auto"/>
        <w:left w:val="none" w:sz="0" w:space="0" w:color="auto"/>
        <w:bottom w:val="none" w:sz="0" w:space="0" w:color="auto"/>
        <w:right w:val="none" w:sz="0" w:space="0" w:color="auto"/>
      </w:divBdr>
    </w:div>
    <w:div w:id="345641209">
      <w:bodyDiv w:val="1"/>
      <w:marLeft w:val="0"/>
      <w:marRight w:val="0"/>
      <w:marTop w:val="0"/>
      <w:marBottom w:val="0"/>
      <w:divBdr>
        <w:top w:val="none" w:sz="0" w:space="0" w:color="auto"/>
        <w:left w:val="none" w:sz="0" w:space="0" w:color="auto"/>
        <w:bottom w:val="none" w:sz="0" w:space="0" w:color="auto"/>
        <w:right w:val="none" w:sz="0" w:space="0" w:color="auto"/>
      </w:divBdr>
    </w:div>
    <w:div w:id="376010686">
      <w:bodyDiv w:val="1"/>
      <w:marLeft w:val="0"/>
      <w:marRight w:val="0"/>
      <w:marTop w:val="0"/>
      <w:marBottom w:val="0"/>
      <w:divBdr>
        <w:top w:val="none" w:sz="0" w:space="0" w:color="auto"/>
        <w:left w:val="none" w:sz="0" w:space="0" w:color="auto"/>
        <w:bottom w:val="none" w:sz="0" w:space="0" w:color="auto"/>
        <w:right w:val="none" w:sz="0" w:space="0" w:color="auto"/>
      </w:divBdr>
    </w:div>
    <w:div w:id="387074290">
      <w:bodyDiv w:val="1"/>
      <w:marLeft w:val="0"/>
      <w:marRight w:val="0"/>
      <w:marTop w:val="0"/>
      <w:marBottom w:val="0"/>
      <w:divBdr>
        <w:top w:val="none" w:sz="0" w:space="0" w:color="auto"/>
        <w:left w:val="none" w:sz="0" w:space="0" w:color="auto"/>
        <w:bottom w:val="none" w:sz="0" w:space="0" w:color="auto"/>
        <w:right w:val="none" w:sz="0" w:space="0" w:color="auto"/>
      </w:divBdr>
    </w:div>
    <w:div w:id="403141614">
      <w:bodyDiv w:val="1"/>
      <w:marLeft w:val="0"/>
      <w:marRight w:val="0"/>
      <w:marTop w:val="0"/>
      <w:marBottom w:val="0"/>
      <w:divBdr>
        <w:top w:val="none" w:sz="0" w:space="0" w:color="auto"/>
        <w:left w:val="none" w:sz="0" w:space="0" w:color="auto"/>
        <w:bottom w:val="none" w:sz="0" w:space="0" w:color="auto"/>
        <w:right w:val="none" w:sz="0" w:space="0" w:color="auto"/>
      </w:divBdr>
    </w:div>
    <w:div w:id="421531036">
      <w:bodyDiv w:val="1"/>
      <w:marLeft w:val="0"/>
      <w:marRight w:val="0"/>
      <w:marTop w:val="0"/>
      <w:marBottom w:val="0"/>
      <w:divBdr>
        <w:top w:val="none" w:sz="0" w:space="0" w:color="auto"/>
        <w:left w:val="none" w:sz="0" w:space="0" w:color="auto"/>
        <w:bottom w:val="none" w:sz="0" w:space="0" w:color="auto"/>
        <w:right w:val="none" w:sz="0" w:space="0" w:color="auto"/>
      </w:divBdr>
    </w:div>
    <w:div w:id="461466420">
      <w:bodyDiv w:val="1"/>
      <w:marLeft w:val="0"/>
      <w:marRight w:val="0"/>
      <w:marTop w:val="0"/>
      <w:marBottom w:val="0"/>
      <w:divBdr>
        <w:top w:val="none" w:sz="0" w:space="0" w:color="auto"/>
        <w:left w:val="none" w:sz="0" w:space="0" w:color="auto"/>
        <w:bottom w:val="none" w:sz="0" w:space="0" w:color="auto"/>
        <w:right w:val="none" w:sz="0" w:space="0" w:color="auto"/>
      </w:divBdr>
    </w:div>
    <w:div w:id="484319163">
      <w:bodyDiv w:val="1"/>
      <w:marLeft w:val="0"/>
      <w:marRight w:val="0"/>
      <w:marTop w:val="0"/>
      <w:marBottom w:val="0"/>
      <w:divBdr>
        <w:top w:val="none" w:sz="0" w:space="0" w:color="auto"/>
        <w:left w:val="none" w:sz="0" w:space="0" w:color="auto"/>
        <w:bottom w:val="none" w:sz="0" w:space="0" w:color="auto"/>
        <w:right w:val="none" w:sz="0" w:space="0" w:color="auto"/>
      </w:divBdr>
    </w:div>
    <w:div w:id="501353337">
      <w:bodyDiv w:val="1"/>
      <w:marLeft w:val="0"/>
      <w:marRight w:val="0"/>
      <w:marTop w:val="0"/>
      <w:marBottom w:val="0"/>
      <w:divBdr>
        <w:top w:val="none" w:sz="0" w:space="0" w:color="auto"/>
        <w:left w:val="none" w:sz="0" w:space="0" w:color="auto"/>
        <w:bottom w:val="none" w:sz="0" w:space="0" w:color="auto"/>
        <w:right w:val="none" w:sz="0" w:space="0" w:color="auto"/>
      </w:divBdr>
    </w:div>
    <w:div w:id="516962757">
      <w:bodyDiv w:val="1"/>
      <w:marLeft w:val="0"/>
      <w:marRight w:val="0"/>
      <w:marTop w:val="0"/>
      <w:marBottom w:val="0"/>
      <w:divBdr>
        <w:top w:val="none" w:sz="0" w:space="0" w:color="auto"/>
        <w:left w:val="none" w:sz="0" w:space="0" w:color="auto"/>
        <w:bottom w:val="none" w:sz="0" w:space="0" w:color="auto"/>
        <w:right w:val="none" w:sz="0" w:space="0" w:color="auto"/>
      </w:divBdr>
    </w:div>
    <w:div w:id="522674520">
      <w:bodyDiv w:val="1"/>
      <w:marLeft w:val="0"/>
      <w:marRight w:val="0"/>
      <w:marTop w:val="0"/>
      <w:marBottom w:val="0"/>
      <w:divBdr>
        <w:top w:val="none" w:sz="0" w:space="0" w:color="auto"/>
        <w:left w:val="none" w:sz="0" w:space="0" w:color="auto"/>
        <w:bottom w:val="none" w:sz="0" w:space="0" w:color="auto"/>
        <w:right w:val="none" w:sz="0" w:space="0" w:color="auto"/>
      </w:divBdr>
    </w:div>
    <w:div w:id="556821668">
      <w:bodyDiv w:val="1"/>
      <w:marLeft w:val="0"/>
      <w:marRight w:val="0"/>
      <w:marTop w:val="0"/>
      <w:marBottom w:val="0"/>
      <w:divBdr>
        <w:top w:val="none" w:sz="0" w:space="0" w:color="auto"/>
        <w:left w:val="none" w:sz="0" w:space="0" w:color="auto"/>
        <w:bottom w:val="none" w:sz="0" w:space="0" w:color="auto"/>
        <w:right w:val="none" w:sz="0" w:space="0" w:color="auto"/>
      </w:divBdr>
    </w:div>
    <w:div w:id="565186412">
      <w:bodyDiv w:val="1"/>
      <w:marLeft w:val="0"/>
      <w:marRight w:val="0"/>
      <w:marTop w:val="0"/>
      <w:marBottom w:val="0"/>
      <w:divBdr>
        <w:top w:val="none" w:sz="0" w:space="0" w:color="auto"/>
        <w:left w:val="none" w:sz="0" w:space="0" w:color="auto"/>
        <w:bottom w:val="none" w:sz="0" w:space="0" w:color="auto"/>
        <w:right w:val="none" w:sz="0" w:space="0" w:color="auto"/>
      </w:divBdr>
    </w:div>
    <w:div w:id="579339915">
      <w:bodyDiv w:val="1"/>
      <w:marLeft w:val="0"/>
      <w:marRight w:val="0"/>
      <w:marTop w:val="0"/>
      <w:marBottom w:val="0"/>
      <w:divBdr>
        <w:top w:val="none" w:sz="0" w:space="0" w:color="auto"/>
        <w:left w:val="none" w:sz="0" w:space="0" w:color="auto"/>
        <w:bottom w:val="none" w:sz="0" w:space="0" w:color="auto"/>
        <w:right w:val="none" w:sz="0" w:space="0" w:color="auto"/>
      </w:divBdr>
    </w:div>
    <w:div w:id="582833775">
      <w:bodyDiv w:val="1"/>
      <w:marLeft w:val="0"/>
      <w:marRight w:val="0"/>
      <w:marTop w:val="0"/>
      <w:marBottom w:val="0"/>
      <w:divBdr>
        <w:top w:val="none" w:sz="0" w:space="0" w:color="auto"/>
        <w:left w:val="none" w:sz="0" w:space="0" w:color="auto"/>
        <w:bottom w:val="none" w:sz="0" w:space="0" w:color="auto"/>
        <w:right w:val="none" w:sz="0" w:space="0" w:color="auto"/>
      </w:divBdr>
    </w:div>
    <w:div w:id="619537146">
      <w:bodyDiv w:val="1"/>
      <w:marLeft w:val="0"/>
      <w:marRight w:val="0"/>
      <w:marTop w:val="0"/>
      <w:marBottom w:val="0"/>
      <w:divBdr>
        <w:top w:val="none" w:sz="0" w:space="0" w:color="auto"/>
        <w:left w:val="none" w:sz="0" w:space="0" w:color="auto"/>
        <w:bottom w:val="none" w:sz="0" w:space="0" w:color="auto"/>
        <w:right w:val="none" w:sz="0" w:space="0" w:color="auto"/>
      </w:divBdr>
    </w:div>
    <w:div w:id="729428600">
      <w:bodyDiv w:val="1"/>
      <w:marLeft w:val="0"/>
      <w:marRight w:val="0"/>
      <w:marTop w:val="0"/>
      <w:marBottom w:val="0"/>
      <w:divBdr>
        <w:top w:val="none" w:sz="0" w:space="0" w:color="auto"/>
        <w:left w:val="none" w:sz="0" w:space="0" w:color="auto"/>
        <w:bottom w:val="none" w:sz="0" w:space="0" w:color="auto"/>
        <w:right w:val="none" w:sz="0" w:space="0" w:color="auto"/>
      </w:divBdr>
    </w:div>
    <w:div w:id="752163920">
      <w:bodyDiv w:val="1"/>
      <w:marLeft w:val="0"/>
      <w:marRight w:val="0"/>
      <w:marTop w:val="0"/>
      <w:marBottom w:val="0"/>
      <w:divBdr>
        <w:top w:val="none" w:sz="0" w:space="0" w:color="auto"/>
        <w:left w:val="none" w:sz="0" w:space="0" w:color="auto"/>
        <w:bottom w:val="none" w:sz="0" w:space="0" w:color="auto"/>
        <w:right w:val="none" w:sz="0" w:space="0" w:color="auto"/>
      </w:divBdr>
    </w:div>
    <w:div w:id="766199124">
      <w:bodyDiv w:val="1"/>
      <w:marLeft w:val="0"/>
      <w:marRight w:val="0"/>
      <w:marTop w:val="0"/>
      <w:marBottom w:val="0"/>
      <w:divBdr>
        <w:top w:val="none" w:sz="0" w:space="0" w:color="auto"/>
        <w:left w:val="none" w:sz="0" w:space="0" w:color="auto"/>
        <w:bottom w:val="none" w:sz="0" w:space="0" w:color="auto"/>
        <w:right w:val="none" w:sz="0" w:space="0" w:color="auto"/>
      </w:divBdr>
    </w:div>
    <w:div w:id="779688702">
      <w:bodyDiv w:val="1"/>
      <w:marLeft w:val="0"/>
      <w:marRight w:val="0"/>
      <w:marTop w:val="0"/>
      <w:marBottom w:val="0"/>
      <w:divBdr>
        <w:top w:val="none" w:sz="0" w:space="0" w:color="auto"/>
        <w:left w:val="none" w:sz="0" w:space="0" w:color="auto"/>
        <w:bottom w:val="none" w:sz="0" w:space="0" w:color="auto"/>
        <w:right w:val="none" w:sz="0" w:space="0" w:color="auto"/>
      </w:divBdr>
    </w:div>
    <w:div w:id="811598026">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0510422">
      <w:bodyDiv w:val="1"/>
      <w:marLeft w:val="0"/>
      <w:marRight w:val="0"/>
      <w:marTop w:val="0"/>
      <w:marBottom w:val="0"/>
      <w:divBdr>
        <w:top w:val="none" w:sz="0" w:space="0" w:color="auto"/>
        <w:left w:val="none" w:sz="0" w:space="0" w:color="auto"/>
        <w:bottom w:val="none" w:sz="0" w:space="0" w:color="auto"/>
        <w:right w:val="none" w:sz="0" w:space="0" w:color="auto"/>
      </w:divBdr>
    </w:div>
    <w:div w:id="845898101">
      <w:bodyDiv w:val="1"/>
      <w:marLeft w:val="0"/>
      <w:marRight w:val="0"/>
      <w:marTop w:val="0"/>
      <w:marBottom w:val="0"/>
      <w:divBdr>
        <w:top w:val="none" w:sz="0" w:space="0" w:color="auto"/>
        <w:left w:val="none" w:sz="0" w:space="0" w:color="auto"/>
        <w:bottom w:val="none" w:sz="0" w:space="0" w:color="auto"/>
        <w:right w:val="none" w:sz="0" w:space="0" w:color="auto"/>
      </w:divBdr>
    </w:div>
    <w:div w:id="858860126">
      <w:bodyDiv w:val="1"/>
      <w:marLeft w:val="0"/>
      <w:marRight w:val="0"/>
      <w:marTop w:val="0"/>
      <w:marBottom w:val="0"/>
      <w:divBdr>
        <w:top w:val="none" w:sz="0" w:space="0" w:color="auto"/>
        <w:left w:val="none" w:sz="0" w:space="0" w:color="auto"/>
        <w:bottom w:val="none" w:sz="0" w:space="0" w:color="auto"/>
        <w:right w:val="none" w:sz="0" w:space="0" w:color="auto"/>
      </w:divBdr>
    </w:div>
    <w:div w:id="911547771">
      <w:bodyDiv w:val="1"/>
      <w:marLeft w:val="0"/>
      <w:marRight w:val="0"/>
      <w:marTop w:val="0"/>
      <w:marBottom w:val="0"/>
      <w:divBdr>
        <w:top w:val="none" w:sz="0" w:space="0" w:color="auto"/>
        <w:left w:val="none" w:sz="0" w:space="0" w:color="auto"/>
        <w:bottom w:val="none" w:sz="0" w:space="0" w:color="auto"/>
        <w:right w:val="none" w:sz="0" w:space="0" w:color="auto"/>
      </w:divBdr>
    </w:div>
    <w:div w:id="911550737">
      <w:bodyDiv w:val="1"/>
      <w:marLeft w:val="0"/>
      <w:marRight w:val="0"/>
      <w:marTop w:val="0"/>
      <w:marBottom w:val="0"/>
      <w:divBdr>
        <w:top w:val="none" w:sz="0" w:space="0" w:color="auto"/>
        <w:left w:val="none" w:sz="0" w:space="0" w:color="auto"/>
        <w:bottom w:val="none" w:sz="0" w:space="0" w:color="auto"/>
        <w:right w:val="none" w:sz="0" w:space="0" w:color="auto"/>
      </w:divBdr>
    </w:div>
    <w:div w:id="930237685">
      <w:bodyDiv w:val="1"/>
      <w:marLeft w:val="0"/>
      <w:marRight w:val="0"/>
      <w:marTop w:val="0"/>
      <w:marBottom w:val="0"/>
      <w:divBdr>
        <w:top w:val="none" w:sz="0" w:space="0" w:color="auto"/>
        <w:left w:val="none" w:sz="0" w:space="0" w:color="auto"/>
        <w:bottom w:val="none" w:sz="0" w:space="0" w:color="auto"/>
        <w:right w:val="none" w:sz="0" w:space="0" w:color="auto"/>
      </w:divBdr>
    </w:div>
    <w:div w:id="953170847">
      <w:bodyDiv w:val="1"/>
      <w:marLeft w:val="0"/>
      <w:marRight w:val="0"/>
      <w:marTop w:val="0"/>
      <w:marBottom w:val="0"/>
      <w:divBdr>
        <w:top w:val="none" w:sz="0" w:space="0" w:color="auto"/>
        <w:left w:val="none" w:sz="0" w:space="0" w:color="auto"/>
        <w:bottom w:val="none" w:sz="0" w:space="0" w:color="auto"/>
        <w:right w:val="none" w:sz="0" w:space="0" w:color="auto"/>
      </w:divBdr>
    </w:div>
    <w:div w:id="959460742">
      <w:bodyDiv w:val="1"/>
      <w:marLeft w:val="0"/>
      <w:marRight w:val="0"/>
      <w:marTop w:val="0"/>
      <w:marBottom w:val="0"/>
      <w:divBdr>
        <w:top w:val="none" w:sz="0" w:space="0" w:color="auto"/>
        <w:left w:val="none" w:sz="0" w:space="0" w:color="auto"/>
        <w:bottom w:val="none" w:sz="0" w:space="0" w:color="auto"/>
        <w:right w:val="none" w:sz="0" w:space="0" w:color="auto"/>
      </w:divBdr>
    </w:div>
    <w:div w:id="965240289">
      <w:bodyDiv w:val="1"/>
      <w:marLeft w:val="0"/>
      <w:marRight w:val="0"/>
      <w:marTop w:val="0"/>
      <w:marBottom w:val="0"/>
      <w:divBdr>
        <w:top w:val="none" w:sz="0" w:space="0" w:color="auto"/>
        <w:left w:val="none" w:sz="0" w:space="0" w:color="auto"/>
        <w:bottom w:val="none" w:sz="0" w:space="0" w:color="auto"/>
        <w:right w:val="none" w:sz="0" w:space="0" w:color="auto"/>
      </w:divBdr>
    </w:div>
    <w:div w:id="973750001">
      <w:bodyDiv w:val="1"/>
      <w:marLeft w:val="0"/>
      <w:marRight w:val="0"/>
      <w:marTop w:val="0"/>
      <w:marBottom w:val="0"/>
      <w:divBdr>
        <w:top w:val="none" w:sz="0" w:space="0" w:color="auto"/>
        <w:left w:val="none" w:sz="0" w:space="0" w:color="auto"/>
        <w:bottom w:val="none" w:sz="0" w:space="0" w:color="auto"/>
        <w:right w:val="none" w:sz="0" w:space="0" w:color="auto"/>
      </w:divBdr>
    </w:div>
    <w:div w:id="1012606065">
      <w:bodyDiv w:val="1"/>
      <w:marLeft w:val="0"/>
      <w:marRight w:val="0"/>
      <w:marTop w:val="0"/>
      <w:marBottom w:val="0"/>
      <w:divBdr>
        <w:top w:val="none" w:sz="0" w:space="0" w:color="auto"/>
        <w:left w:val="none" w:sz="0" w:space="0" w:color="auto"/>
        <w:bottom w:val="none" w:sz="0" w:space="0" w:color="auto"/>
        <w:right w:val="none" w:sz="0" w:space="0" w:color="auto"/>
      </w:divBdr>
    </w:div>
    <w:div w:id="1056314389">
      <w:bodyDiv w:val="1"/>
      <w:marLeft w:val="0"/>
      <w:marRight w:val="0"/>
      <w:marTop w:val="0"/>
      <w:marBottom w:val="0"/>
      <w:divBdr>
        <w:top w:val="none" w:sz="0" w:space="0" w:color="auto"/>
        <w:left w:val="none" w:sz="0" w:space="0" w:color="auto"/>
        <w:bottom w:val="none" w:sz="0" w:space="0" w:color="auto"/>
        <w:right w:val="none" w:sz="0" w:space="0" w:color="auto"/>
      </w:divBdr>
    </w:div>
    <w:div w:id="1065688696">
      <w:bodyDiv w:val="1"/>
      <w:marLeft w:val="0"/>
      <w:marRight w:val="0"/>
      <w:marTop w:val="0"/>
      <w:marBottom w:val="0"/>
      <w:divBdr>
        <w:top w:val="none" w:sz="0" w:space="0" w:color="auto"/>
        <w:left w:val="none" w:sz="0" w:space="0" w:color="auto"/>
        <w:bottom w:val="none" w:sz="0" w:space="0" w:color="auto"/>
        <w:right w:val="none" w:sz="0" w:space="0" w:color="auto"/>
      </w:divBdr>
    </w:div>
    <w:div w:id="1085538326">
      <w:bodyDiv w:val="1"/>
      <w:marLeft w:val="0"/>
      <w:marRight w:val="0"/>
      <w:marTop w:val="0"/>
      <w:marBottom w:val="0"/>
      <w:divBdr>
        <w:top w:val="none" w:sz="0" w:space="0" w:color="auto"/>
        <w:left w:val="none" w:sz="0" w:space="0" w:color="auto"/>
        <w:bottom w:val="none" w:sz="0" w:space="0" w:color="auto"/>
        <w:right w:val="none" w:sz="0" w:space="0" w:color="auto"/>
      </w:divBdr>
    </w:div>
    <w:div w:id="1116604914">
      <w:bodyDiv w:val="1"/>
      <w:marLeft w:val="0"/>
      <w:marRight w:val="0"/>
      <w:marTop w:val="0"/>
      <w:marBottom w:val="0"/>
      <w:divBdr>
        <w:top w:val="none" w:sz="0" w:space="0" w:color="auto"/>
        <w:left w:val="none" w:sz="0" w:space="0" w:color="auto"/>
        <w:bottom w:val="none" w:sz="0" w:space="0" w:color="auto"/>
        <w:right w:val="none" w:sz="0" w:space="0" w:color="auto"/>
      </w:divBdr>
    </w:div>
    <w:div w:id="1128550897">
      <w:bodyDiv w:val="1"/>
      <w:marLeft w:val="0"/>
      <w:marRight w:val="0"/>
      <w:marTop w:val="0"/>
      <w:marBottom w:val="0"/>
      <w:divBdr>
        <w:top w:val="none" w:sz="0" w:space="0" w:color="auto"/>
        <w:left w:val="none" w:sz="0" w:space="0" w:color="auto"/>
        <w:bottom w:val="none" w:sz="0" w:space="0" w:color="auto"/>
        <w:right w:val="none" w:sz="0" w:space="0" w:color="auto"/>
      </w:divBdr>
    </w:div>
    <w:div w:id="1134756186">
      <w:bodyDiv w:val="1"/>
      <w:marLeft w:val="0"/>
      <w:marRight w:val="0"/>
      <w:marTop w:val="0"/>
      <w:marBottom w:val="0"/>
      <w:divBdr>
        <w:top w:val="none" w:sz="0" w:space="0" w:color="auto"/>
        <w:left w:val="none" w:sz="0" w:space="0" w:color="auto"/>
        <w:bottom w:val="none" w:sz="0" w:space="0" w:color="auto"/>
        <w:right w:val="none" w:sz="0" w:space="0" w:color="auto"/>
      </w:divBdr>
    </w:div>
    <w:div w:id="1191337965">
      <w:bodyDiv w:val="1"/>
      <w:marLeft w:val="0"/>
      <w:marRight w:val="0"/>
      <w:marTop w:val="0"/>
      <w:marBottom w:val="0"/>
      <w:divBdr>
        <w:top w:val="none" w:sz="0" w:space="0" w:color="auto"/>
        <w:left w:val="none" w:sz="0" w:space="0" w:color="auto"/>
        <w:bottom w:val="none" w:sz="0" w:space="0" w:color="auto"/>
        <w:right w:val="none" w:sz="0" w:space="0" w:color="auto"/>
      </w:divBdr>
    </w:div>
    <w:div w:id="1217014263">
      <w:bodyDiv w:val="1"/>
      <w:marLeft w:val="0"/>
      <w:marRight w:val="0"/>
      <w:marTop w:val="0"/>
      <w:marBottom w:val="0"/>
      <w:divBdr>
        <w:top w:val="none" w:sz="0" w:space="0" w:color="auto"/>
        <w:left w:val="none" w:sz="0" w:space="0" w:color="auto"/>
        <w:bottom w:val="none" w:sz="0" w:space="0" w:color="auto"/>
        <w:right w:val="none" w:sz="0" w:space="0" w:color="auto"/>
      </w:divBdr>
    </w:div>
    <w:div w:id="1257447904">
      <w:bodyDiv w:val="1"/>
      <w:marLeft w:val="0"/>
      <w:marRight w:val="0"/>
      <w:marTop w:val="0"/>
      <w:marBottom w:val="0"/>
      <w:divBdr>
        <w:top w:val="none" w:sz="0" w:space="0" w:color="auto"/>
        <w:left w:val="none" w:sz="0" w:space="0" w:color="auto"/>
        <w:bottom w:val="none" w:sz="0" w:space="0" w:color="auto"/>
        <w:right w:val="none" w:sz="0" w:space="0" w:color="auto"/>
      </w:divBdr>
    </w:div>
    <w:div w:id="1261569459">
      <w:bodyDiv w:val="1"/>
      <w:marLeft w:val="0"/>
      <w:marRight w:val="0"/>
      <w:marTop w:val="0"/>
      <w:marBottom w:val="0"/>
      <w:divBdr>
        <w:top w:val="none" w:sz="0" w:space="0" w:color="auto"/>
        <w:left w:val="none" w:sz="0" w:space="0" w:color="auto"/>
        <w:bottom w:val="none" w:sz="0" w:space="0" w:color="auto"/>
        <w:right w:val="none" w:sz="0" w:space="0" w:color="auto"/>
      </w:divBdr>
    </w:div>
    <w:div w:id="1275871350">
      <w:bodyDiv w:val="1"/>
      <w:marLeft w:val="0"/>
      <w:marRight w:val="0"/>
      <w:marTop w:val="0"/>
      <w:marBottom w:val="0"/>
      <w:divBdr>
        <w:top w:val="none" w:sz="0" w:space="0" w:color="auto"/>
        <w:left w:val="none" w:sz="0" w:space="0" w:color="auto"/>
        <w:bottom w:val="none" w:sz="0" w:space="0" w:color="auto"/>
        <w:right w:val="none" w:sz="0" w:space="0" w:color="auto"/>
      </w:divBdr>
    </w:div>
    <w:div w:id="1288123820">
      <w:bodyDiv w:val="1"/>
      <w:marLeft w:val="0"/>
      <w:marRight w:val="0"/>
      <w:marTop w:val="0"/>
      <w:marBottom w:val="0"/>
      <w:divBdr>
        <w:top w:val="none" w:sz="0" w:space="0" w:color="auto"/>
        <w:left w:val="none" w:sz="0" w:space="0" w:color="auto"/>
        <w:bottom w:val="none" w:sz="0" w:space="0" w:color="auto"/>
        <w:right w:val="none" w:sz="0" w:space="0" w:color="auto"/>
      </w:divBdr>
    </w:div>
    <w:div w:id="1333996728">
      <w:bodyDiv w:val="1"/>
      <w:marLeft w:val="0"/>
      <w:marRight w:val="0"/>
      <w:marTop w:val="0"/>
      <w:marBottom w:val="0"/>
      <w:divBdr>
        <w:top w:val="none" w:sz="0" w:space="0" w:color="auto"/>
        <w:left w:val="none" w:sz="0" w:space="0" w:color="auto"/>
        <w:bottom w:val="none" w:sz="0" w:space="0" w:color="auto"/>
        <w:right w:val="none" w:sz="0" w:space="0" w:color="auto"/>
      </w:divBdr>
    </w:div>
    <w:div w:id="1338462222">
      <w:bodyDiv w:val="1"/>
      <w:marLeft w:val="0"/>
      <w:marRight w:val="0"/>
      <w:marTop w:val="0"/>
      <w:marBottom w:val="0"/>
      <w:divBdr>
        <w:top w:val="none" w:sz="0" w:space="0" w:color="auto"/>
        <w:left w:val="none" w:sz="0" w:space="0" w:color="auto"/>
        <w:bottom w:val="none" w:sz="0" w:space="0" w:color="auto"/>
        <w:right w:val="none" w:sz="0" w:space="0" w:color="auto"/>
      </w:divBdr>
      <w:divsChild>
        <w:div w:id="19416403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56274615">
      <w:bodyDiv w:val="1"/>
      <w:marLeft w:val="0"/>
      <w:marRight w:val="0"/>
      <w:marTop w:val="0"/>
      <w:marBottom w:val="0"/>
      <w:divBdr>
        <w:top w:val="none" w:sz="0" w:space="0" w:color="auto"/>
        <w:left w:val="none" w:sz="0" w:space="0" w:color="auto"/>
        <w:bottom w:val="none" w:sz="0" w:space="0" w:color="auto"/>
        <w:right w:val="none" w:sz="0" w:space="0" w:color="auto"/>
      </w:divBdr>
    </w:div>
    <w:div w:id="1357119777">
      <w:bodyDiv w:val="1"/>
      <w:marLeft w:val="0"/>
      <w:marRight w:val="0"/>
      <w:marTop w:val="0"/>
      <w:marBottom w:val="0"/>
      <w:divBdr>
        <w:top w:val="none" w:sz="0" w:space="0" w:color="auto"/>
        <w:left w:val="none" w:sz="0" w:space="0" w:color="auto"/>
        <w:bottom w:val="none" w:sz="0" w:space="0" w:color="auto"/>
        <w:right w:val="none" w:sz="0" w:space="0" w:color="auto"/>
      </w:divBdr>
    </w:div>
    <w:div w:id="1407074270">
      <w:bodyDiv w:val="1"/>
      <w:marLeft w:val="0"/>
      <w:marRight w:val="0"/>
      <w:marTop w:val="0"/>
      <w:marBottom w:val="0"/>
      <w:divBdr>
        <w:top w:val="none" w:sz="0" w:space="0" w:color="auto"/>
        <w:left w:val="none" w:sz="0" w:space="0" w:color="auto"/>
        <w:bottom w:val="none" w:sz="0" w:space="0" w:color="auto"/>
        <w:right w:val="none" w:sz="0" w:space="0" w:color="auto"/>
      </w:divBdr>
    </w:div>
    <w:div w:id="1434084038">
      <w:bodyDiv w:val="1"/>
      <w:marLeft w:val="0"/>
      <w:marRight w:val="0"/>
      <w:marTop w:val="0"/>
      <w:marBottom w:val="0"/>
      <w:divBdr>
        <w:top w:val="none" w:sz="0" w:space="0" w:color="auto"/>
        <w:left w:val="none" w:sz="0" w:space="0" w:color="auto"/>
        <w:bottom w:val="none" w:sz="0" w:space="0" w:color="auto"/>
        <w:right w:val="none" w:sz="0" w:space="0" w:color="auto"/>
      </w:divBdr>
    </w:div>
    <w:div w:id="1446079702">
      <w:bodyDiv w:val="1"/>
      <w:marLeft w:val="0"/>
      <w:marRight w:val="0"/>
      <w:marTop w:val="0"/>
      <w:marBottom w:val="0"/>
      <w:divBdr>
        <w:top w:val="none" w:sz="0" w:space="0" w:color="auto"/>
        <w:left w:val="none" w:sz="0" w:space="0" w:color="auto"/>
        <w:bottom w:val="none" w:sz="0" w:space="0" w:color="auto"/>
        <w:right w:val="none" w:sz="0" w:space="0" w:color="auto"/>
      </w:divBdr>
    </w:div>
    <w:div w:id="1460420978">
      <w:bodyDiv w:val="1"/>
      <w:marLeft w:val="0"/>
      <w:marRight w:val="0"/>
      <w:marTop w:val="0"/>
      <w:marBottom w:val="0"/>
      <w:divBdr>
        <w:top w:val="none" w:sz="0" w:space="0" w:color="auto"/>
        <w:left w:val="none" w:sz="0" w:space="0" w:color="auto"/>
        <w:bottom w:val="none" w:sz="0" w:space="0" w:color="auto"/>
        <w:right w:val="none" w:sz="0" w:space="0" w:color="auto"/>
      </w:divBdr>
    </w:div>
    <w:div w:id="1512069016">
      <w:bodyDiv w:val="1"/>
      <w:marLeft w:val="0"/>
      <w:marRight w:val="0"/>
      <w:marTop w:val="0"/>
      <w:marBottom w:val="0"/>
      <w:divBdr>
        <w:top w:val="none" w:sz="0" w:space="0" w:color="auto"/>
        <w:left w:val="none" w:sz="0" w:space="0" w:color="auto"/>
        <w:bottom w:val="none" w:sz="0" w:space="0" w:color="auto"/>
        <w:right w:val="none" w:sz="0" w:space="0" w:color="auto"/>
      </w:divBdr>
    </w:div>
    <w:div w:id="1525090359">
      <w:bodyDiv w:val="1"/>
      <w:marLeft w:val="0"/>
      <w:marRight w:val="0"/>
      <w:marTop w:val="0"/>
      <w:marBottom w:val="0"/>
      <w:divBdr>
        <w:top w:val="none" w:sz="0" w:space="0" w:color="auto"/>
        <w:left w:val="none" w:sz="0" w:space="0" w:color="auto"/>
        <w:bottom w:val="none" w:sz="0" w:space="0" w:color="auto"/>
        <w:right w:val="none" w:sz="0" w:space="0" w:color="auto"/>
      </w:divBdr>
    </w:div>
    <w:div w:id="1535534478">
      <w:bodyDiv w:val="1"/>
      <w:marLeft w:val="0"/>
      <w:marRight w:val="0"/>
      <w:marTop w:val="0"/>
      <w:marBottom w:val="0"/>
      <w:divBdr>
        <w:top w:val="none" w:sz="0" w:space="0" w:color="auto"/>
        <w:left w:val="none" w:sz="0" w:space="0" w:color="auto"/>
        <w:bottom w:val="none" w:sz="0" w:space="0" w:color="auto"/>
        <w:right w:val="none" w:sz="0" w:space="0" w:color="auto"/>
      </w:divBdr>
    </w:div>
    <w:div w:id="1572427493">
      <w:bodyDiv w:val="1"/>
      <w:marLeft w:val="0"/>
      <w:marRight w:val="0"/>
      <w:marTop w:val="0"/>
      <w:marBottom w:val="0"/>
      <w:divBdr>
        <w:top w:val="none" w:sz="0" w:space="0" w:color="auto"/>
        <w:left w:val="none" w:sz="0" w:space="0" w:color="auto"/>
        <w:bottom w:val="none" w:sz="0" w:space="0" w:color="auto"/>
        <w:right w:val="none" w:sz="0" w:space="0" w:color="auto"/>
      </w:divBdr>
    </w:div>
    <w:div w:id="1577592017">
      <w:bodyDiv w:val="1"/>
      <w:marLeft w:val="0"/>
      <w:marRight w:val="0"/>
      <w:marTop w:val="0"/>
      <w:marBottom w:val="0"/>
      <w:divBdr>
        <w:top w:val="none" w:sz="0" w:space="0" w:color="auto"/>
        <w:left w:val="none" w:sz="0" w:space="0" w:color="auto"/>
        <w:bottom w:val="none" w:sz="0" w:space="0" w:color="auto"/>
        <w:right w:val="none" w:sz="0" w:space="0" w:color="auto"/>
      </w:divBdr>
    </w:div>
    <w:div w:id="1579753442">
      <w:bodyDiv w:val="1"/>
      <w:marLeft w:val="0"/>
      <w:marRight w:val="0"/>
      <w:marTop w:val="0"/>
      <w:marBottom w:val="0"/>
      <w:divBdr>
        <w:top w:val="none" w:sz="0" w:space="0" w:color="auto"/>
        <w:left w:val="none" w:sz="0" w:space="0" w:color="auto"/>
        <w:bottom w:val="none" w:sz="0" w:space="0" w:color="auto"/>
        <w:right w:val="none" w:sz="0" w:space="0" w:color="auto"/>
      </w:divBdr>
    </w:div>
    <w:div w:id="1584025303">
      <w:bodyDiv w:val="1"/>
      <w:marLeft w:val="0"/>
      <w:marRight w:val="0"/>
      <w:marTop w:val="0"/>
      <w:marBottom w:val="0"/>
      <w:divBdr>
        <w:top w:val="none" w:sz="0" w:space="0" w:color="auto"/>
        <w:left w:val="none" w:sz="0" w:space="0" w:color="auto"/>
        <w:bottom w:val="none" w:sz="0" w:space="0" w:color="auto"/>
        <w:right w:val="none" w:sz="0" w:space="0" w:color="auto"/>
      </w:divBdr>
    </w:div>
    <w:div w:id="1619025996">
      <w:bodyDiv w:val="1"/>
      <w:marLeft w:val="0"/>
      <w:marRight w:val="0"/>
      <w:marTop w:val="0"/>
      <w:marBottom w:val="0"/>
      <w:divBdr>
        <w:top w:val="none" w:sz="0" w:space="0" w:color="auto"/>
        <w:left w:val="none" w:sz="0" w:space="0" w:color="auto"/>
        <w:bottom w:val="none" w:sz="0" w:space="0" w:color="auto"/>
        <w:right w:val="none" w:sz="0" w:space="0" w:color="auto"/>
      </w:divBdr>
    </w:div>
    <w:div w:id="1619943906">
      <w:bodyDiv w:val="1"/>
      <w:marLeft w:val="0"/>
      <w:marRight w:val="0"/>
      <w:marTop w:val="0"/>
      <w:marBottom w:val="0"/>
      <w:divBdr>
        <w:top w:val="none" w:sz="0" w:space="0" w:color="auto"/>
        <w:left w:val="none" w:sz="0" w:space="0" w:color="auto"/>
        <w:bottom w:val="none" w:sz="0" w:space="0" w:color="auto"/>
        <w:right w:val="none" w:sz="0" w:space="0" w:color="auto"/>
      </w:divBdr>
    </w:div>
    <w:div w:id="1632249618">
      <w:bodyDiv w:val="1"/>
      <w:marLeft w:val="0"/>
      <w:marRight w:val="0"/>
      <w:marTop w:val="0"/>
      <w:marBottom w:val="0"/>
      <w:divBdr>
        <w:top w:val="none" w:sz="0" w:space="0" w:color="auto"/>
        <w:left w:val="none" w:sz="0" w:space="0" w:color="auto"/>
        <w:bottom w:val="none" w:sz="0" w:space="0" w:color="auto"/>
        <w:right w:val="none" w:sz="0" w:space="0" w:color="auto"/>
      </w:divBdr>
    </w:div>
    <w:div w:id="1697124157">
      <w:bodyDiv w:val="1"/>
      <w:marLeft w:val="0"/>
      <w:marRight w:val="0"/>
      <w:marTop w:val="0"/>
      <w:marBottom w:val="0"/>
      <w:divBdr>
        <w:top w:val="none" w:sz="0" w:space="0" w:color="auto"/>
        <w:left w:val="none" w:sz="0" w:space="0" w:color="auto"/>
        <w:bottom w:val="none" w:sz="0" w:space="0" w:color="auto"/>
        <w:right w:val="none" w:sz="0" w:space="0" w:color="auto"/>
      </w:divBdr>
    </w:div>
    <w:div w:id="1698774851">
      <w:bodyDiv w:val="1"/>
      <w:marLeft w:val="0"/>
      <w:marRight w:val="0"/>
      <w:marTop w:val="0"/>
      <w:marBottom w:val="0"/>
      <w:divBdr>
        <w:top w:val="none" w:sz="0" w:space="0" w:color="auto"/>
        <w:left w:val="none" w:sz="0" w:space="0" w:color="auto"/>
        <w:bottom w:val="none" w:sz="0" w:space="0" w:color="auto"/>
        <w:right w:val="none" w:sz="0" w:space="0" w:color="auto"/>
      </w:divBdr>
    </w:div>
    <w:div w:id="1732924281">
      <w:bodyDiv w:val="1"/>
      <w:marLeft w:val="0"/>
      <w:marRight w:val="0"/>
      <w:marTop w:val="0"/>
      <w:marBottom w:val="0"/>
      <w:divBdr>
        <w:top w:val="none" w:sz="0" w:space="0" w:color="auto"/>
        <w:left w:val="none" w:sz="0" w:space="0" w:color="auto"/>
        <w:bottom w:val="none" w:sz="0" w:space="0" w:color="auto"/>
        <w:right w:val="none" w:sz="0" w:space="0" w:color="auto"/>
      </w:divBdr>
    </w:div>
    <w:div w:id="1758090500">
      <w:bodyDiv w:val="1"/>
      <w:marLeft w:val="0"/>
      <w:marRight w:val="0"/>
      <w:marTop w:val="0"/>
      <w:marBottom w:val="0"/>
      <w:divBdr>
        <w:top w:val="none" w:sz="0" w:space="0" w:color="auto"/>
        <w:left w:val="none" w:sz="0" w:space="0" w:color="auto"/>
        <w:bottom w:val="none" w:sz="0" w:space="0" w:color="auto"/>
        <w:right w:val="none" w:sz="0" w:space="0" w:color="auto"/>
      </w:divBdr>
    </w:div>
    <w:div w:id="1759255212">
      <w:bodyDiv w:val="1"/>
      <w:marLeft w:val="0"/>
      <w:marRight w:val="0"/>
      <w:marTop w:val="0"/>
      <w:marBottom w:val="0"/>
      <w:divBdr>
        <w:top w:val="none" w:sz="0" w:space="0" w:color="auto"/>
        <w:left w:val="none" w:sz="0" w:space="0" w:color="auto"/>
        <w:bottom w:val="none" w:sz="0" w:space="0" w:color="auto"/>
        <w:right w:val="none" w:sz="0" w:space="0" w:color="auto"/>
      </w:divBdr>
    </w:div>
    <w:div w:id="1762869171">
      <w:bodyDiv w:val="1"/>
      <w:marLeft w:val="0"/>
      <w:marRight w:val="0"/>
      <w:marTop w:val="0"/>
      <w:marBottom w:val="0"/>
      <w:divBdr>
        <w:top w:val="none" w:sz="0" w:space="0" w:color="auto"/>
        <w:left w:val="none" w:sz="0" w:space="0" w:color="auto"/>
        <w:bottom w:val="none" w:sz="0" w:space="0" w:color="auto"/>
        <w:right w:val="none" w:sz="0" w:space="0" w:color="auto"/>
      </w:divBdr>
    </w:div>
    <w:div w:id="1792747253">
      <w:bodyDiv w:val="1"/>
      <w:marLeft w:val="0"/>
      <w:marRight w:val="0"/>
      <w:marTop w:val="0"/>
      <w:marBottom w:val="0"/>
      <w:divBdr>
        <w:top w:val="none" w:sz="0" w:space="0" w:color="auto"/>
        <w:left w:val="none" w:sz="0" w:space="0" w:color="auto"/>
        <w:bottom w:val="none" w:sz="0" w:space="0" w:color="auto"/>
        <w:right w:val="none" w:sz="0" w:space="0" w:color="auto"/>
      </w:divBdr>
    </w:div>
    <w:div w:id="1852639609">
      <w:bodyDiv w:val="1"/>
      <w:marLeft w:val="0"/>
      <w:marRight w:val="0"/>
      <w:marTop w:val="0"/>
      <w:marBottom w:val="0"/>
      <w:divBdr>
        <w:top w:val="none" w:sz="0" w:space="0" w:color="auto"/>
        <w:left w:val="none" w:sz="0" w:space="0" w:color="auto"/>
        <w:bottom w:val="none" w:sz="0" w:space="0" w:color="auto"/>
        <w:right w:val="none" w:sz="0" w:space="0" w:color="auto"/>
      </w:divBdr>
    </w:div>
    <w:div w:id="1872836832">
      <w:bodyDiv w:val="1"/>
      <w:marLeft w:val="0"/>
      <w:marRight w:val="0"/>
      <w:marTop w:val="0"/>
      <w:marBottom w:val="0"/>
      <w:divBdr>
        <w:top w:val="none" w:sz="0" w:space="0" w:color="auto"/>
        <w:left w:val="none" w:sz="0" w:space="0" w:color="auto"/>
        <w:bottom w:val="none" w:sz="0" w:space="0" w:color="auto"/>
        <w:right w:val="none" w:sz="0" w:space="0" w:color="auto"/>
      </w:divBdr>
    </w:div>
    <w:div w:id="1880312343">
      <w:bodyDiv w:val="1"/>
      <w:marLeft w:val="0"/>
      <w:marRight w:val="0"/>
      <w:marTop w:val="0"/>
      <w:marBottom w:val="0"/>
      <w:divBdr>
        <w:top w:val="none" w:sz="0" w:space="0" w:color="auto"/>
        <w:left w:val="none" w:sz="0" w:space="0" w:color="auto"/>
        <w:bottom w:val="none" w:sz="0" w:space="0" w:color="auto"/>
        <w:right w:val="none" w:sz="0" w:space="0" w:color="auto"/>
      </w:divBdr>
    </w:div>
    <w:div w:id="1889032641">
      <w:bodyDiv w:val="1"/>
      <w:marLeft w:val="0"/>
      <w:marRight w:val="0"/>
      <w:marTop w:val="0"/>
      <w:marBottom w:val="0"/>
      <w:divBdr>
        <w:top w:val="none" w:sz="0" w:space="0" w:color="auto"/>
        <w:left w:val="none" w:sz="0" w:space="0" w:color="auto"/>
        <w:bottom w:val="none" w:sz="0" w:space="0" w:color="auto"/>
        <w:right w:val="none" w:sz="0" w:space="0" w:color="auto"/>
      </w:divBdr>
    </w:div>
    <w:div w:id="1906989337">
      <w:bodyDiv w:val="1"/>
      <w:marLeft w:val="0"/>
      <w:marRight w:val="0"/>
      <w:marTop w:val="0"/>
      <w:marBottom w:val="0"/>
      <w:divBdr>
        <w:top w:val="none" w:sz="0" w:space="0" w:color="auto"/>
        <w:left w:val="none" w:sz="0" w:space="0" w:color="auto"/>
        <w:bottom w:val="none" w:sz="0" w:space="0" w:color="auto"/>
        <w:right w:val="none" w:sz="0" w:space="0" w:color="auto"/>
      </w:divBdr>
    </w:div>
    <w:div w:id="1908108143">
      <w:bodyDiv w:val="1"/>
      <w:marLeft w:val="0"/>
      <w:marRight w:val="0"/>
      <w:marTop w:val="0"/>
      <w:marBottom w:val="0"/>
      <w:divBdr>
        <w:top w:val="none" w:sz="0" w:space="0" w:color="auto"/>
        <w:left w:val="none" w:sz="0" w:space="0" w:color="auto"/>
        <w:bottom w:val="none" w:sz="0" w:space="0" w:color="auto"/>
        <w:right w:val="none" w:sz="0" w:space="0" w:color="auto"/>
      </w:divBdr>
    </w:div>
    <w:div w:id="1913929211">
      <w:bodyDiv w:val="1"/>
      <w:marLeft w:val="0"/>
      <w:marRight w:val="0"/>
      <w:marTop w:val="0"/>
      <w:marBottom w:val="0"/>
      <w:divBdr>
        <w:top w:val="none" w:sz="0" w:space="0" w:color="auto"/>
        <w:left w:val="none" w:sz="0" w:space="0" w:color="auto"/>
        <w:bottom w:val="none" w:sz="0" w:space="0" w:color="auto"/>
        <w:right w:val="none" w:sz="0" w:space="0" w:color="auto"/>
      </w:divBdr>
    </w:div>
    <w:div w:id="1921713912">
      <w:bodyDiv w:val="1"/>
      <w:marLeft w:val="0"/>
      <w:marRight w:val="0"/>
      <w:marTop w:val="0"/>
      <w:marBottom w:val="0"/>
      <w:divBdr>
        <w:top w:val="none" w:sz="0" w:space="0" w:color="auto"/>
        <w:left w:val="none" w:sz="0" w:space="0" w:color="auto"/>
        <w:bottom w:val="none" w:sz="0" w:space="0" w:color="auto"/>
        <w:right w:val="none" w:sz="0" w:space="0" w:color="auto"/>
      </w:divBdr>
    </w:div>
    <w:div w:id="1929583491">
      <w:bodyDiv w:val="1"/>
      <w:marLeft w:val="0"/>
      <w:marRight w:val="0"/>
      <w:marTop w:val="0"/>
      <w:marBottom w:val="0"/>
      <w:divBdr>
        <w:top w:val="none" w:sz="0" w:space="0" w:color="auto"/>
        <w:left w:val="none" w:sz="0" w:space="0" w:color="auto"/>
        <w:bottom w:val="none" w:sz="0" w:space="0" w:color="auto"/>
        <w:right w:val="none" w:sz="0" w:space="0" w:color="auto"/>
      </w:divBdr>
    </w:div>
    <w:div w:id="1985771005">
      <w:bodyDiv w:val="1"/>
      <w:marLeft w:val="0"/>
      <w:marRight w:val="0"/>
      <w:marTop w:val="0"/>
      <w:marBottom w:val="0"/>
      <w:divBdr>
        <w:top w:val="none" w:sz="0" w:space="0" w:color="auto"/>
        <w:left w:val="none" w:sz="0" w:space="0" w:color="auto"/>
        <w:bottom w:val="none" w:sz="0" w:space="0" w:color="auto"/>
        <w:right w:val="none" w:sz="0" w:space="0" w:color="auto"/>
      </w:divBdr>
    </w:div>
    <w:div w:id="1998607259">
      <w:bodyDiv w:val="1"/>
      <w:marLeft w:val="0"/>
      <w:marRight w:val="0"/>
      <w:marTop w:val="0"/>
      <w:marBottom w:val="0"/>
      <w:divBdr>
        <w:top w:val="none" w:sz="0" w:space="0" w:color="auto"/>
        <w:left w:val="none" w:sz="0" w:space="0" w:color="auto"/>
        <w:bottom w:val="none" w:sz="0" w:space="0" w:color="auto"/>
        <w:right w:val="none" w:sz="0" w:space="0" w:color="auto"/>
      </w:divBdr>
    </w:div>
    <w:div w:id="1999533858">
      <w:bodyDiv w:val="1"/>
      <w:marLeft w:val="0"/>
      <w:marRight w:val="0"/>
      <w:marTop w:val="0"/>
      <w:marBottom w:val="0"/>
      <w:divBdr>
        <w:top w:val="none" w:sz="0" w:space="0" w:color="auto"/>
        <w:left w:val="none" w:sz="0" w:space="0" w:color="auto"/>
        <w:bottom w:val="none" w:sz="0" w:space="0" w:color="auto"/>
        <w:right w:val="none" w:sz="0" w:space="0" w:color="auto"/>
      </w:divBdr>
    </w:div>
    <w:div w:id="2038236692">
      <w:bodyDiv w:val="1"/>
      <w:marLeft w:val="0"/>
      <w:marRight w:val="0"/>
      <w:marTop w:val="0"/>
      <w:marBottom w:val="0"/>
      <w:divBdr>
        <w:top w:val="none" w:sz="0" w:space="0" w:color="auto"/>
        <w:left w:val="none" w:sz="0" w:space="0" w:color="auto"/>
        <w:bottom w:val="none" w:sz="0" w:space="0" w:color="auto"/>
        <w:right w:val="none" w:sz="0" w:space="0" w:color="auto"/>
      </w:divBdr>
    </w:div>
    <w:div w:id="2062749975">
      <w:bodyDiv w:val="1"/>
      <w:marLeft w:val="0"/>
      <w:marRight w:val="0"/>
      <w:marTop w:val="0"/>
      <w:marBottom w:val="0"/>
      <w:divBdr>
        <w:top w:val="none" w:sz="0" w:space="0" w:color="auto"/>
        <w:left w:val="none" w:sz="0" w:space="0" w:color="auto"/>
        <w:bottom w:val="none" w:sz="0" w:space="0" w:color="auto"/>
        <w:right w:val="none" w:sz="0" w:space="0" w:color="auto"/>
      </w:divBdr>
    </w:div>
    <w:div w:id="2098552448">
      <w:bodyDiv w:val="1"/>
      <w:marLeft w:val="0"/>
      <w:marRight w:val="0"/>
      <w:marTop w:val="0"/>
      <w:marBottom w:val="0"/>
      <w:divBdr>
        <w:top w:val="none" w:sz="0" w:space="0" w:color="auto"/>
        <w:left w:val="none" w:sz="0" w:space="0" w:color="auto"/>
        <w:bottom w:val="none" w:sz="0" w:space="0" w:color="auto"/>
        <w:right w:val="none" w:sz="0" w:space="0" w:color="auto"/>
      </w:divBdr>
    </w:div>
    <w:div w:id="2112318848">
      <w:bodyDiv w:val="1"/>
      <w:marLeft w:val="0"/>
      <w:marRight w:val="0"/>
      <w:marTop w:val="0"/>
      <w:marBottom w:val="0"/>
      <w:divBdr>
        <w:top w:val="none" w:sz="0" w:space="0" w:color="auto"/>
        <w:left w:val="none" w:sz="0" w:space="0" w:color="auto"/>
        <w:bottom w:val="none" w:sz="0" w:space="0" w:color="auto"/>
        <w:right w:val="none" w:sz="0" w:space="0" w:color="auto"/>
      </w:divBdr>
    </w:div>
    <w:div w:id="2117603390">
      <w:bodyDiv w:val="1"/>
      <w:marLeft w:val="0"/>
      <w:marRight w:val="0"/>
      <w:marTop w:val="0"/>
      <w:marBottom w:val="0"/>
      <w:divBdr>
        <w:top w:val="none" w:sz="0" w:space="0" w:color="auto"/>
        <w:left w:val="none" w:sz="0" w:space="0" w:color="auto"/>
        <w:bottom w:val="none" w:sz="0" w:space="0" w:color="auto"/>
        <w:right w:val="none" w:sz="0" w:space="0" w:color="auto"/>
      </w:divBdr>
    </w:div>
    <w:div w:id="2120373962">
      <w:bodyDiv w:val="1"/>
      <w:marLeft w:val="0"/>
      <w:marRight w:val="0"/>
      <w:marTop w:val="0"/>
      <w:marBottom w:val="0"/>
      <w:divBdr>
        <w:top w:val="none" w:sz="0" w:space="0" w:color="auto"/>
        <w:left w:val="none" w:sz="0" w:space="0" w:color="auto"/>
        <w:bottom w:val="none" w:sz="0" w:space="0" w:color="auto"/>
        <w:right w:val="none" w:sz="0" w:space="0" w:color="auto"/>
      </w:divBdr>
    </w:div>
    <w:div w:id="2138137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7.jpeg"/><Relationship Id="rId39" Type="http://schemas.openxmlformats.org/officeDocument/2006/relationships/hyperlink" Target="https://www1.upme.gov.co/siame/Documents/Calculo-FE-del-SIN/Documento_calculo_FE_del_SIN_2019_Dic_2020.pdf" TargetMode="External"/><Relationship Id="rId21" Type="http://schemas.openxmlformats.org/officeDocument/2006/relationships/image" Target="media/image12.jpeg"/><Relationship Id="rId34" Type="http://schemas.openxmlformats.org/officeDocument/2006/relationships/hyperlink" Target="https://www.regjeringen.no/contentassets/daebfb5c14a140c398e15ffcb61de872/no/pdfs/planlegging-og-konsesjonsbehandling-av-vindkraftan.pdf" TargetMode="External"/><Relationship Id="rId42" Type="http://schemas.openxmlformats.org/officeDocument/2006/relationships/hyperlink" Target="https://doi.org/10.1016/j.cles.2022.100018" TargetMode="External"/><Relationship Id="rId47"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globalwindatlas.info/es/area/Colombia" TargetMode="External"/><Relationship Id="rId29" Type="http://schemas.openxmlformats.org/officeDocument/2006/relationships/hyperlink" Target="https://globalwindatlas.info/en/area/Colombia" TargetMode="Externa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hyperlink" Target="https://doi.org/10.1186/1476-069X-10-78" TargetMode="External"/><Relationship Id="rId37" Type="http://schemas.openxmlformats.org/officeDocument/2006/relationships/hyperlink" Target="https://carbonintensity.org.uk/" TargetMode="External"/><Relationship Id="rId40" Type="http://schemas.openxmlformats.org/officeDocument/2006/relationships/hyperlink" Target="https://www1.upme.gov.co/Normatividad/705_2024.pdf"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s://www.un.org/en/climatechange/raising-ambition/renewable-energy" TargetMode="External"/><Relationship Id="rId49" Type="http://schemas.openxmlformats.org/officeDocument/2006/relationships/theme" Target="theme/theme1.xml"/><Relationship Id="rId10" Type="http://schemas.openxmlformats.org/officeDocument/2006/relationships/image" Target="media/image3.jpeg"/><Relationship Id="rId19" Type="http://schemas.microsoft.com/office/2007/relationships/hdphoto" Target="media/hdphoto1.wdp"/><Relationship Id="rId31" Type="http://schemas.openxmlformats.org/officeDocument/2006/relationships/hyperlink" Target="https://www.who.int/publications/i/item/9789289053563" TargetMode="Externa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hyperlink" Target="https://doi.org/10.1002/ece3.6592" TargetMode="External"/><Relationship Id="rId35" Type="http://schemas.openxmlformats.org/officeDocument/2006/relationships/hyperlink" Target="https://ourworldindata.org/grapher/carbon-intensity-electricity" TargetMode="External"/><Relationship Id="rId43" Type="http://schemas.openxmlformats.org/officeDocument/2006/relationships/header" Target="header1.xm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6.jpg"/><Relationship Id="rId33" Type="http://schemas.openxmlformats.org/officeDocument/2006/relationships/hyperlink" Target="https://ens.dk" TargetMode="External"/><Relationship Id="rId38" Type="http://schemas.openxmlformats.org/officeDocument/2006/relationships/hyperlink" Target="https://doi.org/10.1016/j.apenergy.2021.117901" TargetMode="External"/><Relationship Id="rId46" Type="http://schemas.openxmlformats.org/officeDocument/2006/relationships/header" Target="header3.xml"/><Relationship Id="rId20" Type="http://schemas.openxmlformats.org/officeDocument/2006/relationships/image" Target="media/image11.png"/><Relationship Id="rId41" Type="http://schemas.openxmlformats.org/officeDocument/2006/relationships/hyperlink" Target="https://unece.org/sed/documents/2021/10/reports/life-cycle-assessment-electricity-generation-options"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banrep.gov.co/es/noticias/minutas-banrep-abril-2025" TargetMode="External"/><Relationship Id="rId3" Type="http://schemas.openxmlformats.org/officeDocument/2006/relationships/hyperlink" Target="https://www.banrep.gov.co/es/publicaciones-investigaciones/informe-politica-monetaria/enero-2025" TargetMode="External"/><Relationship Id="rId7" Type="http://schemas.openxmlformats.org/officeDocument/2006/relationships/hyperlink" Target="https://www.bancolombia.com/empresas/capital-inteligente/actualidad-economica-sectorial/perspectivas-sectores-economicos-colombia-2025" TargetMode="External"/><Relationship Id="rId2" Type="http://schemas.openxmlformats.org/officeDocument/2006/relationships/hyperlink" Target="https://www.dane.gov.co/index.php/estadisticas-por-tema/cuentas-nacionales/cuentas-nacionales-trimestrales/pib-informacion-tecnica" TargetMode="External"/><Relationship Id="rId1" Type="http://schemas.openxmlformats.org/officeDocument/2006/relationships/hyperlink" Target="https://www.corteconstitucional" TargetMode="External"/><Relationship Id="rId6" Type="http://schemas.openxmlformats.org/officeDocument/2006/relationships/hyperlink" Target="https://suameca.banrep.gov.co/estadisticas-economicas/" TargetMode="External"/><Relationship Id="rId5" Type="http://schemas.openxmlformats.org/officeDocument/2006/relationships/hyperlink" Target="https://www.banrep.gov.co/es/publicaciones-investigaciones/informe-politica-monetaria/enero-2025" TargetMode="External"/><Relationship Id="rId10" Type="http://schemas.openxmlformats.org/officeDocument/2006/relationships/hyperlink" Target="https://www.bancolombia.com/empresas/capital-inteligente/actualidad-economica-sectorial/perspectivas-sectores-economicos-colombia-2025" TargetMode="External"/><Relationship Id="rId4" Type="http://schemas.openxmlformats.org/officeDocument/2006/relationships/hyperlink" Target="https://www.dane.gov.co/index.php/estadisticas-por-tema/precios-y-costos/indice-de-precios-al-consumidor-ipc/ipc-informacion-tecnica" TargetMode="External"/><Relationship Id="rId9" Type="http://schemas.openxmlformats.org/officeDocument/2006/relationships/hyperlink" Target="https://www.informesdeexpertos.com/informes/mercado-de-energia-solar-en-colombia"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_rels/header3.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E9EEEE-4185-454B-98C1-EFDA07A3B8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31507</Words>
  <Characters>173289</Characters>
  <Application>Microsoft Office Word</Application>
  <DocSecurity>0</DocSecurity>
  <Lines>1444</Lines>
  <Paragraphs>408</Paragraphs>
  <ScaleCrop>false</ScaleCrop>
  <HeadingPairs>
    <vt:vector size="2" baseType="variant">
      <vt:variant>
        <vt:lpstr>Título</vt:lpstr>
      </vt:variant>
      <vt:variant>
        <vt:i4>1</vt:i4>
      </vt:variant>
    </vt:vector>
  </HeadingPairs>
  <TitlesOfParts>
    <vt:vector size="1" baseType="lpstr">
      <vt:lpstr/>
    </vt:vector>
  </TitlesOfParts>
  <Company>dafp</Company>
  <LinksUpToDate>false</LinksUpToDate>
  <CharactersWithSpaces>204388</CharactersWithSpaces>
  <SharedDoc>false</SharedDoc>
  <HLinks>
    <vt:vector size="162" baseType="variant">
      <vt:variant>
        <vt:i4>3473452</vt:i4>
      </vt:variant>
      <vt:variant>
        <vt:i4>108</vt:i4>
      </vt:variant>
      <vt:variant>
        <vt:i4>0</vt:i4>
      </vt:variant>
      <vt:variant>
        <vt:i4>5</vt:i4>
      </vt:variant>
      <vt:variant>
        <vt:lpwstr>https://doi.org/10.1016/j.cles.2022.100018</vt:lpwstr>
      </vt:variant>
      <vt:variant>
        <vt:lpwstr/>
      </vt:variant>
      <vt:variant>
        <vt:i4>5177373</vt:i4>
      </vt:variant>
      <vt:variant>
        <vt:i4>105</vt:i4>
      </vt:variant>
      <vt:variant>
        <vt:i4>0</vt:i4>
      </vt:variant>
      <vt:variant>
        <vt:i4>5</vt:i4>
      </vt:variant>
      <vt:variant>
        <vt:lpwstr>https://unece.org/sed/documents/2021/10/reports/life-cycle-assessment-electricity-generation-options</vt:lpwstr>
      </vt:variant>
      <vt:variant>
        <vt:lpwstr/>
      </vt:variant>
      <vt:variant>
        <vt:i4>65646</vt:i4>
      </vt:variant>
      <vt:variant>
        <vt:i4>102</vt:i4>
      </vt:variant>
      <vt:variant>
        <vt:i4>0</vt:i4>
      </vt:variant>
      <vt:variant>
        <vt:i4>5</vt:i4>
      </vt:variant>
      <vt:variant>
        <vt:lpwstr>https://www1.upme.gov.co/Normatividad/705_2024.pdf</vt:lpwstr>
      </vt:variant>
      <vt:variant>
        <vt:lpwstr/>
      </vt:variant>
      <vt:variant>
        <vt:i4>7733269</vt:i4>
      </vt:variant>
      <vt:variant>
        <vt:i4>99</vt:i4>
      </vt:variant>
      <vt:variant>
        <vt:i4>0</vt:i4>
      </vt:variant>
      <vt:variant>
        <vt:i4>5</vt:i4>
      </vt:variant>
      <vt:variant>
        <vt:lpwstr>https://www1.upme.gov.co/siame/Documents/Calculo-FE-del-SIN/Documento_calculo_FE_del_SIN_2019_Dic_2020.pdf</vt:lpwstr>
      </vt:variant>
      <vt:variant>
        <vt:lpwstr/>
      </vt:variant>
      <vt:variant>
        <vt:i4>4063273</vt:i4>
      </vt:variant>
      <vt:variant>
        <vt:i4>96</vt:i4>
      </vt:variant>
      <vt:variant>
        <vt:i4>0</vt:i4>
      </vt:variant>
      <vt:variant>
        <vt:i4>5</vt:i4>
      </vt:variant>
      <vt:variant>
        <vt:lpwstr>https://doi.org/10.1016/j.apenergy.2021.117901</vt:lpwstr>
      </vt:variant>
      <vt:variant>
        <vt:lpwstr/>
      </vt:variant>
      <vt:variant>
        <vt:i4>6881312</vt:i4>
      </vt:variant>
      <vt:variant>
        <vt:i4>93</vt:i4>
      </vt:variant>
      <vt:variant>
        <vt:i4>0</vt:i4>
      </vt:variant>
      <vt:variant>
        <vt:i4>5</vt:i4>
      </vt:variant>
      <vt:variant>
        <vt:lpwstr>https://carbonintensity.org.uk/</vt:lpwstr>
      </vt:variant>
      <vt:variant>
        <vt:lpwstr/>
      </vt:variant>
      <vt:variant>
        <vt:i4>131163</vt:i4>
      </vt:variant>
      <vt:variant>
        <vt:i4>90</vt:i4>
      </vt:variant>
      <vt:variant>
        <vt:i4>0</vt:i4>
      </vt:variant>
      <vt:variant>
        <vt:i4>5</vt:i4>
      </vt:variant>
      <vt:variant>
        <vt:lpwstr>https://www.un.org/en/climatechange/raising-ambition/renewable-energy</vt:lpwstr>
      </vt:variant>
      <vt:variant>
        <vt:lpwstr/>
      </vt:variant>
      <vt:variant>
        <vt:i4>6750310</vt:i4>
      </vt:variant>
      <vt:variant>
        <vt:i4>87</vt:i4>
      </vt:variant>
      <vt:variant>
        <vt:i4>0</vt:i4>
      </vt:variant>
      <vt:variant>
        <vt:i4>5</vt:i4>
      </vt:variant>
      <vt:variant>
        <vt:lpwstr>https://ourworldindata.org/grapher/carbon-intensity-electricity</vt:lpwstr>
      </vt:variant>
      <vt:variant>
        <vt:lpwstr/>
      </vt:variant>
      <vt:variant>
        <vt:i4>4653086</vt:i4>
      </vt:variant>
      <vt:variant>
        <vt:i4>84</vt:i4>
      </vt:variant>
      <vt:variant>
        <vt:i4>0</vt:i4>
      </vt:variant>
      <vt:variant>
        <vt:i4>5</vt:i4>
      </vt:variant>
      <vt:variant>
        <vt:lpwstr>https://www.regjeringen.no/contentassets/daebfb5c14a140c398e15ffcb61de872/no/pdfs/planlegging-og-konsesjonsbehandling-av-vindkraftan.pdf</vt:lpwstr>
      </vt:variant>
      <vt:variant>
        <vt:lpwstr/>
      </vt:variant>
      <vt:variant>
        <vt:i4>3801138</vt:i4>
      </vt:variant>
      <vt:variant>
        <vt:i4>81</vt:i4>
      </vt:variant>
      <vt:variant>
        <vt:i4>0</vt:i4>
      </vt:variant>
      <vt:variant>
        <vt:i4>5</vt:i4>
      </vt:variant>
      <vt:variant>
        <vt:lpwstr>https://ens.dk/</vt:lpwstr>
      </vt:variant>
      <vt:variant>
        <vt:lpwstr/>
      </vt:variant>
      <vt:variant>
        <vt:i4>3801124</vt:i4>
      </vt:variant>
      <vt:variant>
        <vt:i4>78</vt:i4>
      </vt:variant>
      <vt:variant>
        <vt:i4>0</vt:i4>
      </vt:variant>
      <vt:variant>
        <vt:i4>5</vt:i4>
      </vt:variant>
      <vt:variant>
        <vt:lpwstr>https://doi.org/10.1186/1476-069X-10-78</vt:lpwstr>
      </vt:variant>
      <vt:variant>
        <vt:lpwstr/>
      </vt:variant>
      <vt:variant>
        <vt:i4>1310795</vt:i4>
      </vt:variant>
      <vt:variant>
        <vt:i4>75</vt:i4>
      </vt:variant>
      <vt:variant>
        <vt:i4>0</vt:i4>
      </vt:variant>
      <vt:variant>
        <vt:i4>5</vt:i4>
      </vt:variant>
      <vt:variant>
        <vt:lpwstr>https://www.who.int/publications/i/item/9789289053563</vt:lpwstr>
      </vt:variant>
      <vt:variant>
        <vt:lpwstr/>
      </vt:variant>
      <vt:variant>
        <vt:i4>4980803</vt:i4>
      </vt:variant>
      <vt:variant>
        <vt:i4>72</vt:i4>
      </vt:variant>
      <vt:variant>
        <vt:i4>0</vt:i4>
      </vt:variant>
      <vt:variant>
        <vt:i4>5</vt:i4>
      </vt:variant>
      <vt:variant>
        <vt:lpwstr>https://doi.org/10.1002/ece3.6592</vt:lpwstr>
      </vt:variant>
      <vt:variant>
        <vt:lpwstr/>
      </vt:variant>
      <vt:variant>
        <vt:i4>1441865</vt:i4>
      </vt:variant>
      <vt:variant>
        <vt:i4>69</vt:i4>
      </vt:variant>
      <vt:variant>
        <vt:i4>0</vt:i4>
      </vt:variant>
      <vt:variant>
        <vt:i4>5</vt:i4>
      </vt:variant>
      <vt:variant>
        <vt:lpwstr>https://globalwindatlas.info/en/area/Colombia</vt:lpwstr>
      </vt:variant>
      <vt:variant>
        <vt:lpwstr/>
      </vt:variant>
      <vt:variant>
        <vt:i4>1441876</vt:i4>
      </vt:variant>
      <vt:variant>
        <vt:i4>36</vt:i4>
      </vt:variant>
      <vt:variant>
        <vt:i4>0</vt:i4>
      </vt:variant>
      <vt:variant>
        <vt:i4>5</vt:i4>
      </vt:variant>
      <vt:variant>
        <vt:lpwstr>https://globalwindatlas.info/es/area/Colombia</vt:lpwstr>
      </vt:variant>
      <vt:variant>
        <vt:lpwstr/>
      </vt:variant>
      <vt:variant>
        <vt:i4>7405667</vt:i4>
      </vt:variant>
      <vt:variant>
        <vt:i4>27</vt:i4>
      </vt:variant>
      <vt:variant>
        <vt:i4>0</vt:i4>
      </vt:variant>
      <vt:variant>
        <vt:i4>5</vt:i4>
      </vt:variant>
      <vt:variant>
        <vt:lpwstr>https://www.bancolombia.com/empresas/capital-inteligente/actualidad-economica-sectorial/perspectivas-sectores-economicos-colombia-2025</vt:lpwstr>
      </vt:variant>
      <vt:variant>
        <vt:lpwstr/>
      </vt:variant>
      <vt:variant>
        <vt:i4>1769475</vt:i4>
      </vt:variant>
      <vt:variant>
        <vt:i4>24</vt:i4>
      </vt:variant>
      <vt:variant>
        <vt:i4>0</vt:i4>
      </vt:variant>
      <vt:variant>
        <vt:i4>5</vt:i4>
      </vt:variant>
      <vt:variant>
        <vt:lpwstr>https://www.informesdeexpertos.com/informes/mercado-de-energia-solar-en-colombia</vt:lpwstr>
      </vt:variant>
      <vt:variant>
        <vt:lpwstr/>
      </vt:variant>
      <vt:variant>
        <vt:i4>8257577</vt:i4>
      </vt:variant>
      <vt:variant>
        <vt:i4>21</vt:i4>
      </vt:variant>
      <vt:variant>
        <vt:i4>0</vt:i4>
      </vt:variant>
      <vt:variant>
        <vt:i4>5</vt:i4>
      </vt:variant>
      <vt:variant>
        <vt:lpwstr>https://www.banrep.gov.co/es/noticias/minutas-banrep-abril-2025</vt:lpwstr>
      </vt:variant>
      <vt:variant>
        <vt:lpwstr/>
      </vt:variant>
      <vt:variant>
        <vt:i4>7405667</vt:i4>
      </vt:variant>
      <vt:variant>
        <vt:i4>18</vt:i4>
      </vt:variant>
      <vt:variant>
        <vt:i4>0</vt:i4>
      </vt:variant>
      <vt:variant>
        <vt:i4>5</vt:i4>
      </vt:variant>
      <vt:variant>
        <vt:lpwstr>https://www.bancolombia.com/empresas/capital-inteligente/actualidad-economica-sectorial/perspectivas-sectores-economicos-colombia-2025</vt:lpwstr>
      </vt:variant>
      <vt:variant>
        <vt:lpwstr/>
      </vt:variant>
      <vt:variant>
        <vt:i4>11337981</vt:i4>
      </vt:variant>
      <vt:variant>
        <vt:i4>15</vt:i4>
      </vt:variant>
      <vt:variant>
        <vt:i4>0</vt:i4>
      </vt:variant>
      <vt:variant>
        <vt:i4>5</vt:i4>
      </vt:variant>
      <vt:variant>
        <vt:lpwstr>https://suameca.banrep.gov.co/estadisticas-economicas/</vt:lpwstr>
      </vt:variant>
      <vt:variant>
        <vt:lpwstr>/informacionSerie/59/Tasas%20de%20interés%20de%20política%20monetaria</vt:lpwstr>
      </vt:variant>
      <vt:variant>
        <vt:i4>6029383</vt:i4>
      </vt:variant>
      <vt:variant>
        <vt:i4>12</vt:i4>
      </vt:variant>
      <vt:variant>
        <vt:i4>0</vt:i4>
      </vt:variant>
      <vt:variant>
        <vt:i4>5</vt:i4>
      </vt:variant>
      <vt:variant>
        <vt:lpwstr>https://www.banrep.gov.co/es/publicaciones-investigaciones/informe-politica-monetaria/enero-2025</vt:lpwstr>
      </vt:variant>
      <vt:variant>
        <vt:lpwstr/>
      </vt:variant>
      <vt:variant>
        <vt:i4>4718620</vt:i4>
      </vt:variant>
      <vt:variant>
        <vt:i4>9</vt:i4>
      </vt:variant>
      <vt:variant>
        <vt:i4>0</vt:i4>
      </vt:variant>
      <vt:variant>
        <vt:i4>5</vt:i4>
      </vt:variant>
      <vt:variant>
        <vt:lpwstr>https://www.dane.gov.co/index.php/estadisticas-por-tema/precios-y-costos/indice-de-precios-al-consumidor-ipc/ipc-informacion-tecnica</vt:lpwstr>
      </vt:variant>
      <vt:variant>
        <vt:lpwstr/>
      </vt:variant>
      <vt:variant>
        <vt:i4>6029383</vt:i4>
      </vt:variant>
      <vt:variant>
        <vt:i4>6</vt:i4>
      </vt:variant>
      <vt:variant>
        <vt:i4>0</vt:i4>
      </vt:variant>
      <vt:variant>
        <vt:i4>5</vt:i4>
      </vt:variant>
      <vt:variant>
        <vt:lpwstr>https://www.banrep.gov.co/es/publicaciones-investigaciones/informe-politica-monetaria/enero-2025</vt:lpwstr>
      </vt:variant>
      <vt:variant>
        <vt:lpwstr/>
      </vt:variant>
      <vt:variant>
        <vt:i4>2818170</vt:i4>
      </vt:variant>
      <vt:variant>
        <vt:i4>3</vt:i4>
      </vt:variant>
      <vt:variant>
        <vt:i4>0</vt:i4>
      </vt:variant>
      <vt:variant>
        <vt:i4>5</vt:i4>
      </vt:variant>
      <vt:variant>
        <vt:lpwstr>https://www.dane.gov.co/index.php/estadisticas-por-tema/cuentas-nacionales/cuentas-nacionales-trimestrales/pib-informacion-tecnica</vt:lpwstr>
      </vt:variant>
      <vt:variant>
        <vt:lpwstr/>
      </vt:variant>
      <vt:variant>
        <vt:i4>1835103</vt:i4>
      </vt:variant>
      <vt:variant>
        <vt:i4>0</vt:i4>
      </vt:variant>
      <vt:variant>
        <vt:i4>0</vt:i4>
      </vt:variant>
      <vt:variant>
        <vt:i4>5</vt:i4>
      </vt:variant>
      <vt:variant>
        <vt:lpwstr>https://www.corteconstitucional/</vt:lpwstr>
      </vt:variant>
      <vt:variant>
        <vt:lpwstr/>
      </vt:variant>
      <vt:variant>
        <vt:i4>7995435</vt:i4>
      </vt:variant>
      <vt:variant>
        <vt:i4>6</vt:i4>
      </vt:variant>
      <vt:variant>
        <vt:i4>0</vt:i4>
      </vt:variant>
      <vt:variant>
        <vt:i4>5</vt:i4>
      </vt:variant>
      <vt:variant>
        <vt:lpwstr>http://www.minambiente.gov.co/</vt:lpwstr>
      </vt:variant>
      <vt:variant>
        <vt:lpwstr/>
      </vt:variant>
      <vt:variant>
        <vt:i4>7995435</vt:i4>
      </vt:variant>
      <vt:variant>
        <vt:i4>0</vt:i4>
      </vt:variant>
      <vt:variant>
        <vt:i4>0</vt:i4>
      </vt:variant>
      <vt:variant>
        <vt:i4>5</vt:i4>
      </vt:variant>
      <vt:variant>
        <vt:lpwstr>http://www.minambiente.gov.co/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oficina de sistemas</dc:creator>
  <cp:keywords/>
  <dc:description/>
  <cp:lastModifiedBy>Diana Carolina Sanchez Roldan</cp:lastModifiedBy>
  <cp:revision>2</cp:revision>
  <cp:lastPrinted>2025-08-12T23:26:00Z</cp:lastPrinted>
  <dcterms:created xsi:type="dcterms:W3CDTF">2025-09-01T17:03:00Z</dcterms:created>
  <dcterms:modified xsi:type="dcterms:W3CDTF">2025-09-01T17:03:00Z</dcterms:modified>
</cp:coreProperties>
</file>