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2E9E69" w14:textId="77777777" w:rsidR="003B24FD" w:rsidRPr="00B966C6" w:rsidRDefault="003B24FD" w:rsidP="003B24FD">
      <w:pPr>
        <w:jc w:val="center"/>
        <w:rPr>
          <w:rFonts w:ascii="Verdana" w:hAnsi="Verdana" w:cs="Arial"/>
          <w:sz w:val="22"/>
          <w:szCs w:val="22"/>
        </w:rPr>
      </w:pPr>
    </w:p>
    <w:p w14:paraId="6D800F03" w14:textId="77777777" w:rsidR="00B636A2" w:rsidRPr="00B966C6" w:rsidRDefault="00B636A2" w:rsidP="001908C5">
      <w:pPr>
        <w:jc w:val="center"/>
        <w:rPr>
          <w:rFonts w:ascii="Verdana" w:hAnsi="Verdana" w:cs="Arial"/>
          <w:sz w:val="22"/>
          <w:szCs w:val="22"/>
        </w:rPr>
      </w:pPr>
    </w:p>
    <w:p w14:paraId="64CCE35E" w14:textId="77777777" w:rsidR="00B636A2" w:rsidRPr="00B966C6" w:rsidRDefault="00B636A2" w:rsidP="001908C5">
      <w:pPr>
        <w:jc w:val="center"/>
        <w:rPr>
          <w:rFonts w:ascii="Verdana" w:hAnsi="Verdana" w:cs="Arial"/>
          <w:sz w:val="22"/>
          <w:szCs w:val="22"/>
        </w:rPr>
      </w:pPr>
    </w:p>
    <w:p w14:paraId="233B81F7" w14:textId="77777777" w:rsidR="00B636A2" w:rsidRPr="00B966C6" w:rsidRDefault="00B636A2" w:rsidP="001908C5">
      <w:pPr>
        <w:jc w:val="center"/>
        <w:rPr>
          <w:rFonts w:ascii="Verdana" w:hAnsi="Verdana" w:cs="Arial"/>
          <w:sz w:val="22"/>
          <w:szCs w:val="22"/>
        </w:rPr>
      </w:pPr>
    </w:p>
    <w:p w14:paraId="35491B28" w14:textId="77777777" w:rsidR="000905E4" w:rsidRPr="00B966C6" w:rsidRDefault="000905E4" w:rsidP="00680B62">
      <w:pPr>
        <w:rPr>
          <w:rFonts w:ascii="Verdana" w:hAnsi="Verdana" w:cs="Arial"/>
          <w:sz w:val="22"/>
          <w:szCs w:val="22"/>
        </w:rPr>
      </w:pPr>
    </w:p>
    <w:p w14:paraId="50A3AF89" w14:textId="77777777" w:rsidR="00FB63D4" w:rsidRPr="00B966C6" w:rsidRDefault="00FB63D4" w:rsidP="00CC009F">
      <w:pPr>
        <w:ind w:left="-284"/>
        <w:jc w:val="center"/>
        <w:rPr>
          <w:rFonts w:ascii="Verdana" w:hAnsi="Verdana" w:cs="Arial"/>
          <w:sz w:val="22"/>
          <w:szCs w:val="22"/>
        </w:rPr>
      </w:pPr>
    </w:p>
    <w:p w14:paraId="0DC6D96C" w14:textId="4A8F8D28" w:rsidR="003E5992" w:rsidRPr="00B966C6" w:rsidRDefault="003E5992" w:rsidP="003E5992">
      <w:pPr>
        <w:ind w:left="-284"/>
        <w:jc w:val="center"/>
        <w:rPr>
          <w:rFonts w:ascii="Verdana" w:hAnsi="Verdana" w:cs="Arial"/>
          <w:bCs/>
          <w:i/>
          <w:iCs/>
          <w:sz w:val="22"/>
          <w:szCs w:val="22"/>
        </w:rPr>
      </w:pPr>
      <w:r w:rsidRPr="00B966C6">
        <w:rPr>
          <w:rFonts w:ascii="Verdana" w:hAnsi="Verdana" w:cs="Arial"/>
          <w:sz w:val="22"/>
          <w:szCs w:val="22"/>
        </w:rPr>
        <w:t xml:space="preserve"> </w:t>
      </w:r>
      <w:r w:rsidRPr="00B966C6">
        <w:rPr>
          <w:rFonts w:ascii="Verdana" w:hAnsi="Verdana" w:cs="Arial"/>
          <w:bCs/>
          <w:sz w:val="22"/>
          <w:szCs w:val="22"/>
        </w:rPr>
        <w:t>“</w:t>
      </w:r>
      <w:r w:rsidR="00582A7C" w:rsidRPr="00B966C6">
        <w:rPr>
          <w:rFonts w:ascii="Verdana" w:hAnsi="Verdana" w:cs="Arial"/>
          <w:bCs/>
          <w:i/>
          <w:iCs/>
          <w:sz w:val="22"/>
          <w:szCs w:val="22"/>
        </w:rPr>
        <w:t>Por medio del cual se prorroga el término de duración de las zonas de protección y desarrollo de los recursos naturales renovables y del medio ambiente, declaradas mediante la Resolución No. 1814 de 2015 y prorrogadas mediante las Resoluciones No. 2157 de 2017, 1987 de 2018, 1675 de 2019 y 1125 de 2021 y se adoptan otras determinaciones</w:t>
      </w:r>
      <w:r w:rsidRPr="00B966C6">
        <w:rPr>
          <w:rFonts w:ascii="Verdana" w:hAnsi="Verdana" w:cs="Arial"/>
          <w:bCs/>
          <w:i/>
          <w:iCs/>
          <w:sz w:val="22"/>
          <w:szCs w:val="22"/>
        </w:rPr>
        <w:t>”</w:t>
      </w:r>
    </w:p>
    <w:p w14:paraId="208FC74C" w14:textId="77777777" w:rsidR="003E5992" w:rsidRPr="00B966C6" w:rsidRDefault="003E5992" w:rsidP="003E5992">
      <w:pPr>
        <w:ind w:left="-284"/>
        <w:jc w:val="center"/>
        <w:rPr>
          <w:rFonts w:ascii="Verdana" w:hAnsi="Verdana" w:cs="Arial"/>
          <w:sz w:val="22"/>
          <w:szCs w:val="22"/>
          <w:lang w:val="es-ES_tradnl"/>
        </w:rPr>
      </w:pPr>
    </w:p>
    <w:p w14:paraId="2422DF7B" w14:textId="77777777" w:rsidR="00FD283E" w:rsidRPr="00B966C6" w:rsidRDefault="00FD283E" w:rsidP="00680B62">
      <w:pPr>
        <w:ind w:right="50"/>
        <w:rPr>
          <w:rFonts w:ascii="Verdana" w:hAnsi="Verdana" w:cs="Arial"/>
          <w:b/>
          <w:sz w:val="22"/>
          <w:szCs w:val="22"/>
          <w:lang w:val="es-ES_tradnl"/>
        </w:rPr>
      </w:pPr>
    </w:p>
    <w:p w14:paraId="68E428C1" w14:textId="350E95A0" w:rsidR="00ED5B7A" w:rsidRPr="00B966C6" w:rsidRDefault="00357CCC" w:rsidP="00FB63D4">
      <w:pPr>
        <w:ind w:left="-284" w:right="50"/>
        <w:jc w:val="center"/>
        <w:rPr>
          <w:rFonts w:ascii="Verdana" w:hAnsi="Verdana" w:cs="Arial"/>
          <w:b/>
          <w:sz w:val="22"/>
          <w:szCs w:val="22"/>
        </w:rPr>
      </w:pPr>
      <w:r w:rsidRPr="00B966C6">
        <w:rPr>
          <w:rFonts w:ascii="Verdana" w:hAnsi="Verdana" w:cs="Arial"/>
          <w:b/>
          <w:sz w:val="22"/>
          <w:szCs w:val="22"/>
        </w:rPr>
        <w:t>LA</w:t>
      </w:r>
      <w:r w:rsidR="00ED5B7A" w:rsidRPr="00B966C6">
        <w:rPr>
          <w:rFonts w:ascii="Verdana" w:hAnsi="Verdana" w:cs="Arial"/>
          <w:b/>
          <w:sz w:val="22"/>
          <w:szCs w:val="22"/>
        </w:rPr>
        <w:t xml:space="preserve"> MINISTR</w:t>
      </w:r>
      <w:r w:rsidRPr="00B966C6">
        <w:rPr>
          <w:rFonts w:ascii="Verdana" w:hAnsi="Verdana" w:cs="Arial"/>
          <w:b/>
          <w:sz w:val="22"/>
          <w:szCs w:val="22"/>
        </w:rPr>
        <w:t>A</w:t>
      </w:r>
      <w:r w:rsidR="00ED5B7A" w:rsidRPr="00B966C6">
        <w:rPr>
          <w:rFonts w:ascii="Verdana" w:hAnsi="Verdana" w:cs="Arial"/>
          <w:b/>
          <w:sz w:val="22"/>
          <w:szCs w:val="22"/>
        </w:rPr>
        <w:t xml:space="preserve"> DE AMBIENTE Y DESARROLLO SOSTENIBLE </w:t>
      </w:r>
    </w:p>
    <w:p w14:paraId="13FC615D" w14:textId="77777777" w:rsidR="00FD283E" w:rsidRPr="00B966C6" w:rsidRDefault="00FD283E" w:rsidP="00FB63D4">
      <w:pPr>
        <w:ind w:left="-284"/>
        <w:rPr>
          <w:rFonts w:ascii="Verdana" w:hAnsi="Verdana" w:cs="Arial"/>
          <w:sz w:val="22"/>
          <w:szCs w:val="22"/>
        </w:rPr>
      </w:pPr>
    </w:p>
    <w:p w14:paraId="542FD9D1" w14:textId="77777777" w:rsidR="003B24FD" w:rsidRPr="00B966C6" w:rsidRDefault="003B24FD" w:rsidP="00FB63D4">
      <w:pPr>
        <w:ind w:left="-284"/>
        <w:rPr>
          <w:rFonts w:ascii="Verdana" w:hAnsi="Verdana" w:cs="Arial"/>
          <w:sz w:val="22"/>
          <w:szCs w:val="22"/>
        </w:rPr>
      </w:pPr>
    </w:p>
    <w:p w14:paraId="4E3AF715" w14:textId="7C411D3F" w:rsidR="0031334B" w:rsidRPr="00B966C6" w:rsidRDefault="0031334B" w:rsidP="0031334B">
      <w:pPr>
        <w:jc w:val="center"/>
        <w:rPr>
          <w:rFonts w:ascii="Verdana" w:hAnsi="Verdana" w:cs="Arial"/>
          <w:sz w:val="22"/>
          <w:szCs w:val="22"/>
        </w:rPr>
      </w:pPr>
      <w:r w:rsidRPr="00B966C6">
        <w:rPr>
          <w:rFonts w:ascii="Verdana" w:hAnsi="Verdana" w:cs="Arial"/>
          <w:sz w:val="22"/>
          <w:szCs w:val="22"/>
        </w:rPr>
        <w:t xml:space="preserve">En ejercicio de sus facultades constitucionales y legales, y en especial las conferidas en </w:t>
      </w:r>
      <w:r w:rsidR="00582A7C" w:rsidRPr="00B966C6">
        <w:rPr>
          <w:rFonts w:ascii="Verdana" w:hAnsi="Verdana" w:cs="Arial"/>
          <w:sz w:val="22"/>
          <w:szCs w:val="22"/>
        </w:rPr>
        <w:t>los</w:t>
      </w:r>
      <w:r w:rsidRPr="00B966C6">
        <w:rPr>
          <w:rFonts w:ascii="Verdana" w:hAnsi="Verdana" w:cs="Arial"/>
          <w:sz w:val="22"/>
          <w:szCs w:val="22"/>
        </w:rPr>
        <w:t xml:space="preserve"> </w:t>
      </w:r>
      <w:r w:rsidR="00582A7C" w:rsidRPr="00B966C6">
        <w:rPr>
          <w:rFonts w:ascii="Verdana" w:hAnsi="Verdana" w:cs="Arial"/>
          <w:sz w:val="22"/>
          <w:szCs w:val="22"/>
        </w:rPr>
        <w:t>numerales 2, 5, 14, 19 y 24 del artículo 5</w:t>
      </w:r>
      <w:r w:rsidRPr="00B966C6">
        <w:rPr>
          <w:rFonts w:ascii="Verdana" w:hAnsi="Verdana" w:cs="Arial"/>
          <w:sz w:val="22"/>
          <w:szCs w:val="22"/>
        </w:rPr>
        <w:t xml:space="preserve"> de la Ley 99 de 1993, el artículo 2 del Decreto Ley 3570 de 2011, el artículo 2 de la Resolución 1</w:t>
      </w:r>
      <w:r w:rsidR="003A1E0D" w:rsidRPr="00B966C6">
        <w:rPr>
          <w:rFonts w:ascii="Verdana" w:hAnsi="Verdana" w:cs="Arial"/>
          <w:sz w:val="22"/>
          <w:szCs w:val="22"/>
        </w:rPr>
        <w:t>814</w:t>
      </w:r>
      <w:r w:rsidRPr="00B966C6">
        <w:rPr>
          <w:rFonts w:ascii="Verdana" w:hAnsi="Verdana" w:cs="Arial"/>
          <w:sz w:val="22"/>
          <w:szCs w:val="22"/>
        </w:rPr>
        <w:t xml:space="preserve"> de 2015 </w:t>
      </w:r>
      <w:r w:rsidR="00582A7C" w:rsidRPr="00B966C6">
        <w:rPr>
          <w:rFonts w:ascii="Verdana" w:hAnsi="Verdana" w:cs="Arial"/>
          <w:sz w:val="22"/>
          <w:szCs w:val="22"/>
        </w:rPr>
        <w:t>y</w:t>
      </w:r>
    </w:p>
    <w:p w14:paraId="567D00AA" w14:textId="77777777" w:rsidR="001908C5" w:rsidRPr="00B966C6" w:rsidRDefault="001908C5" w:rsidP="00AE050D">
      <w:pPr>
        <w:rPr>
          <w:rFonts w:ascii="Verdana" w:hAnsi="Verdana" w:cs="Arial"/>
          <w:b/>
          <w:bCs/>
          <w:sz w:val="22"/>
          <w:szCs w:val="22"/>
          <w:lang w:val="pt-BR"/>
        </w:rPr>
      </w:pPr>
    </w:p>
    <w:p w14:paraId="148F4D15" w14:textId="77777777" w:rsidR="00535287" w:rsidRPr="00B966C6" w:rsidRDefault="00535287" w:rsidP="00FB63D4">
      <w:pPr>
        <w:ind w:left="-284"/>
        <w:jc w:val="center"/>
        <w:rPr>
          <w:rFonts w:ascii="Verdana" w:hAnsi="Verdana" w:cs="Arial"/>
          <w:b/>
          <w:bCs/>
          <w:sz w:val="22"/>
          <w:szCs w:val="22"/>
          <w:lang w:val="pt-BR"/>
        </w:rPr>
      </w:pPr>
    </w:p>
    <w:p w14:paraId="588CD181" w14:textId="77777777" w:rsidR="000D2B9D" w:rsidRPr="00B966C6" w:rsidRDefault="000D2B9D" w:rsidP="00FB63D4">
      <w:pPr>
        <w:ind w:left="-284"/>
        <w:jc w:val="center"/>
        <w:rPr>
          <w:rFonts w:ascii="Verdana" w:hAnsi="Verdana" w:cs="Arial"/>
          <w:b/>
          <w:bCs/>
          <w:sz w:val="22"/>
          <w:szCs w:val="22"/>
          <w:lang w:val="pt-BR"/>
        </w:rPr>
      </w:pPr>
      <w:r w:rsidRPr="00B966C6">
        <w:rPr>
          <w:rFonts w:ascii="Verdana" w:hAnsi="Verdana" w:cs="Arial"/>
          <w:b/>
          <w:bCs/>
          <w:sz w:val="22"/>
          <w:szCs w:val="22"/>
          <w:lang w:val="pt-BR"/>
        </w:rPr>
        <w:t>C O  N  S  I  D  E  R  A  N  D  O</w:t>
      </w:r>
    </w:p>
    <w:p w14:paraId="2D4E2884" w14:textId="77777777" w:rsidR="00535287" w:rsidRPr="00B966C6" w:rsidRDefault="00535287" w:rsidP="00FB63D4">
      <w:pPr>
        <w:ind w:left="-284"/>
        <w:rPr>
          <w:rFonts w:ascii="Verdana" w:hAnsi="Verdana" w:cs="Arial"/>
          <w:b/>
          <w:bCs/>
          <w:sz w:val="22"/>
          <w:szCs w:val="22"/>
          <w:lang w:val="pt-BR"/>
        </w:rPr>
      </w:pPr>
    </w:p>
    <w:p w14:paraId="2A7523F3" w14:textId="77777777" w:rsidR="003B24FD" w:rsidRPr="00B966C6" w:rsidRDefault="003B24FD" w:rsidP="00FB63D4">
      <w:pPr>
        <w:ind w:left="-284"/>
        <w:rPr>
          <w:rFonts w:ascii="Verdana" w:hAnsi="Verdana" w:cs="Arial"/>
          <w:b/>
          <w:bCs/>
          <w:sz w:val="22"/>
          <w:szCs w:val="22"/>
          <w:lang w:val="pt-BR"/>
        </w:rPr>
      </w:pPr>
    </w:p>
    <w:p w14:paraId="37526BE2" w14:textId="40E2EC6F" w:rsidR="00222A98" w:rsidRPr="00B966C6" w:rsidRDefault="000E1C01" w:rsidP="00222A98">
      <w:pPr>
        <w:ind w:left="-284"/>
        <w:jc w:val="both"/>
        <w:rPr>
          <w:rFonts w:ascii="Verdana" w:hAnsi="Verdana" w:cs="Arial"/>
          <w:sz w:val="22"/>
          <w:szCs w:val="22"/>
          <w:lang w:val="es-CO"/>
        </w:rPr>
      </w:pPr>
      <w:r w:rsidRPr="00B966C6">
        <w:rPr>
          <w:rFonts w:ascii="Verdana" w:hAnsi="Verdana" w:cs="Arial"/>
          <w:sz w:val="22"/>
          <w:szCs w:val="22"/>
          <w:lang w:val="es-CO"/>
        </w:rPr>
        <w:t>Que el Ministerio de Ambiente y Desarrollo Sostenible, expidió la Resolución No. 1</w:t>
      </w:r>
      <w:r w:rsidR="0081138A" w:rsidRPr="00B966C6">
        <w:rPr>
          <w:rFonts w:ascii="Verdana" w:hAnsi="Verdana" w:cs="Arial"/>
          <w:sz w:val="22"/>
          <w:szCs w:val="22"/>
          <w:lang w:val="es-CO"/>
        </w:rPr>
        <w:t>814</w:t>
      </w:r>
      <w:r w:rsidRPr="00B966C6">
        <w:rPr>
          <w:rFonts w:ascii="Verdana" w:hAnsi="Verdana" w:cs="Arial"/>
          <w:sz w:val="22"/>
          <w:szCs w:val="22"/>
          <w:lang w:val="es-CO"/>
        </w:rPr>
        <w:t xml:space="preserve"> del 1</w:t>
      </w:r>
      <w:r w:rsidR="0081138A" w:rsidRPr="00B966C6">
        <w:rPr>
          <w:rFonts w:ascii="Verdana" w:hAnsi="Verdana" w:cs="Arial"/>
          <w:sz w:val="22"/>
          <w:szCs w:val="22"/>
          <w:lang w:val="es-CO"/>
        </w:rPr>
        <w:t>2</w:t>
      </w:r>
      <w:r w:rsidRPr="00B966C6">
        <w:rPr>
          <w:rFonts w:ascii="Verdana" w:hAnsi="Verdana" w:cs="Arial"/>
          <w:sz w:val="22"/>
          <w:szCs w:val="22"/>
          <w:lang w:val="es-CO"/>
        </w:rPr>
        <w:t xml:space="preserve"> de </w:t>
      </w:r>
      <w:r w:rsidR="0081138A" w:rsidRPr="00B966C6">
        <w:rPr>
          <w:rFonts w:ascii="Verdana" w:hAnsi="Verdana" w:cs="Arial"/>
          <w:sz w:val="22"/>
          <w:szCs w:val="22"/>
          <w:lang w:val="es-CO"/>
        </w:rPr>
        <w:t>agosto</w:t>
      </w:r>
      <w:r w:rsidRPr="00B966C6">
        <w:rPr>
          <w:rFonts w:ascii="Verdana" w:hAnsi="Verdana" w:cs="Arial"/>
          <w:sz w:val="22"/>
          <w:szCs w:val="22"/>
          <w:lang w:val="es-CO"/>
        </w:rPr>
        <w:t xml:space="preserve"> de 2015, </w:t>
      </w:r>
      <w:r w:rsidR="00222A98" w:rsidRPr="00B966C6">
        <w:rPr>
          <w:rFonts w:ascii="Verdana" w:hAnsi="Verdana" w:cs="Arial"/>
          <w:sz w:val="22"/>
          <w:szCs w:val="22"/>
          <w:lang w:val="es-CO"/>
        </w:rPr>
        <w:t xml:space="preserve">publicada en el diario oficial No. 49675 del 24 de octubre de 2015 </w:t>
      </w:r>
      <w:r w:rsidR="0081138A" w:rsidRPr="00B966C6">
        <w:rPr>
          <w:rFonts w:ascii="Verdana" w:hAnsi="Verdana" w:cs="Arial"/>
          <w:sz w:val="22"/>
          <w:szCs w:val="22"/>
          <w:lang w:val="es-CO"/>
        </w:rPr>
        <w:t>por medio de la cual “</w:t>
      </w:r>
      <w:r w:rsidR="0081138A" w:rsidRPr="00B966C6">
        <w:rPr>
          <w:rFonts w:ascii="Verdana" w:hAnsi="Verdana" w:cs="Arial"/>
          <w:i/>
          <w:iCs/>
          <w:sz w:val="22"/>
          <w:szCs w:val="22"/>
          <w:lang w:val="es-CO"/>
        </w:rPr>
        <w:t>se declaran y delimitan unas zonas de protección y desarrollo de los recursos naturales renovables y del medio ambiente y se toman otras determinaciones</w:t>
      </w:r>
      <w:r w:rsidRPr="00B966C6">
        <w:rPr>
          <w:rFonts w:ascii="Verdana" w:hAnsi="Verdana" w:cs="Arial"/>
          <w:i/>
          <w:sz w:val="22"/>
          <w:szCs w:val="22"/>
          <w:lang w:val="es-CO"/>
        </w:rPr>
        <w:t>”</w:t>
      </w:r>
      <w:r w:rsidR="003E5E10" w:rsidRPr="00B966C6">
        <w:rPr>
          <w:rFonts w:ascii="Verdana" w:hAnsi="Verdana" w:cs="Arial"/>
          <w:i/>
          <w:sz w:val="22"/>
          <w:szCs w:val="22"/>
          <w:lang w:val="es-CO"/>
        </w:rPr>
        <w:t xml:space="preserve">, </w:t>
      </w:r>
      <w:r w:rsidR="003E5E10" w:rsidRPr="00B966C6">
        <w:rPr>
          <w:rFonts w:ascii="Verdana" w:hAnsi="Verdana" w:cs="Arial"/>
          <w:iCs/>
          <w:sz w:val="22"/>
          <w:szCs w:val="22"/>
          <w:lang w:val="es-CO"/>
        </w:rPr>
        <w:t>específicamente consolidó 57 polígonos</w:t>
      </w:r>
      <w:r w:rsidR="00222A98" w:rsidRPr="00B966C6">
        <w:rPr>
          <w:rFonts w:ascii="Verdana" w:hAnsi="Verdana" w:cs="Arial"/>
          <w:sz w:val="22"/>
          <w:szCs w:val="22"/>
          <w:lang w:val="es-CO"/>
        </w:rPr>
        <w:t>.</w:t>
      </w:r>
    </w:p>
    <w:p w14:paraId="08DD23A8" w14:textId="77777777" w:rsidR="00222A98" w:rsidRPr="00B966C6" w:rsidRDefault="00222A98" w:rsidP="000E1C01">
      <w:pPr>
        <w:ind w:left="-284"/>
        <w:jc w:val="both"/>
        <w:rPr>
          <w:rFonts w:ascii="Verdana" w:hAnsi="Verdana" w:cs="Arial"/>
          <w:sz w:val="22"/>
          <w:szCs w:val="22"/>
          <w:lang w:val="es-CO"/>
        </w:rPr>
      </w:pPr>
    </w:p>
    <w:p w14:paraId="0375C16C" w14:textId="46637F70" w:rsidR="000E1C01" w:rsidRPr="00B966C6" w:rsidRDefault="000E1C01" w:rsidP="000E1C01">
      <w:pPr>
        <w:ind w:left="-284"/>
        <w:jc w:val="both"/>
        <w:rPr>
          <w:rFonts w:ascii="Verdana" w:hAnsi="Verdana" w:cs="Arial"/>
          <w:i/>
          <w:sz w:val="22"/>
          <w:szCs w:val="22"/>
          <w:lang w:val="es-CO"/>
        </w:rPr>
      </w:pPr>
      <w:r w:rsidRPr="00B966C6">
        <w:rPr>
          <w:rFonts w:ascii="Verdana" w:hAnsi="Verdana" w:cs="Arial"/>
          <w:sz w:val="22"/>
          <w:szCs w:val="22"/>
          <w:lang w:val="es-CO"/>
        </w:rPr>
        <w:t>Que el artículo segundo de la Resolución en comento, frente a la posibilidad de prórroga del término de duración de las zonas de protección y desarrollo de los recursos naturales renovables y del medio ambiente, estableció “</w:t>
      </w:r>
      <w:r w:rsidRPr="00B966C6">
        <w:rPr>
          <w:rFonts w:ascii="Verdana" w:hAnsi="Verdana" w:cs="Arial"/>
          <w:i/>
          <w:sz w:val="22"/>
          <w:szCs w:val="22"/>
          <w:lang w:val="es-CO"/>
        </w:rPr>
        <w:t>Este Ministerio con fundamento en los resultados y estado de avance de los procesos de delimitación y declaración definitivos, podrá prorrogar el término anteriormente señalado”</w:t>
      </w:r>
      <w:r w:rsidR="00E72D3E" w:rsidRPr="00B966C6">
        <w:rPr>
          <w:rFonts w:ascii="Verdana" w:hAnsi="Verdana" w:cs="Arial"/>
          <w:i/>
          <w:sz w:val="22"/>
          <w:szCs w:val="22"/>
          <w:lang w:val="es-CO"/>
        </w:rPr>
        <w:t>.</w:t>
      </w:r>
    </w:p>
    <w:p w14:paraId="5789ED6D" w14:textId="77777777" w:rsidR="000E1C01" w:rsidRPr="00B966C6" w:rsidRDefault="000E1C01" w:rsidP="000E1C01">
      <w:pPr>
        <w:ind w:left="-284"/>
        <w:jc w:val="both"/>
        <w:rPr>
          <w:rFonts w:ascii="Verdana" w:hAnsi="Verdana" w:cs="Arial"/>
          <w:sz w:val="22"/>
          <w:szCs w:val="22"/>
          <w:lang w:val="es-CO"/>
        </w:rPr>
      </w:pPr>
    </w:p>
    <w:p w14:paraId="47289673" w14:textId="3CD83535" w:rsidR="00166524" w:rsidRPr="00B966C6" w:rsidRDefault="00166524" w:rsidP="00166524">
      <w:pPr>
        <w:ind w:left="-284"/>
        <w:jc w:val="both"/>
        <w:rPr>
          <w:rFonts w:ascii="Verdana" w:hAnsi="Verdana" w:cs="Arial"/>
          <w:sz w:val="22"/>
          <w:szCs w:val="22"/>
          <w:lang w:val="es-CO"/>
        </w:rPr>
      </w:pPr>
      <w:r w:rsidRPr="00B966C6">
        <w:rPr>
          <w:rFonts w:ascii="Verdana" w:hAnsi="Verdana" w:cs="Arial"/>
          <w:sz w:val="22"/>
          <w:szCs w:val="22"/>
          <w:lang w:val="es-CO"/>
        </w:rPr>
        <w:t xml:space="preserve">Que fundamentado en la norma inicialmente mencionada, el Ministerio de Ambiente y Desarrollo Sostenible, </w:t>
      </w:r>
      <w:r w:rsidRPr="00B966C6">
        <w:rPr>
          <w:rFonts w:ascii="Verdana" w:hAnsi="Verdana" w:cs="Arial"/>
          <w:color w:val="000000"/>
          <w:sz w:val="22"/>
          <w:szCs w:val="22"/>
          <w:lang w:val="es-CO" w:eastAsia="es-CO"/>
        </w:rPr>
        <w:t>a partir de los resultados y avance de los procesos de delimitación y declaración de los polígonos consignados en la Resolución No. 1814 de 2015, prorrogó</w:t>
      </w:r>
      <w:r w:rsidR="003E5E10" w:rsidRPr="00B966C6">
        <w:rPr>
          <w:rFonts w:ascii="Verdana" w:hAnsi="Verdana" w:cs="Arial"/>
          <w:color w:val="000000"/>
          <w:sz w:val="22"/>
          <w:szCs w:val="22"/>
          <w:lang w:val="es-CO" w:eastAsia="es-CO"/>
        </w:rPr>
        <w:t xml:space="preserve"> su vigencia</w:t>
      </w:r>
      <w:r w:rsidRPr="00B966C6">
        <w:rPr>
          <w:rFonts w:ascii="Verdana" w:hAnsi="Verdana" w:cs="Arial"/>
          <w:color w:val="000000"/>
          <w:sz w:val="22"/>
          <w:szCs w:val="22"/>
          <w:lang w:val="es-CO" w:eastAsia="es-CO"/>
        </w:rPr>
        <w:t xml:space="preserve"> y</w:t>
      </w:r>
      <w:r w:rsidR="003E5E10" w:rsidRPr="00B966C6">
        <w:rPr>
          <w:rFonts w:ascii="Verdana" w:hAnsi="Verdana" w:cs="Arial"/>
          <w:color w:val="000000"/>
          <w:sz w:val="22"/>
          <w:szCs w:val="22"/>
          <w:lang w:val="es-CO" w:eastAsia="es-CO"/>
        </w:rPr>
        <w:t xml:space="preserve"> estableció</w:t>
      </w:r>
      <w:r w:rsidRPr="00B966C6">
        <w:rPr>
          <w:rFonts w:ascii="Verdana" w:hAnsi="Verdana" w:cs="Arial"/>
          <w:color w:val="000000"/>
          <w:sz w:val="22"/>
          <w:szCs w:val="22"/>
          <w:lang w:val="es-CO" w:eastAsia="es-CO"/>
        </w:rPr>
        <w:t xml:space="preserve"> modific</w:t>
      </w:r>
      <w:r w:rsidR="003E5E10" w:rsidRPr="00B966C6">
        <w:rPr>
          <w:rFonts w:ascii="Verdana" w:hAnsi="Verdana" w:cs="Arial"/>
          <w:color w:val="000000"/>
          <w:sz w:val="22"/>
          <w:szCs w:val="22"/>
          <w:lang w:val="es-CO" w:eastAsia="es-CO"/>
        </w:rPr>
        <w:t>aciones</w:t>
      </w:r>
      <w:r w:rsidRPr="00B966C6">
        <w:rPr>
          <w:rFonts w:ascii="Verdana" w:hAnsi="Verdana" w:cs="Arial"/>
          <w:color w:val="000000"/>
          <w:sz w:val="22"/>
          <w:szCs w:val="22"/>
          <w:lang w:val="es-CO" w:eastAsia="es-CO"/>
        </w:rPr>
        <w:t xml:space="preserve"> a través de la Resolución No. 2157 de 2017, </w:t>
      </w:r>
      <w:r w:rsidR="00C729C2" w:rsidRPr="00B966C6">
        <w:rPr>
          <w:rFonts w:ascii="Verdana" w:hAnsi="Verdana" w:cs="Arial"/>
          <w:color w:val="000000"/>
          <w:sz w:val="22"/>
          <w:szCs w:val="22"/>
          <w:lang w:val="es-CO" w:eastAsia="es-CO"/>
        </w:rPr>
        <w:t xml:space="preserve">ampliando por un (1) año </w:t>
      </w:r>
      <w:r w:rsidRPr="00B966C6">
        <w:rPr>
          <w:rFonts w:ascii="Verdana" w:hAnsi="Verdana" w:cs="Arial"/>
          <w:color w:val="000000"/>
          <w:sz w:val="22"/>
          <w:szCs w:val="22"/>
          <w:lang w:val="es-CO" w:eastAsia="es-CO"/>
        </w:rPr>
        <w:t>el término de duración de las zonas de protección y desarrollo de los recursos naturales renovables</w:t>
      </w:r>
      <w:r w:rsidR="00C03B5D" w:rsidRPr="00B966C6">
        <w:rPr>
          <w:rFonts w:ascii="Verdana" w:hAnsi="Verdana" w:cs="Arial"/>
          <w:color w:val="000000"/>
          <w:sz w:val="22"/>
          <w:szCs w:val="22"/>
          <w:lang w:val="es-CO" w:eastAsia="es-CO"/>
        </w:rPr>
        <w:t xml:space="preserve">, imprimiendo sus efectos a </w:t>
      </w:r>
      <w:r w:rsidRPr="00B966C6">
        <w:rPr>
          <w:rFonts w:ascii="Verdana" w:hAnsi="Verdana" w:cs="Arial"/>
          <w:color w:val="000000"/>
          <w:sz w:val="22"/>
          <w:szCs w:val="22"/>
          <w:lang w:val="es-CO" w:eastAsia="es-CO"/>
        </w:rPr>
        <w:t>35 polígonos, de conformidad con las razones expuestas en el acto administrativo.</w:t>
      </w:r>
    </w:p>
    <w:p w14:paraId="355A1F40" w14:textId="77777777" w:rsidR="00166524" w:rsidRPr="00B966C6" w:rsidRDefault="00166524" w:rsidP="000E1C01">
      <w:pPr>
        <w:ind w:left="-284"/>
        <w:jc w:val="both"/>
        <w:rPr>
          <w:rFonts w:ascii="Verdana" w:hAnsi="Verdana" w:cs="Arial"/>
          <w:sz w:val="22"/>
          <w:szCs w:val="22"/>
          <w:lang w:val="es-CO"/>
        </w:rPr>
      </w:pPr>
    </w:p>
    <w:p w14:paraId="22937D09" w14:textId="526164CA" w:rsidR="00C729C2" w:rsidRPr="00B966C6" w:rsidRDefault="00C729C2" w:rsidP="000E1C01">
      <w:pPr>
        <w:ind w:left="-284"/>
        <w:jc w:val="both"/>
        <w:rPr>
          <w:rFonts w:ascii="Verdana" w:hAnsi="Verdana" w:cs="Arial"/>
          <w:sz w:val="22"/>
          <w:szCs w:val="22"/>
          <w:lang w:val="es-CO"/>
        </w:rPr>
      </w:pPr>
      <w:r w:rsidRPr="00B966C6">
        <w:rPr>
          <w:rFonts w:ascii="Verdana" w:hAnsi="Verdana" w:cs="Arial"/>
          <w:sz w:val="22"/>
          <w:szCs w:val="22"/>
          <w:lang w:val="es-CO"/>
        </w:rPr>
        <w:t xml:space="preserve">Que posteriormente, a través de la Resolución No. 1987 de 2018, esta cartera Ministerial procedió nuevamente a prorrogar por el término de un (1) año los efectos jurídicos de las zonas de protección y desarrollo de los recursos naturales renovables y del medio ambiente. </w:t>
      </w:r>
      <w:r w:rsidR="00C03B5D" w:rsidRPr="00B966C6">
        <w:rPr>
          <w:rFonts w:ascii="Verdana" w:hAnsi="Verdana" w:cs="Arial"/>
          <w:sz w:val="22"/>
          <w:szCs w:val="22"/>
          <w:lang w:val="es-CO"/>
        </w:rPr>
        <w:t>En vista de</w:t>
      </w:r>
      <w:r w:rsidRPr="00B966C6">
        <w:rPr>
          <w:rFonts w:ascii="Verdana" w:hAnsi="Verdana" w:cs="Arial"/>
          <w:sz w:val="22"/>
          <w:szCs w:val="22"/>
          <w:lang w:val="es-CO"/>
        </w:rPr>
        <w:t xml:space="preserve"> los resultados y avance de los procesos de delimitación y declaración de los polígonos consignados en la Resolución 2157 de 2017, </w:t>
      </w:r>
      <w:r w:rsidR="00C03B5D" w:rsidRPr="00B966C6">
        <w:rPr>
          <w:rFonts w:ascii="Verdana" w:hAnsi="Verdana" w:cs="Arial"/>
          <w:sz w:val="22"/>
          <w:szCs w:val="22"/>
          <w:lang w:val="es-CO"/>
        </w:rPr>
        <w:lastRenderedPageBreak/>
        <w:t>dichos efectos continuaron aplicando para</w:t>
      </w:r>
      <w:r w:rsidRPr="00B966C6">
        <w:rPr>
          <w:rFonts w:ascii="Verdana" w:hAnsi="Verdana" w:cs="Arial"/>
          <w:sz w:val="22"/>
          <w:szCs w:val="22"/>
          <w:lang w:val="es-CO"/>
        </w:rPr>
        <w:t xml:space="preserve"> 29 polígonos, tal como consta en los argumentos referidos en el acto administrativo.</w:t>
      </w:r>
    </w:p>
    <w:p w14:paraId="058AB2D7" w14:textId="77777777" w:rsidR="00705859" w:rsidRPr="00B966C6" w:rsidRDefault="00705859" w:rsidP="000E1C01">
      <w:pPr>
        <w:ind w:left="-284"/>
        <w:jc w:val="both"/>
        <w:rPr>
          <w:rFonts w:ascii="Verdana" w:hAnsi="Verdana" w:cs="Arial"/>
          <w:sz w:val="22"/>
          <w:szCs w:val="22"/>
          <w:lang w:val="es-CO"/>
        </w:rPr>
      </w:pPr>
    </w:p>
    <w:p w14:paraId="32F9C815" w14:textId="1E69A3D0" w:rsidR="00705859" w:rsidRPr="00B966C6" w:rsidRDefault="00705859" w:rsidP="00705859">
      <w:pPr>
        <w:ind w:left="-284"/>
        <w:jc w:val="both"/>
        <w:rPr>
          <w:rFonts w:ascii="Verdana" w:hAnsi="Verdana" w:cs="Arial"/>
          <w:sz w:val="22"/>
          <w:szCs w:val="22"/>
          <w:lang w:val="es-CO"/>
        </w:rPr>
      </w:pPr>
      <w:r w:rsidRPr="00B966C6">
        <w:rPr>
          <w:rFonts w:ascii="Verdana" w:hAnsi="Verdana" w:cs="Arial"/>
          <w:sz w:val="22"/>
          <w:szCs w:val="22"/>
          <w:lang w:val="es-CO"/>
        </w:rPr>
        <w:t>Que teniendo en cuenta los avances y resultados, este Ministerio expidió la Resolución No. 1675 de 2019, a través de la cual se prorrogó por el término de dos (2) años los efectos jurídicos las siguientes zonas de protección y desarrollo de los recursos naturales y del medio ambiente</w:t>
      </w:r>
      <w:r w:rsidR="00C03B5D" w:rsidRPr="00B966C6">
        <w:rPr>
          <w:rFonts w:ascii="Verdana" w:hAnsi="Verdana" w:cs="Arial"/>
          <w:sz w:val="22"/>
          <w:szCs w:val="22"/>
          <w:lang w:val="es-CO"/>
        </w:rPr>
        <w:t xml:space="preserve"> a 23 polígonos, en su artículo primero </w:t>
      </w:r>
      <w:r w:rsidR="00A57E45" w:rsidRPr="00B966C6">
        <w:rPr>
          <w:rFonts w:ascii="Verdana" w:hAnsi="Verdana" w:cs="Arial"/>
          <w:sz w:val="22"/>
          <w:szCs w:val="22"/>
          <w:lang w:val="es-CO"/>
        </w:rPr>
        <w:t xml:space="preserve">determinó confirmar los polígonos de </w:t>
      </w:r>
      <w:r w:rsidR="00F010B1" w:rsidRPr="00B966C6">
        <w:rPr>
          <w:rFonts w:ascii="Verdana" w:hAnsi="Verdana" w:cs="Arial"/>
          <w:sz w:val="22"/>
          <w:szCs w:val="22"/>
          <w:lang w:val="es-CO"/>
        </w:rPr>
        <w:t xml:space="preserve">20 zonas </w:t>
      </w:r>
      <w:r w:rsidR="00A57E45" w:rsidRPr="00B966C6">
        <w:rPr>
          <w:rFonts w:ascii="Verdana" w:hAnsi="Verdana" w:cs="Arial"/>
          <w:sz w:val="22"/>
          <w:szCs w:val="22"/>
          <w:lang w:val="es-CO"/>
        </w:rPr>
        <w:t>que quedaron con la</w:t>
      </w:r>
      <w:r w:rsidR="00C03B5D" w:rsidRPr="00B966C6">
        <w:rPr>
          <w:rFonts w:ascii="Verdana" w:hAnsi="Verdana" w:cs="Arial"/>
          <w:sz w:val="22"/>
          <w:szCs w:val="22"/>
          <w:lang w:val="es-CO"/>
        </w:rPr>
        <w:t xml:space="preserve"> misma área</w:t>
      </w:r>
      <w:r w:rsidR="00A57E45" w:rsidRPr="00B966C6">
        <w:rPr>
          <w:rFonts w:ascii="Verdana" w:hAnsi="Verdana" w:cs="Arial"/>
          <w:sz w:val="22"/>
          <w:szCs w:val="22"/>
          <w:lang w:val="es-CO"/>
        </w:rPr>
        <w:t xml:space="preserve"> y </w:t>
      </w:r>
      <w:r w:rsidRPr="00B966C6">
        <w:rPr>
          <w:rFonts w:ascii="Verdana" w:hAnsi="Verdana" w:cs="Arial"/>
          <w:sz w:val="22"/>
          <w:szCs w:val="22"/>
          <w:lang w:val="es-CO"/>
        </w:rPr>
        <w:t xml:space="preserve">en su artículo </w:t>
      </w:r>
      <w:r w:rsidR="00F010B1" w:rsidRPr="00B966C6">
        <w:rPr>
          <w:rFonts w:ascii="Verdana" w:hAnsi="Verdana" w:cs="Arial"/>
          <w:sz w:val="22"/>
          <w:szCs w:val="22"/>
          <w:lang w:val="es-CO"/>
        </w:rPr>
        <w:t>segundo gener</w:t>
      </w:r>
      <w:r w:rsidR="00067FEB" w:rsidRPr="00B966C6">
        <w:rPr>
          <w:rFonts w:ascii="Verdana" w:hAnsi="Verdana" w:cs="Arial"/>
          <w:sz w:val="22"/>
          <w:szCs w:val="22"/>
          <w:lang w:val="es-CO"/>
        </w:rPr>
        <w:t>ó</w:t>
      </w:r>
      <w:r w:rsidR="00F010B1" w:rsidRPr="00B966C6">
        <w:rPr>
          <w:rFonts w:ascii="Verdana" w:hAnsi="Verdana" w:cs="Arial"/>
          <w:sz w:val="22"/>
          <w:szCs w:val="22"/>
          <w:lang w:val="es-CO"/>
        </w:rPr>
        <w:t xml:space="preserve"> una modificación, dado que se </w:t>
      </w:r>
      <w:r w:rsidRPr="00B966C6">
        <w:rPr>
          <w:rFonts w:ascii="Verdana" w:hAnsi="Verdana" w:cs="Arial"/>
          <w:sz w:val="22"/>
          <w:szCs w:val="22"/>
          <w:lang w:val="es-CO"/>
        </w:rPr>
        <w:t>disminu</w:t>
      </w:r>
      <w:r w:rsidR="00F010B1" w:rsidRPr="00B966C6">
        <w:rPr>
          <w:rFonts w:ascii="Verdana" w:hAnsi="Verdana" w:cs="Arial"/>
          <w:sz w:val="22"/>
          <w:szCs w:val="22"/>
          <w:lang w:val="es-CO"/>
        </w:rPr>
        <w:t>yó</w:t>
      </w:r>
      <w:r w:rsidRPr="00B966C6">
        <w:rPr>
          <w:rFonts w:ascii="Verdana" w:hAnsi="Verdana" w:cs="Arial"/>
          <w:sz w:val="22"/>
          <w:szCs w:val="22"/>
          <w:lang w:val="es-CO"/>
        </w:rPr>
        <w:t xml:space="preserve"> el área de los polígonos</w:t>
      </w:r>
      <w:r w:rsidR="00A57E45" w:rsidRPr="00B966C6">
        <w:rPr>
          <w:rFonts w:ascii="Verdana" w:hAnsi="Verdana" w:cs="Arial"/>
          <w:sz w:val="22"/>
          <w:szCs w:val="22"/>
          <w:lang w:val="es-CO"/>
        </w:rPr>
        <w:t>:</w:t>
      </w:r>
      <w:r w:rsidRPr="00B966C6">
        <w:rPr>
          <w:rFonts w:ascii="Verdana" w:hAnsi="Verdana" w:cs="Arial"/>
          <w:sz w:val="22"/>
          <w:szCs w:val="22"/>
          <w:lang w:val="es-CO"/>
        </w:rPr>
        <w:t xml:space="preserve"> 22, 25 y 54. </w:t>
      </w:r>
    </w:p>
    <w:p w14:paraId="35C2FA27" w14:textId="77777777" w:rsidR="00705859" w:rsidRPr="00B966C6" w:rsidRDefault="00705859" w:rsidP="00705859">
      <w:pPr>
        <w:ind w:left="-284"/>
        <w:jc w:val="both"/>
        <w:rPr>
          <w:rFonts w:ascii="Verdana" w:hAnsi="Verdana" w:cs="Arial"/>
          <w:sz w:val="22"/>
          <w:szCs w:val="22"/>
          <w:lang w:val="es-CO"/>
        </w:rPr>
      </w:pPr>
    </w:p>
    <w:p w14:paraId="71D4127B" w14:textId="71D3DD7E" w:rsidR="00B7591E" w:rsidRPr="00B966C6" w:rsidRDefault="00B7591E" w:rsidP="00A57E45">
      <w:pPr>
        <w:ind w:left="-284"/>
        <w:jc w:val="both"/>
        <w:rPr>
          <w:rFonts w:ascii="Verdana" w:hAnsi="Verdana" w:cs="Arial"/>
          <w:sz w:val="22"/>
          <w:szCs w:val="22"/>
          <w:lang w:val="es-CO"/>
        </w:rPr>
      </w:pPr>
      <w:r w:rsidRPr="00B966C6">
        <w:rPr>
          <w:rFonts w:ascii="Verdana" w:hAnsi="Verdana" w:cs="Arial"/>
          <w:sz w:val="22"/>
          <w:szCs w:val="22"/>
          <w:lang w:val="es-CO"/>
        </w:rPr>
        <w:t xml:space="preserve">Que </w:t>
      </w:r>
      <w:r w:rsidR="00067FEB" w:rsidRPr="00B966C6">
        <w:rPr>
          <w:rFonts w:ascii="Verdana" w:hAnsi="Verdana" w:cs="Arial"/>
          <w:sz w:val="22"/>
          <w:szCs w:val="22"/>
          <w:lang w:val="es-CO"/>
        </w:rPr>
        <w:t>el Ministerio de Ambiente y Desarrollo Sostenible profirió</w:t>
      </w:r>
      <w:r w:rsidRPr="00B966C6">
        <w:rPr>
          <w:rFonts w:ascii="Verdana" w:hAnsi="Verdana" w:cs="Arial"/>
          <w:sz w:val="22"/>
          <w:szCs w:val="22"/>
          <w:lang w:val="es-CO"/>
        </w:rPr>
        <w:t xml:space="preserve"> la Resolución No. 1125 del 21 de octubre de 2021 </w:t>
      </w:r>
      <w:r w:rsidR="00067FEB" w:rsidRPr="00B966C6">
        <w:rPr>
          <w:rFonts w:ascii="Verdana" w:hAnsi="Verdana" w:cs="Arial"/>
          <w:sz w:val="22"/>
          <w:szCs w:val="22"/>
          <w:lang w:val="es-CO"/>
        </w:rPr>
        <w:t>a través de la cual se prorrogó por el término de dos (2) años los efectos jurídicos las siguientes zonas de protección y desarrollo de los recursos naturales y del medio ambiente,</w:t>
      </w:r>
      <w:r w:rsidR="00A57E45" w:rsidRPr="00B966C6">
        <w:rPr>
          <w:rFonts w:ascii="Verdana" w:hAnsi="Verdana" w:cs="Arial"/>
          <w:sz w:val="22"/>
          <w:szCs w:val="22"/>
          <w:lang w:val="es-CO"/>
        </w:rPr>
        <w:t xml:space="preserve"> consolidando sus efectos sobre 15 polígonos, resolvió el acto administrativo citado en su artículo primero, confirmar </w:t>
      </w:r>
      <w:r w:rsidR="00067FEB" w:rsidRPr="00B966C6">
        <w:rPr>
          <w:rFonts w:ascii="Verdana" w:hAnsi="Verdana" w:cs="Arial"/>
          <w:sz w:val="22"/>
          <w:szCs w:val="22"/>
          <w:lang w:val="es-CO"/>
        </w:rPr>
        <w:t xml:space="preserve">9 </w:t>
      </w:r>
      <w:r w:rsidR="00A57E45" w:rsidRPr="00B966C6">
        <w:rPr>
          <w:rFonts w:ascii="Verdana" w:hAnsi="Verdana" w:cs="Arial"/>
          <w:sz w:val="22"/>
          <w:szCs w:val="22"/>
          <w:lang w:val="es-CO"/>
        </w:rPr>
        <w:t xml:space="preserve">polígonos de </w:t>
      </w:r>
      <w:r w:rsidR="00067FEB" w:rsidRPr="00B966C6">
        <w:rPr>
          <w:rFonts w:ascii="Verdana" w:hAnsi="Verdana" w:cs="Arial"/>
          <w:sz w:val="22"/>
          <w:szCs w:val="22"/>
          <w:lang w:val="es-CO"/>
        </w:rPr>
        <w:t xml:space="preserve">zonas identificadas </w:t>
      </w:r>
      <w:r w:rsidR="00A57E45" w:rsidRPr="00B966C6">
        <w:rPr>
          <w:rFonts w:ascii="Verdana" w:hAnsi="Verdana" w:cs="Arial"/>
          <w:sz w:val="22"/>
          <w:szCs w:val="22"/>
          <w:lang w:val="es-CO"/>
        </w:rPr>
        <w:t xml:space="preserve">en la Resolución No. 1675 de 2019, </w:t>
      </w:r>
      <w:r w:rsidR="00067FEB" w:rsidRPr="00B966C6">
        <w:rPr>
          <w:rFonts w:ascii="Verdana" w:hAnsi="Verdana" w:cs="Arial"/>
          <w:sz w:val="22"/>
          <w:szCs w:val="22"/>
          <w:lang w:val="es-CO"/>
        </w:rPr>
        <w:t xml:space="preserve">en su artículo segundo generar una modificación, dado que se disminuyó el área de </w:t>
      </w:r>
      <w:r w:rsidR="00A57E45" w:rsidRPr="00B966C6">
        <w:rPr>
          <w:rFonts w:ascii="Verdana" w:hAnsi="Verdana" w:cs="Arial"/>
          <w:sz w:val="22"/>
          <w:szCs w:val="22"/>
          <w:lang w:val="es-CO"/>
        </w:rPr>
        <w:t>3</w:t>
      </w:r>
      <w:r w:rsidR="00067FEB" w:rsidRPr="00B966C6">
        <w:rPr>
          <w:rFonts w:ascii="Verdana" w:hAnsi="Verdana" w:cs="Arial"/>
          <w:sz w:val="22"/>
          <w:szCs w:val="22"/>
          <w:lang w:val="es-CO"/>
        </w:rPr>
        <w:t xml:space="preserve"> polígonos</w:t>
      </w:r>
      <w:r w:rsidR="00A57E45" w:rsidRPr="00B966C6">
        <w:rPr>
          <w:rFonts w:ascii="Verdana" w:hAnsi="Verdana" w:cs="Arial"/>
          <w:sz w:val="22"/>
          <w:szCs w:val="22"/>
          <w:lang w:val="es-CO"/>
        </w:rPr>
        <w:t>:</w:t>
      </w:r>
      <w:r w:rsidR="00067FEB" w:rsidRPr="00B966C6">
        <w:rPr>
          <w:rFonts w:ascii="Verdana" w:hAnsi="Verdana" w:cs="Arial"/>
          <w:sz w:val="22"/>
          <w:szCs w:val="22"/>
          <w:lang w:val="es-CO"/>
        </w:rPr>
        <w:t xml:space="preserve"> 8,15,46, en su artículo tercero resolvió aumentar el área del polígono 11 y </w:t>
      </w:r>
      <w:r w:rsidR="00A57E45" w:rsidRPr="00B966C6">
        <w:rPr>
          <w:rFonts w:ascii="Verdana" w:hAnsi="Verdana" w:cs="Arial"/>
          <w:sz w:val="22"/>
          <w:szCs w:val="22"/>
          <w:lang w:val="es-CO"/>
        </w:rPr>
        <w:t xml:space="preserve">por último, </w:t>
      </w:r>
      <w:r w:rsidR="00067FEB" w:rsidRPr="00B966C6">
        <w:rPr>
          <w:rFonts w:ascii="Verdana" w:hAnsi="Verdana" w:cs="Arial"/>
          <w:sz w:val="22"/>
          <w:szCs w:val="22"/>
          <w:lang w:val="es-CO"/>
        </w:rPr>
        <w:t xml:space="preserve">en su artículo </w:t>
      </w:r>
      <w:r w:rsidR="00A57E45" w:rsidRPr="00B966C6">
        <w:rPr>
          <w:rFonts w:ascii="Verdana" w:hAnsi="Verdana" w:cs="Arial"/>
          <w:sz w:val="22"/>
          <w:szCs w:val="22"/>
          <w:lang w:val="es-CO"/>
        </w:rPr>
        <w:t xml:space="preserve">cuarto </w:t>
      </w:r>
      <w:r w:rsidR="00067FEB" w:rsidRPr="00B966C6">
        <w:rPr>
          <w:rFonts w:ascii="Verdana" w:hAnsi="Verdana" w:cs="Arial"/>
          <w:sz w:val="22"/>
          <w:szCs w:val="22"/>
          <w:lang w:val="es-CO"/>
        </w:rPr>
        <w:t>divid</w:t>
      </w:r>
      <w:r w:rsidR="00A57E45" w:rsidRPr="00B966C6">
        <w:rPr>
          <w:rFonts w:ascii="Verdana" w:hAnsi="Verdana" w:cs="Arial"/>
          <w:sz w:val="22"/>
          <w:szCs w:val="22"/>
          <w:lang w:val="es-CO"/>
        </w:rPr>
        <w:t xml:space="preserve">ió </w:t>
      </w:r>
      <w:r w:rsidR="00067FEB" w:rsidRPr="00B966C6">
        <w:rPr>
          <w:rFonts w:ascii="Verdana" w:hAnsi="Verdana" w:cs="Arial"/>
          <w:sz w:val="22"/>
          <w:szCs w:val="22"/>
          <w:lang w:val="es-CO"/>
        </w:rPr>
        <w:t xml:space="preserve">un área del polígono 48, consolidando los polígonos 48a y 48b.  </w:t>
      </w:r>
    </w:p>
    <w:p w14:paraId="7F97442D" w14:textId="77777777" w:rsidR="00B7591E" w:rsidRPr="00B966C6" w:rsidRDefault="00B7591E" w:rsidP="00B7591E">
      <w:pPr>
        <w:ind w:left="-284"/>
        <w:jc w:val="both"/>
        <w:rPr>
          <w:rFonts w:ascii="Verdana" w:hAnsi="Verdana" w:cs="Arial"/>
          <w:sz w:val="22"/>
          <w:szCs w:val="22"/>
          <w:lang w:val="es-CO"/>
        </w:rPr>
      </w:pPr>
    </w:p>
    <w:p w14:paraId="337D9689" w14:textId="1D04A36F" w:rsidR="00705859" w:rsidRPr="00B966C6" w:rsidRDefault="00705859" w:rsidP="00705859">
      <w:pPr>
        <w:ind w:left="-284"/>
        <w:jc w:val="both"/>
        <w:rPr>
          <w:rFonts w:ascii="Verdana" w:hAnsi="Verdana" w:cs="Arial"/>
          <w:sz w:val="22"/>
          <w:szCs w:val="22"/>
          <w:lang w:val="es-CO"/>
        </w:rPr>
      </w:pPr>
      <w:r w:rsidRPr="00B966C6">
        <w:rPr>
          <w:rFonts w:ascii="Verdana" w:hAnsi="Verdana" w:cs="Arial"/>
          <w:sz w:val="22"/>
          <w:szCs w:val="22"/>
          <w:lang w:val="es-CO"/>
        </w:rPr>
        <w:t xml:space="preserve">Que </w:t>
      </w:r>
      <w:r w:rsidR="00121D7F" w:rsidRPr="00B966C6">
        <w:rPr>
          <w:rFonts w:ascii="Verdana" w:hAnsi="Verdana" w:cs="Arial"/>
          <w:sz w:val="22"/>
          <w:szCs w:val="22"/>
          <w:lang w:val="es-CO"/>
        </w:rPr>
        <w:t>fundamentado</w:t>
      </w:r>
      <w:r w:rsidRPr="00B966C6">
        <w:rPr>
          <w:rFonts w:ascii="Verdana" w:hAnsi="Verdana" w:cs="Arial"/>
          <w:sz w:val="22"/>
          <w:szCs w:val="22"/>
          <w:lang w:val="es-CO"/>
        </w:rPr>
        <w:t xml:space="preserve"> en el Decreto No. 1374 del 27 de junio de 2013, la declaratoria temporal de estas áreas, obedece al deber de colaboración por parte de las autoridades ambientales regionales y el Ministerio de Ambiente y Desarrollo Sostenible, puesto que</w:t>
      </w:r>
      <w:r w:rsidR="00121D7F" w:rsidRPr="00B966C6">
        <w:rPr>
          <w:rFonts w:ascii="Verdana" w:hAnsi="Verdana" w:cs="Arial"/>
          <w:sz w:val="22"/>
          <w:szCs w:val="22"/>
          <w:lang w:val="es-CO"/>
        </w:rPr>
        <w:t xml:space="preserve"> dichas autoridades</w:t>
      </w:r>
      <w:r w:rsidRPr="00B966C6">
        <w:rPr>
          <w:rFonts w:ascii="Verdana" w:hAnsi="Verdana" w:cs="Arial"/>
          <w:sz w:val="22"/>
          <w:szCs w:val="22"/>
          <w:lang w:val="es-CO"/>
        </w:rPr>
        <w:t xml:space="preserve"> son las primeras las que adelantan la ruta de declaratoria</w:t>
      </w:r>
      <w:r w:rsidR="00121D7F" w:rsidRPr="00B966C6">
        <w:rPr>
          <w:rFonts w:ascii="Verdana" w:hAnsi="Verdana" w:cs="Arial"/>
          <w:sz w:val="22"/>
          <w:szCs w:val="22"/>
          <w:lang w:val="es-CO"/>
        </w:rPr>
        <w:t>,</w:t>
      </w:r>
      <w:r w:rsidRPr="00B966C6">
        <w:rPr>
          <w:rFonts w:ascii="Verdana" w:hAnsi="Verdana" w:cs="Arial"/>
          <w:sz w:val="22"/>
          <w:szCs w:val="22"/>
          <w:lang w:val="es-CO"/>
        </w:rPr>
        <w:t xml:space="preserve"> con el fin de incrementar la protección de especies, ecosistemas o paisajes no protegidos o pobremente representados en el sistema Nacional de Áreas Protegidas (SINAP).</w:t>
      </w:r>
    </w:p>
    <w:p w14:paraId="6E2F166D" w14:textId="77777777" w:rsidR="00F010B1" w:rsidRPr="00B966C6" w:rsidRDefault="00F010B1" w:rsidP="00705859">
      <w:pPr>
        <w:ind w:left="-284"/>
        <w:jc w:val="both"/>
        <w:rPr>
          <w:rFonts w:ascii="Verdana" w:hAnsi="Verdana" w:cs="Arial"/>
          <w:sz w:val="22"/>
          <w:szCs w:val="22"/>
          <w:lang w:val="es-CO"/>
        </w:rPr>
      </w:pPr>
    </w:p>
    <w:p w14:paraId="7404D57E" w14:textId="65837856" w:rsidR="00705859" w:rsidRPr="00B966C6" w:rsidRDefault="00B96F3F" w:rsidP="00705859">
      <w:pPr>
        <w:ind w:left="-284"/>
        <w:jc w:val="both"/>
        <w:rPr>
          <w:rFonts w:ascii="Verdana" w:hAnsi="Verdana" w:cs="Arial"/>
          <w:sz w:val="22"/>
          <w:szCs w:val="22"/>
          <w:lang w:val="es-CO"/>
        </w:rPr>
      </w:pPr>
      <w:r w:rsidRPr="00B966C6">
        <w:rPr>
          <w:rFonts w:ascii="Verdana" w:hAnsi="Verdana" w:cs="Arial"/>
          <w:sz w:val="22"/>
          <w:szCs w:val="22"/>
          <w:lang w:val="es-CO"/>
        </w:rPr>
        <w:t>Que en el marco del seguimiento y dada la necesidad de analizar el avance de los procesos de declaratoria de áreas en las zonas de protección y desarrollo de los recursos naturales renovables y del medio ambiente, contenidas en la Resolución No. 1125 del 21 de octubre de 2021, este Ministerio solicitó a las Corporaciones Autónomas Regionales (CAR)</w:t>
      </w:r>
      <w:r w:rsidR="00E725CF" w:rsidRPr="00B966C6">
        <w:rPr>
          <w:rStyle w:val="Refdenotaalpie"/>
          <w:rFonts w:ascii="Verdana" w:hAnsi="Verdana" w:cs="Arial"/>
          <w:sz w:val="22"/>
          <w:szCs w:val="22"/>
          <w:lang w:val="es-CO"/>
        </w:rPr>
        <w:footnoteReference w:id="1"/>
      </w:r>
      <w:r w:rsidRPr="00B966C6">
        <w:rPr>
          <w:rFonts w:ascii="Verdana" w:hAnsi="Verdana" w:cs="Arial"/>
          <w:sz w:val="22"/>
          <w:szCs w:val="22"/>
          <w:lang w:val="es-CO"/>
        </w:rPr>
        <w:t>,</w:t>
      </w:r>
      <w:r w:rsidR="00E725CF" w:rsidRPr="00B966C6">
        <w:rPr>
          <w:rFonts w:ascii="Verdana" w:hAnsi="Verdana" w:cs="Arial"/>
          <w:sz w:val="22"/>
          <w:szCs w:val="22"/>
          <w:lang w:val="es-CO"/>
        </w:rPr>
        <w:t xml:space="preserve"> información </w:t>
      </w:r>
      <w:r w:rsidR="009A624A" w:rsidRPr="00B966C6">
        <w:rPr>
          <w:rFonts w:ascii="Verdana" w:hAnsi="Verdana" w:cs="Arial"/>
          <w:sz w:val="22"/>
          <w:szCs w:val="22"/>
          <w:lang w:val="es-CO"/>
        </w:rPr>
        <w:t>respecto de la implementación de la ruta</w:t>
      </w:r>
      <w:r w:rsidR="00E725CF" w:rsidRPr="00B966C6">
        <w:rPr>
          <w:rFonts w:ascii="Verdana" w:hAnsi="Verdana" w:cs="Arial"/>
          <w:sz w:val="22"/>
          <w:szCs w:val="22"/>
          <w:lang w:val="es-CO"/>
        </w:rPr>
        <w:t xml:space="preserve"> declaratoria </w:t>
      </w:r>
      <w:r w:rsidR="009A624A" w:rsidRPr="00B966C6">
        <w:rPr>
          <w:rFonts w:ascii="Verdana" w:hAnsi="Verdana" w:cs="Arial"/>
          <w:sz w:val="22"/>
          <w:szCs w:val="22"/>
          <w:lang w:val="es-CO"/>
        </w:rPr>
        <w:t xml:space="preserve">de </w:t>
      </w:r>
      <w:r w:rsidR="00E725CF" w:rsidRPr="00B966C6">
        <w:rPr>
          <w:rFonts w:ascii="Verdana" w:hAnsi="Verdana" w:cs="Arial"/>
          <w:sz w:val="22"/>
          <w:szCs w:val="22"/>
          <w:lang w:val="es-CO"/>
        </w:rPr>
        <w:t xml:space="preserve">áreas </w:t>
      </w:r>
      <w:r w:rsidR="009A624A" w:rsidRPr="00B966C6">
        <w:rPr>
          <w:rFonts w:ascii="Verdana" w:hAnsi="Verdana" w:cs="Arial"/>
          <w:sz w:val="22"/>
          <w:szCs w:val="22"/>
          <w:lang w:val="es-CO"/>
        </w:rPr>
        <w:t>contenidas en la</w:t>
      </w:r>
      <w:r w:rsidR="00E725CF" w:rsidRPr="00B966C6">
        <w:rPr>
          <w:rFonts w:ascii="Verdana" w:hAnsi="Verdana" w:cs="Arial"/>
          <w:sz w:val="22"/>
          <w:szCs w:val="22"/>
          <w:lang w:val="es-CO"/>
        </w:rPr>
        <w:t xml:space="preserve"> Resolución</w:t>
      </w:r>
      <w:r w:rsidR="00571E21" w:rsidRPr="00B966C6">
        <w:rPr>
          <w:rFonts w:ascii="Verdana" w:hAnsi="Verdana" w:cs="Arial"/>
          <w:sz w:val="22"/>
          <w:szCs w:val="22"/>
          <w:lang w:val="es-CO"/>
        </w:rPr>
        <w:t xml:space="preserve"> No.</w:t>
      </w:r>
      <w:r w:rsidR="00E725CF" w:rsidRPr="00B966C6">
        <w:rPr>
          <w:rFonts w:ascii="Verdana" w:hAnsi="Verdana" w:cs="Arial"/>
          <w:sz w:val="22"/>
          <w:szCs w:val="22"/>
          <w:lang w:val="es-CO"/>
        </w:rPr>
        <w:t xml:space="preserve"> 1125 de 2021</w:t>
      </w:r>
      <w:r w:rsidR="007E1C38" w:rsidRPr="00B966C6">
        <w:rPr>
          <w:rFonts w:ascii="Verdana" w:hAnsi="Verdana" w:cs="Arial"/>
          <w:sz w:val="22"/>
          <w:szCs w:val="22"/>
          <w:lang w:val="es-CO"/>
        </w:rPr>
        <w:t>.</w:t>
      </w:r>
      <w:r w:rsidR="00705859" w:rsidRPr="00B966C6">
        <w:rPr>
          <w:rFonts w:ascii="Verdana" w:hAnsi="Verdana" w:cs="Arial"/>
          <w:sz w:val="22"/>
          <w:szCs w:val="22"/>
          <w:lang w:val="es-CO"/>
        </w:rPr>
        <w:t>.</w:t>
      </w:r>
    </w:p>
    <w:p w14:paraId="7E46210C" w14:textId="77777777" w:rsidR="00F010B1" w:rsidRPr="00B966C6" w:rsidRDefault="00F010B1" w:rsidP="00705859">
      <w:pPr>
        <w:ind w:left="-284"/>
        <w:jc w:val="both"/>
        <w:rPr>
          <w:rFonts w:ascii="Verdana" w:hAnsi="Verdana" w:cs="Arial"/>
          <w:sz w:val="22"/>
          <w:szCs w:val="22"/>
          <w:lang w:val="es-CO"/>
        </w:rPr>
      </w:pPr>
    </w:p>
    <w:p w14:paraId="41007332" w14:textId="27548FF5" w:rsidR="00705859" w:rsidRPr="00B966C6" w:rsidRDefault="00705859" w:rsidP="00724E3F">
      <w:pPr>
        <w:ind w:left="-284"/>
        <w:jc w:val="both"/>
        <w:rPr>
          <w:rFonts w:ascii="Verdana" w:hAnsi="Verdana" w:cs="Arial"/>
          <w:sz w:val="22"/>
          <w:szCs w:val="22"/>
          <w:lang w:val="es-CO"/>
        </w:rPr>
      </w:pPr>
      <w:r w:rsidRPr="00B966C6">
        <w:rPr>
          <w:rFonts w:ascii="Verdana" w:hAnsi="Verdana" w:cs="Arial"/>
          <w:sz w:val="22"/>
          <w:szCs w:val="22"/>
          <w:lang w:val="es-CO"/>
        </w:rPr>
        <w:t>Que a partir de</w:t>
      </w:r>
      <w:r w:rsidR="00724E3F" w:rsidRPr="00B966C6">
        <w:rPr>
          <w:rFonts w:ascii="Verdana" w:hAnsi="Verdana" w:cs="Arial"/>
          <w:sz w:val="22"/>
          <w:szCs w:val="22"/>
          <w:lang w:val="es-CO"/>
        </w:rPr>
        <w:t xml:space="preserve"> la información reportada por</w:t>
      </w:r>
      <w:r w:rsidRPr="00B966C6">
        <w:rPr>
          <w:rFonts w:ascii="Verdana" w:hAnsi="Verdana" w:cs="Arial"/>
          <w:sz w:val="22"/>
          <w:szCs w:val="22"/>
          <w:lang w:val="es-CO"/>
        </w:rPr>
        <w:t xml:space="preserve"> </w:t>
      </w:r>
      <w:r w:rsidR="00571E21" w:rsidRPr="00B966C6">
        <w:rPr>
          <w:rFonts w:ascii="Verdana" w:hAnsi="Verdana" w:cs="Arial"/>
          <w:sz w:val="22"/>
          <w:szCs w:val="22"/>
          <w:lang w:val="es-CO"/>
        </w:rPr>
        <w:t>las Corporaciones Autónomas Regionales</w:t>
      </w:r>
      <w:r w:rsidRPr="00B966C6">
        <w:rPr>
          <w:rFonts w:ascii="Verdana" w:hAnsi="Verdana" w:cs="Arial"/>
          <w:sz w:val="22"/>
          <w:szCs w:val="22"/>
          <w:lang w:val="es-CO"/>
        </w:rPr>
        <w:t>,</w:t>
      </w:r>
      <w:r w:rsidR="00571E21" w:rsidRPr="00B966C6">
        <w:rPr>
          <w:rFonts w:ascii="Verdana" w:hAnsi="Verdana" w:cs="Arial"/>
          <w:sz w:val="22"/>
          <w:szCs w:val="22"/>
          <w:lang w:val="es-CO"/>
        </w:rPr>
        <w:t xml:space="preserve"> Corporguajira, Codechocó, Corantioquia, Corporinoquia, Cortolima, CDMB, Corpocaldas, Corponariño, Corponor</w:t>
      </w:r>
      <w:r w:rsidR="00BC5244" w:rsidRPr="00B966C6">
        <w:rPr>
          <w:rFonts w:ascii="Verdana" w:hAnsi="Verdana" w:cs="Arial"/>
          <w:sz w:val="22"/>
          <w:szCs w:val="22"/>
          <w:lang w:val="es-CO"/>
        </w:rPr>
        <w:t>,</w:t>
      </w:r>
      <w:r w:rsidR="00724E3F" w:rsidRPr="00B966C6">
        <w:rPr>
          <w:rFonts w:ascii="Verdana" w:hAnsi="Verdana" w:cs="Arial"/>
          <w:sz w:val="22"/>
          <w:szCs w:val="22"/>
          <w:lang w:val="es-CO"/>
        </w:rPr>
        <w:t xml:space="preserve"> la Dirección de Bosques, Biodiversidad y Servicios Ecosistémicos</w:t>
      </w:r>
      <w:r w:rsidR="007E1C38" w:rsidRPr="00B966C6">
        <w:rPr>
          <w:rFonts w:ascii="Verdana" w:hAnsi="Verdana" w:cs="Arial"/>
          <w:sz w:val="22"/>
          <w:szCs w:val="22"/>
          <w:lang w:val="es-CO"/>
        </w:rPr>
        <w:t xml:space="preserve"> del Ministerio de Ambiente, realizó un análisis que </w:t>
      </w:r>
      <w:r w:rsidRPr="00B966C6">
        <w:rPr>
          <w:rFonts w:ascii="Verdana" w:hAnsi="Verdana" w:cs="Arial"/>
          <w:sz w:val="22"/>
          <w:szCs w:val="22"/>
          <w:lang w:val="es-CO"/>
        </w:rPr>
        <w:t xml:space="preserve">da cuenta del estado de avance de los </w:t>
      </w:r>
      <w:r w:rsidR="00724E3F" w:rsidRPr="00B966C6">
        <w:rPr>
          <w:rFonts w:ascii="Verdana" w:hAnsi="Verdana" w:cs="Arial"/>
          <w:sz w:val="22"/>
          <w:szCs w:val="22"/>
          <w:lang w:val="es-CO"/>
        </w:rPr>
        <w:t>1</w:t>
      </w:r>
      <w:r w:rsidR="007E1C38" w:rsidRPr="00B966C6">
        <w:rPr>
          <w:rFonts w:ascii="Verdana" w:hAnsi="Verdana" w:cs="Arial"/>
          <w:sz w:val="22"/>
          <w:szCs w:val="22"/>
          <w:lang w:val="es-CO"/>
        </w:rPr>
        <w:t>5</w:t>
      </w:r>
      <w:r w:rsidRPr="00B966C6">
        <w:rPr>
          <w:rFonts w:ascii="Verdana" w:hAnsi="Verdana" w:cs="Arial"/>
          <w:sz w:val="22"/>
          <w:szCs w:val="22"/>
          <w:lang w:val="es-CO"/>
        </w:rPr>
        <w:t xml:space="preserve"> procesos de declaratoria regionales que se </w:t>
      </w:r>
      <w:r w:rsidR="00724E3F" w:rsidRPr="00B966C6">
        <w:rPr>
          <w:rFonts w:ascii="Verdana" w:hAnsi="Verdana" w:cs="Arial"/>
          <w:sz w:val="22"/>
          <w:szCs w:val="22"/>
          <w:lang w:val="es-CO"/>
        </w:rPr>
        <w:t>encuentran</w:t>
      </w:r>
      <w:r w:rsidRPr="00B966C6">
        <w:rPr>
          <w:rFonts w:ascii="Verdana" w:hAnsi="Verdana" w:cs="Arial"/>
          <w:sz w:val="22"/>
          <w:szCs w:val="22"/>
          <w:lang w:val="es-CO"/>
        </w:rPr>
        <w:t xml:space="preserve"> avanzando en la implementación de la ruta para la declaratoria de áreas protegidas del orden regional.</w:t>
      </w:r>
    </w:p>
    <w:p w14:paraId="6A022287" w14:textId="77777777" w:rsidR="00724E3F" w:rsidRPr="00B966C6" w:rsidRDefault="00724E3F" w:rsidP="00724E3F">
      <w:pPr>
        <w:ind w:left="-284"/>
        <w:jc w:val="both"/>
        <w:rPr>
          <w:rFonts w:ascii="Verdana" w:hAnsi="Verdana" w:cs="Arial"/>
          <w:sz w:val="22"/>
          <w:szCs w:val="22"/>
          <w:lang w:val="es-CO"/>
        </w:rPr>
      </w:pPr>
    </w:p>
    <w:p w14:paraId="09379204" w14:textId="321A11DE" w:rsidR="00E02ED8" w:rsidRPr="00B966C6" w:rsidRDefault="00705859" w:rsidP="007E1C38">
      <w:pPr>
        <w:ind w:left="-284"/>
        <w:jc w:val="both"/>
        <w:rPr>
          <w:rFonts w:ascii="Verdana" w:hAnsi="Verdana" w:cs="Arial"/>
          <w:sz w:val="22"/>
          <w:szCs w:val="22"/>
          <w:lang w:val="es-CO"/>
        </w:rPr>
      </w:pPr>
      <w:r w:rsidRPr="00B966C6">
        <w:rPr>
          <w:rFonts w:ascii="Verdana" w:hAnsi="Verdana" w:cs="Arial"/>
          <w:sz w:val="22"/>
          <w:szCs w:val="22"/>
          <w:lang w:val="es-CO"/>
        </w:rPr>
        <w:t>Que</w:t>
      </w:r>
      <w:r w:rsidR="007E1C38" w:rsidRPr="00B966C6">
        <w:rPr>
          <w:rFonts w:ascii="Verdana" w:hAnsi="Verdana" w:cs="Arial"/>
          <w:sz w:val="22"/>
          <w:szCs w:val="22"/>
          <w:lang w:val="es-CO"/>
        </w:rPr>
        <w:t xml:space="preserve"> el Ministerio de ambiente en el marco del deber de colaboración que trata el artículo 34 de la Ley 685 de 2001 y el artículo 2.2.2.1.5.4 del Decreto 1076 de 2015, No. 21002023E2029315 del 28 de agosto de 2023, en el marco de la </w:t>
      </w:r>
      <w:r w:rsidRPr="00B966C6">
        <w:rPr>
          <w:rFonts w:ascii="Verdana" w:hAnsi="Verdana" w:cs="Arial"/>
          <w:sz w:val="22"/>
          <w:szCs w:val="22"/>
          <w:lang w:val="es-CO"/>
        </w:rPr>
        <w:t xml:space="preserve">prórroga de los efectos de las zonas de protección y desarrollo de los recursos naturales renovables y del medio ambiente, </w:t>
      </w:r>
      <w:r w:rsidR="007E1C38" w:rsidRPr="00B966C6">
        <w:rPr>
          <w:rFonts w:ascii="Verdana" w:hAnsi="Verdana" w:cs="Arial"/>
          <w:sz w:val="22"/>
          <w:szCs w:val="22"/>
          <w:lang w:val="es-CO"/>
        </w:rPr>
        <w:t xml:space="preserve">remitió a la Agencia Nacional de Minería-ANM, </w:t>
      </w:r>
      <w:r w:rsidRPr="00B966C6">
        <w:rPr>
          <w:rFonts w:ascii="Verdana" w:hAnsi="Verdana" w:cs="Arial"/>
          <w:sz w:val="22"/>
          <w:szCs w:val="22"/>
          <w:lang w:val="es-CO"/>
        </w:rPr>
        <w:t xml:space="preserve">la información </w:t>
      </w:r>
      <w:r w:rsidRPr="00B966C6">
        <w:rPr>
          <w:rFonts w:ascii="Verdana" w:hAnsi="Verdana" w:cs="Arial"/>
          <w:sz w:val="22"/>
          <w:szCs w:val="22"/>
          <w:lang w:val="es-CO"/>
        </w:rPr>
        <w:lastRenderedPageBreak/>
        <w:t>cartográfica de las mencionadas zonas de protección, relacionando las áreas que mantienen el diseño original en el polígono de referencia, así como aquellas que sufren algún tipo de modificación</w:t>
      </w:r>
      <w:r w:rsidR="009C0832" w:rsidRPr="00B966C6">
        <w:rPr>
          <w:rFonts w:ascii="Verdana" w:hAnsi="Verdana" w:cs="Arial"/>
          <w:sz w:val="22"/>
          <w:szCs w:val="22"/>
          <w:lang w:val="es-CO"/>
        </w:rPr>
        <w:t xml:space="preserve"> de acuerdo a la información aportada por las corporaciones</w:t>
      </w:r>
      <w:r w:rsidRPr="00B966C6">
        <w:rPr>
          <w:rFonts w:ascii="Verdana" w:hAnsi="Verdana" w:cs="Arial"/>
          <w:sz w:val="22"/>
          <w:szCs w:val="22"/>
          <w:lang w:val="es-CO"/>
        </w:rPr>
        <w:t>, con el fin de que dicha autoridad minera adelantara los</w:t>
      </w:r>
      <w:r w:rsidR="00E02ED8" w:rsidRPr="00B966C6">
        <w:rPr>
          <w:rFonts w:ascii="Verdana" w:hAnsi="Verdana" w:cs="Arial"/>
          <w:sz w:val="22"/>
          <w:szCs w:val="22"/>
          <w:lang w:val="es-CO"/>
        </w:rPr>
        <w:t xml:space="preserve"> análisis correspondientes y de esta forma generar los acuerdos necesarios para poder llevar a cabo la prórroga de los efectos de la mencionada figura de protección.</w:t>
      </w:r>
    </w:p>
    <w:p w14:paraId="76B43A77" w14:textId="77777777" w:rsidR="00E02ED8" w:rsidRPr="00B966C6" w:rsidRDefault="00E02ED8" w:rsidP="00E02ED8">
      <w:pPr>
        <w:ind w:left="-284"/>
        <w:jc w:val="both"/>
        <w:rPr>
          <w:rFonts w:ascii="Verdana" w:hAnsi="Verdana" w:cs="Arial"/>
          <w:sz w:val="22"/>
          <w:szCs w:val="22"/>
          <w:lang w:val="es-CO"/>
        </w:rPr>
      </w:pPr>
    </w:p>
    <w:p w14:paraId="2E36D998" w14:textId="3443B56D" w:rsidR="00E02ED8" w:rsidRPr="00B966C6" w:rsidRDefault="00E02ED8" w:rsidP="00E02ED8">
      <w:pPr>
        <w:ind w:left="-284"/>
        <w:jc w:val="both"/>
        <w:rPr>
          <w:rFonts w:ascii="Verdana" w:hAnsi="Verdana" w:cs="Arial"/>
          <w:sz w:val="22"/>
          <w:szCs w:val="22"/>
          <w:lang w:val="es-CO"/>
        </w:rPr>
      </w:pPr>
      <w:r w:rsidRPr="00B966C6">
        <w:rPr>
          <w:rFonts w:ascii="Verdana" w:hAnsi="Verdana" w:cs="Arial"/>
          <w:sz w:val="22"/>
          <w:szCs w:val="22"/>
          <w:lang w:val="es-CO"/>
        </w:rPr>
        <w:t xml:space="preserve">Que en respuesta al oficio </w:t>
      </w:r>
      <w:r w:rsidR="009C0832" w:rsidRPr="00B966C6">
        <w:rPr>
          <w:rFonts w:ascii="Verdana" w:hAnsi="Verdana" w:cs="Arial"/>
          <w:sz w:val="22"/>
          <w:szCs w:val="22"/>
          <w:lang w:val="es-CO"/>
        </w:rPr>
        <w:t xml:space="preserve">antes mencionado, </w:t>
      </w:r>
      <w:r w:rsidRPr="00B966C6">
        <w:rPr>
          <w:rFonts w:ascii="Verdana" w:hAnsi="Verdana" w:cs="Arial"/>
          <w:sz w:val="22"/>
          <w:szCs w:val="22"/>
          <w:lang w:val="es-CO"/>
        </w:rPr>
        <w:t>la Agencia Nacional de Minería</w:t>
      </w:r>
      <w:r w:rsidR="009C0832" w:rsidRPr="00B966C6">
        <w:rPr>
          <w:rFonts w:ascii="Verdana" w:hAnsi="Verdana" w:cs="Arial"/>
          <w:sz w:val="22"/>
          <w:szCs w:val="22"/>
          <w:lang w:val="es-CO"/>
        </w:rPr>
        <w:t xml:space="preserve"> </w:t>
      </w:r>
      <w:r w:rsidRPr="00B966C6">
        <w:rPr>
          <w:rFonts w:ascii="Verdana" w:hAnsi="Verdana" w:cs="Arial"/>
          <w:sz w:val="22"/>
          <w:szCs w:val="22"/>
          <w:lang w:val="es-CO"/>
        </w:rPr>
        <w:t xml:space="preserve">emitió respuesta mediante radicado ANM 2023E1042072 del 12 de septiembre de 2023. En </w:t>
      </w:r>
      <w:r w:rsidR="009C0832" w:rsidRPr="00B966C6">
        <w:rPr>
          <w:rFonts w:ascii="Verdana" w:hAnsi="Verdana" w:cs="Arial"/>
          <w:sz w:val="22"/>
          <w:szCs w:val="22"/>
          <w:lang w:val="es-CO"/>
        </w:rPr>
        <w:t>este</w:t>
      </w:r>
      <w:r w:rsidRPr="00B966C6">
        <w:rPr>
          <w:rFonts w:ascii="Verdana" w:hAnsi="Verdana" w:cs="Arial"/>
          <w:sz w:val="22"/>
          <w:szCs w:val="22"/>
          <w:lang w:val="es-CO"/>
        </w:rPr>
        <w:t xml:space="preserve"> comunicado expres</w:t>
      </w:r>
      <w:r w:rsidR="009C0832" w:rsidRPr="00B966C6">
        <w:rPr>
          <w:rFonts w:ascii="Verdana" w:hAnsi="Verdana" w:cs="Arial"/>
          <w:sz w:val="22"/>
          <w:szCs w:val="22"/>
          <w:lang w:val="es-CO"/>
        </w:rPr>
        <w:t>ó</w:t>
      </w:r>
      <w:r w:rsidRPr="00B966C6">
        <w:rPr>
          <w:rFonts w:ascii="Verdana" w:hAnsi="Verdana" w:cs="Arial"/>
          <w:sz w:val="22"/>
          <w:szCs w:val="22"/>
          <w:lang w:val="es-CO"/>
        </w:rPr>
        <w:t xml:space="preserve"> lo siguiente:</w:t>
      </w:r>
    </w:p>
    <w:p w14:paraId="6DF85CF5" w14:textId="77777777" w:rsidR="00E02ED8" w:rsidRPr="00B966C6" w:rsidRDefault="00E02ED8" w:rsidP="00E02ED8">
      <w:pPr>
        <w:ind w:left="-284"/>
        <w:jc w:val="both"/>
        <w:rPr>
          <w:rFonts w:ascii="Verdana" w:hAnsi="Verdana" w:cs="Arial"/>
          <w:sz w:val="22"/>
          <w:szCs w:val="22"/>
          <w:lang w:val="es-CO"/>
        </w:rPr>
      </w:pPr>
    </w:p>
    <w:p w14:paraId="73C738BA" w14:textId="09466E0B" w:rsidR="00E02ED8" w:rsidRPr="00B966C6" w:rsidRDefault="00E02ED8" w:rsidP="00E02ED8">
      <w:pPr>
        <w:ind w:left="-284"/>
        <w:jc w:val="both"/>
        <w:rPr>
          <w:rFonts w:ascii="Verdana" w:hAnsi="Verdana" w:cs="Arial"/>
          <w:i/>
          <w:iCs/>
          <w:sz w:val="22"/>
          <w:szCs w:val="22"/>
          <w:lang w:val="es-CO"/>
        </w:rPr>
      </w:pPr>
      <w:r w:rsidRPr="00B966C6">
        <w:rPr>
          <w:rFonts w:ascii="Verdana" w:hAnsi="Verdana" w:cs="Arial"/>
          <w:i/>
          <w:iCs/>
          <w:sz w:val="22"/>
          <w:szCs w:val="22"/>
          <w:lang w:val="es-CO"/>
        </w:rPr>
        <w:t>“respecto a las coberturas de (Títulos, Solicitudes, Subcontratos, Áreas de Reserva Especial En Trámite y Declaradas, Áreas Estratégicas Mineras de Selección Objetiva, Zonas Reservadas con Potencial, Áreas Estratégicas Mineras, Zonas Mineras Étnicas) que genera la Agencia Nacional de Minera, se reportan las siguientes superposiciones una vez realizados los análisis de traslape de dichas coberturas:</w:t>
      </w:r>
    </w:p>
    <w:p w14:paraId="3CD84017" w14:textId="77777777" w:rsidR="00E02ED8" w:rsidRPr="00B966C6" w:rsidRDefault="00E02ED8" w:rsidP="00E02ED8">
      <w:pPr>
        <w:jc w:val="both"/>
        <w:rPr>
          <w:rFonts w:ascii="Verdana" w:hAnsi="Verdana" w:cs="Arial"/>
          <w:i/>
          <w:iCs/>
          <w:sz w:val="22"/>
          <w:szCs w:val="22"/>
        </w:rPr>
      </w:pPr>
    </w:p>
    <w:p w14:paraId="4F1F8A65" w14:textId="77777777" w:rsidR="00E02ED8" w:rsidRPr="00B966C6" w:rsidRDefault="00E02ED8" w:rsidP="00E02ED8">
      <w:pPr>
        <w:jc w:val="both"/>
        <w:rPr>
          <w:rFonts w:ascii="Verdana" w:hAnsi="Verdana" w:cs="Arial"/>
          <w:sz w:val="22"/>
          <w:szCs w:val="22"/>
        </w:rPr>
      </w:pPr>
      <w:r w:rsidRPr="00B966C6">
        <w:rPr>
          <w:rFonts w:ascii="Verdana" w:hAnsi="Verdana"/>
          <w:noProof/>
          <w:sz w:val="22"/>
          <w:szCs w:val="22"/>
        </w:rPr>
        <w:drawing>
          <wp:inline distT="0" distB="0" distL="0" distR="0" wp14:anchorId="7CCE9CC1" wp14:editId="1D6083B6">
            <wp:extent cx="5600700" cy="2683669"/>
            <wp:effectExtent l="0" t="0" r="0" b="0"/>
            <wp:docPr id="1069602941" name="Imagen 10696029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extLst>
                        <a:ext uri="{28A0092B-C50C-407E-A947-70E740481C1C}">
                          <a14:useLocalDpi xmlns:a14="http://schemas.microsoft.com/office/drawing/2010/main" val="0"/>
                        </a:ext>
                      </a:extLst>
                    </a:blip>
                    <a:stretch>
                      <a:fillRect/>
                    </a:stretch>
                  </pic:blipFill>
                  <pic:spPr>
                    <a:xfrm>
                      <a:off x="0" y="0"/>
                      <a:ext cx="5600700" cy="2683669"/>
                    </a:xfrm>
                    <a:prstGeom prst="rect">
                      <a:avLst/>
                    </a:prstGeom>
                  </pic:spPr>
                </pic:pic>
              </a:graphicData>
            </a:graphic>
          </wp:inline>
        </w:drawing>
      </w:r>
    </w:p>
    <w:p w14:paraId="080D2EF2" w14:textId="77777777" w:rsidR="00E02ED8" w:rsidRPr="00B966C6" w:rsidRDefault="00E02ED8" w:rsidP="00E02ED8">
      <w:pPr>
        <w:jc w:val="both"/>
        <w:rPr>
          <w:rFonts w:ascii="Verdana" w:hAnsi="Verdana" w:cs="Arial"/>
          <w:sz w:val="22"/>
          <w:szCs w:val="22"/>
        </w:rPr>
      </w:pPr>
      <w:r w:rsidRPr="00B966C6">
        <w:rPr>
          <w:rFonts w:ascii="Verdana" w:hAnsi="Verdana"/>
          <w:noProof/>
          <w:sz w:val="22"/>
          <w:szCs w:val="22"/>
        </w:rPr>
        <w:drawing>
          <wp:inline distT="0" distB="0" distL="0" distR="0" wp14:anchorId="1AA9B0AA" wp14:editId="7AEB3189">
            <wp:extent cx="5572125" cy="2995017"/>
            <wp:effectExtent l="0" t="0" r="0" b="0"/>
            <wp:docPr id="888087358" name="Imagen 8880873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extLst>
                        <a:ext uri="{28A0092B-C50C-407E-A947-70E740481C1C}">
                          <a14:useLocalDpi xmlns:a14="http://schemas.microsoft.com/office/drawing/2010/main" val="0"/>
                        </a:ext>
                      </a:extLst>
                    </a:blip>
                    <a:stretch>
                      <a:fillRect/>
                    </a:stretch>
                  </pic:blipFill>
                  <pic:spPr>
                    <a:xfrm>
                      <a:off x="0" y="0"/>
                      <a:ext cx="5572125" cy="2995017"/>
                    </a:xfrm>
                    <a:prstGeom prst="rect">
                      <a:avLst/>
                    </a:prstGeom>
                  </pic:spPr>
                </pic:pic>
              </a:graphicData>
            </a:graphic>
          </wp:inline>
        </w:drawing>
      </w:r>
      <w:r w:rsidRPr="00B966C6">
        <w:rPr>
          <w:rFonts w:ascii="Verdana" w:hAnsi="Verdana" w:cs="Arial"/>
          <w:sz w:val="22"/>
          <w:szCs w:val="22"/>
        </w:rPr>
        <w:t>”</w:t>
      </w:r>
    </w:p>
    <w:p w14:paraId="1E1939E2" w14:textId="77777777" w:rsidR="00C729C2" w:rsidRPr="00B966C6" w:rsidRDefault="00C729C2" w:rsidP="000E1C01">
      <w:pPr>
        <w:ind w:left="-284"/>
        <w:jc w:val="both"/>
        <w:rPr>
          <w:rFonts w:ascii="Verdana" w:hAnsi="Verdana" w:cs="Arial"/>
          <w:sz w:val="22"/>
          <w:szCs w:val="22"/>
          <w:lang w:val="es-CO"/>
        </w:rPr>
      </w:pPr>
    </w:p>
    <w:p w14:paraId="5DA847BE" w14:textId="1F5ADE73" w:rsidR="003003DE" w:rsidRDefault="00E02ED8" w:rsidP="00182F69">
      <w:pPr>
        <w:ind w:left="-284"/>
        <w:jc w:val="both"/>
        <w:rPr>
          <w:rFonts w:ascii="Verdana" w:hAnsi="Verdana" w:cs="Arial"/>
          <w:sz w:val="22"/>
          <w:szCs w:val="22"/>
          <w:lang w:val="es-CO"/>
        </w:rPr>
      </w:pPr>
      <w:r w:rsidRPr="00B966C6">
        <w:rPr>
          <w:rFonts w:ascii="Verdana" w:hAnsi="Verdana" w:cs="Arial"/>
          <w:sz w:val="22"/>
          <w:szCs w:val="22"/>
          <w:lang w:val="es-CO"/>
        </w:rPr>
        <w:lastRenderedPageBreak/>
        <w:t>Que derivado de la información aportada por la Agencia Nacional de Minería-ANM, en el marco del principio de colaboración se realizó un análisis conjunto</w:t>
      </w:r>
      <w:r w:rsidR="00986863" w:rsidRPr="00B966C6">
        <w:rPr>
          <w:rFonts w:ascii="Verdana" w:hAnsi="Verdana" w:cs="Arial"/>
          <w:sz w:val="22"/>
          <w:szCs w:val="22"/>
          <w:lang w:val="es-CO"/>
        </w:rPr>
        <w:t xml:space="preserve"> con la Dirección de Bosques, Biodiversidad y Servicios Ecosistémicos del Ministerio de Ambiente y Desarrollo Sostenible en reunión llevada a cabo el día 26 de septiembre de 2023, </w:t>
      </w:r>
      <w:r w:rsidR="00BC0ED1">
        <w:rPr>
          <w:rFonts w:ascii="Verdana" w:hAnsi="Verdana" w:cs="Arial"/>
          <w:sz w:val="22"/>
          <w:szCs w:val="22"/>
          <w:lang w:val="es-CO"/>
        </w:rPr>
        <w:t>s</w:t>
      </w:r>
      <w:r w:rsidR="00BC0ED1" w:rsidRPr="00B966C6">
        <w:rPr>
          <w:rFonts w:ascii="Verdana" w:hAnsi="Verdana" w:cs="Arial"/>
          <w:sz w:val="22"/>
          <w:szCs w:val="22"/>
          <w:lang w:val="es-CO"/>
        </w:rPr>
        <w:t xml:space="preserve">e </w:t>
      </w:r>
      <w:r w:rsidR="00986863" w:rsidRPr="00B966C6">
        <w:rPr>
          <w:rFonts w:ascii="Verdana" w:hAnsi="Verdana" w:cs="Arial"/>
          <w:sz w:val="22"/>
          <w:szCs w:val="22"/>
          <w:lang w:val="es-CO"/>
        </w:rPr>
        <w:t>concluy</w:t>
      </w:r>
      <w:r w:rsidR="003003DE">
        <w:rPr>
          <w:rFonts w:ascii="Verdana" w:hAnsi="Verdana" w:cs="Arial"/>
          <w:sz w:val="22"/>
          <w:szCs w:val="22"/>
          <w:lang w:val="es-CO"/>
        </w:rPr>
        <w:t>ó</w:t>
      </w:r>
      <w:r w:rsidR="00986863" w:rsidRPr="00B966C6">
        <w:rPr>
          <w:rFonts w:ascii="Verdana" w:hAnsi="Verdana" w:cs="Arial"/>
          <w:sz w:val="22"/>
          <w:szCs w:val="22"/>
          <w:lang w:val="es-CO"/>
        </w:rPr>
        <w:t xml:space="preserve"> en este espacio que</w:t>
      </w:r>
      <w:r w:rsidR="00182F69" w:rsidRPr="00B966C6">
        <w:rPr>
          <w:rFonts w:ascii="Verdana" w:hAnsi="Verdana" w:cs="Arial"/>
          <w:sz w:val="22"/>
          <w:szCs w:val="22"/>
          <w:lang w:val="es-CO"/>
        </w:rPr>
        <w:t xml:space="preserve">, </w:t>
      </w:r>
      <w:r w:rsidR="003003DE" w:rsidRPr="00B966C6">
        <w:rPr>
          <w:rFonts w:ascii="Verdana" w:hAnsi="Verdana" w:cs="Arial"/>
          <w:sz w:val="22"/>
          <w:szCs w:val="22"/>
          <w:lang w:val="es-CO"/>
        </w:rPr>
        <w:t>la Agencia Nacional de Minería señal</w:t>
      </w:r>
      <w:r w:rsidR="003003DE">
        <w:rPr>
          <w:rFonts w:ascii="Verdana" w:hAnsi="Verdana" w:cs="Arial"/>
          <w:sz w:val="22"/>
          <w:szCs w:val="22"/>
          <w:lang w:val="es-CO"/>
        </w:rPr>
        <w:t>ó</w:t>
      </w:r>
      <w:r w:rsidR="003003DE" w:rsidRPr="00B966C6">
        <w:rPr>
          <w:rFonts w:ascii="Verdana" w:hAnsi="Verdana" w:cs="Arial"/>
          <w:sz w:val="22"/>
          <w:szCs w:val="22"/>
          <w:lang w:val="es-CO"/>
        </w:rPr>
        <w:t xml:space="preserve"> que no tiene objeción respecto de las áreas respecto de las</w:t>
      </w:r>
      <w:r w:rsidR="003003DE">
        <w:rPr>
          <w:rFonts w:ascii="Verdana" w:hAnsi="Verdana" w:cs="Arial"/>
          <w:sz w:val="22"/>
          <w:szCs w:val="22"/>
          <w:lang w:val="es-CO"/>
        </w:rPr>
        <w:t xml:space="preserve"> áreas “</w:t>
      </w:r>
      <w:r w:rsidR="003003DE" w:rsidRPr="00B966C6">
        <w:rPr>
          <w:rFonts w:ascii="Verdana" w:hAnsi="Verdana" w:cs="Arial"/>
          <w:sz w:val="22"/>
          <w:szCs w:val="22"/>
          <w:lang w:val="es-CO"/>
        </w:rPr>
        <w:t>9 polígonos</w:t>
      </w:r>
      <w:r w:rsidR="003003DE">
        <w:rPr>
          <w:rFonts w:ascii="Verdana" w:hAnsi="Verdana" w:cs="Arial"/>
          <w:sz w:val="22"/>
          <w:szCs w:val="22"/>
          <w:lang w:val="es-CO"/>
        </w:rPr>
        <w:t>”</w:t>
      </w:r>
      <w:r w:rsidR="003003DE" w:rsidRPr="003003DE">
        <w:rPr>
          <w:rFonts w:ascii="Verdana" w:hAnsi="Verdana" w:cs="Arial"/>
          <w:sz w:val="22"/>
          <w:szCs w:val="22"/>
          <w:lang w:val="es-CO"/>
        </w:rPr>
        <w:t xml:space="preserve"> </w:t>
      </w:r>
      <w:r w:rsidR="003003DE">
        <w:rPr>
          <w:rFonts w:ascii="Verdana" w:hAnsi="Verdana" w:cs="Arial"/>
          <w:sz w:val="22"/>
          <w:szCs w:val="22"/>
          <w:lang w:val="es-CO"/>
        </w:rPr>
        <w:t xml:space="preserve">respecto de los cuales se pretende </w:t>
      </w:r>
      <w:r w:rsidR="003003DE" w:rsidRPr="00B966C6">
        <w:rPr>
          <w:rFonts w:ascii="Verdana" w:hAnsi="Verdana" w:cs="Arial"/>
          <w:sz w:val="22"/>
          <w:szCs w:val="22"/>
          <w:lang w:val="es-CO"/>
        </w:rPr>
        <w:t>prorrogar</w:t>
      </w:r>
      <w:r w:rsidR="003003DE" w:rsidRPr="003003DE">
        <w:rPr>
          <w:rFonts w:ascii="Verdana" w:hAnsi="Verdana" w:cs="Arial"/>
          <w:sz w:val="22"/>
          <w:szCs w:val="22"/>
          <w:lang w:val="es-CO"/>
        </w:rPr>
        <w:t xml:space="preserve"> </w:t>
      </w:r>
      <w:r w:rsidR="003003DE" w:rsidRPr="00B966C6">
        <w:rPr>
          <w:rFonts w:ascii="Verdana" w:hAnsi="Verdana" w:cs="Arial"/>
          <w:sz w:val="22"/>
          <w:szCs w:val="22"/>
          <w:lang w:val="es-CO"/>
        </w:rPr>
        <w:t>los efectos de la Resolución No. 1125 de 2021</w:t>
      </w:r>
      <w:r w:rsidR="003003DE">
        <w:rPr>
          <w:rFonts w:ascii="Verdana" w:hAnsi="Verdana" w:cs="Arial"/>
          <w:sz w:val="22"/>
          <w:szCs w:val="22"/>
          <w:lang w:val="es-CO"/>
        </w:rPr>
        <w:t xml:space="preserve">, en consecuencia, </w:t>
      </w:r>
      <w:r w:rsidR="003003DE" w:rsidRPr="00B966C6">
        <w:rPr>
          <w:rFonts w:ascii="Verdana" w:hAnsi="Verdana" w:cs="Arial"/>
          <w:sz w:val="22"/>
          <w:szCs w:val="22"/>
          <w:lang w:val="es-CO"/>
        </w:rPr>
        <w:t>ampliar la vigencia de las zonas de protección y desarrollo de los recursos naturales renovables y del medio ambiente</w:t>
      </w:r>
      <w:r w:rsidR="003003DE">
        <w:rPr>
          <w:rFonts w:ascii="Verdana" w:hAnsi="Verdana" w:cs="Arial"/>
          <w:sz w:val="22"/>
          <w:szCs w:val="22"/>
          <w:lang w:val="es-CO"/>
        </w:rPr>
        <w:t>.</w:t>
      </w:r>
    </w:p>
    <w:p w14:paraId="14F0B74C" w14:textId="77777777" w:rsidR="00986863" w:rsidRPr="00B966C6" w:rsidRDefault="00986863" w:rsidP="00986863">
      <w:pPr>
        <w:ind w:left="-284"/>
        <w:jc w:val="both"/>
        <w:rPr>
          <w:rFonts w:ascii="Verdana" w:hAnsi="Verdana" w:cs="Arial"/>
          <w:sz w:val="22"/>
          <w:szCs w:val="22"/>
          <w:lang w:val="es-CO"/>
        </w:rPr>
      </w:pPr>
    </w:p>
    <w:p w14:paraId="5AB48F07" w14:textId="034EB4B9" w:rsidR="00986863" w:rsidRPr="00B966C6" w:rsidRDefault="00986863" w:rsidP="00986863">
      <w:pPr>
        <w:ind w:left="-284"/>
        <w:jc w:val="both"/>
        <w:rPr>
          <w:rFonts w:ascii="Verdana" w:hAnsi="Verdana" w:cs="Arial"/>
          <w:sz w:val="22"/>
          <w:szCs w:val="22"/>
          <w:lang w:val="es-CO"/>
        </w:rPr>
      </w:pPr>
      <w:r w:rsidRPr="00B966C6">
        <w:rPr>
          <w:rFonts w:ascii="Verdana" w:hAnsi="Verdana" w:cs="Arial"/>
          <w:sz w:val="22"/>
          <w:szCs w:val="22"/>
          <w:lang w:val="es-CO"/>
        </w:rPr>
        <w:t xml:space="preserve">Que </w:t>
      </w:r>
      <w:r w:rsidR="00182F69" w:rsidRPr="00B966C6">
        <w:rPr>
          <w:rFonts w:ascii="Verdana" w:hAnsi="Verdana" w:cs="Arial"/>
          <w:sz w:val="22"/>
          <w:szCs w:val="22"/>
          <w:lang w:val="es-CO"/>
        </w:rPr>
        <w:t xml:space="preserve">dada la información aportada por </w:t>
      </w:r>
      <w:r w:rsidRPr="00B966C6">
        <w:rPr>
          <w:rFonts w:ascii="Verdana" w:hAnsi="Verdana" w:cs="Arial"/>
          <w:sz w:val="22"/>
          <w:szCs w:val="22"/>
          <w:lang w:val="es-CO"/>
        </w:rPr>
        <w:t xml:space="preserve">las Corporaciones Autónomas Regionales </w:t>
      </w:r>
      <w:r w:rsidR="00182F69" w:rsidRPr="00B966C6">
        <w:rPr>
          <w:rFonts w:ascii="Verdana" w:hAnsi="Verdana" w:cs="Arial"/>
          <w:sz w:val="22"/>
          <w:szCs w:val="22"/>
          <w:lang w:val="es-CO"/>
        </w:rPr>
        <w:t>–</w:t>
      </w:r>
      <w:r w:rsidRPr="00B966C6">
        <w:rPr>
          <w:rFonts w:ascii="Verdana" w:hAnsi="Verdana" w:cs="Arial"/>
          <w:sz w:val="22"/>
          <w:szCs w:val="22"/>
          <w:lang w:val="es-CO"/>
        </w:rPr>
        <w:t xml:space="preserve"> CAR</w:t>
      </w:r>
      <w:r w:rsidR="00182F69" w:rsidRPr="00B966C6">
        <w:rPr>
          <w:rFonts w:ascii="Verdana" w:hAnsi="Verdana" w:cs="Arial"/>
          <w:sz w:val="22"/>
          <w:szCs w:val="22"/>
          <w:lang w:val="es-CO"/>
        </w:rPr>
        <w:t xml:space="preserve"> y surtidas las actividades derivadas del principio de colaboración</w:t>
      </w:r>
      <w:r w:rsidRPr="00B966C6">
        <w:rPr>
          <w:rFonts w:ascii="Verdana" w:hAnsi="Verdana" w:cs="Arial"/>
          <w:sz w:val="22"/>
          <w:szCs w:val="22"/>
          <w:lang w:val="es-CO"/>
        </w:rPr>
        <w:t>, la Dirección de Bosques, Biodiversidad y Servicios Ecosistémicos</w:t>
      </w:r>
      <w:r w:rsidR="00182F69" w:rsidRPr="00B966C6">
        <w:rPr>
          <w:rFonts w:ascii="Verdana" w:hAnsi="Verdana" w:cs="Arial"/>
          <w:sz w:val="22"/>
          <w:szCs w:val="22"/>
          <w:lang w:val="es-CO"/>
        </w:rPr>
        <w:t xml:space="preserve"> del Ministerio de Ambiente</w:t>
      </w:r>
      <w:r w:rsidRPr="00B966C6">
        <w:rPr>
          <w:rFonts w:ascii="Verdana" w:hAnsi="Verdana" w:cs="Arial"/>
          <w:sz w:val="22"/>
          <w:szCs w:val="22"/>
          <w:lang w:val="es-CO"/>
        </w:rPr>
        <w:t xml:space="preserve"> emitió el concepto técnico denominado “</w:t>
      </w:r>
      <w:r w:rsidR="007734BB" w:rsidRPr="00B966C6">
        <w:rPr>
          <w:rFonts w:ascii="Verdana" w:hAnsi="Verdana" w:cs="Arial"/>
          <w:i/>
          <w:iCs/>
          <w:sz w:val="22"/>
          <w:szCs w:val="22"/>
          <w:lang w:val="es-CO"/>
        </w:rPr>
        <w:t>Documento Técnico De Soporte Resolución</w:t>
      </w:r>
      <w:r w:rsidR="007734BB" w:rsidRPr="00B966C6">
        <w:rPr>
          <w:rFonts w:ascii="Verdana" w:hAnsi="Verdana" w:cs="Arial"/>
          <w:sz w:val="22"/>
          <w:szCs w:val="22"/>
          <w:lang w:val="es-CO"/>
        </w:rPr>
        <w:t xml:space="preserve">” </w:t>
      </w:r>
      <w:r w:rsidRPr="00B966C6">
        <w:rPr>
          <w:rFonts w:ascii="Verdana" w:hAnsi="Verdana" w:cs="Arial"/>
          <w:i/>
          <w:iCs/>
          <w:sz w:val="22"/>
          <w:szCs w:val="22"/>
          <w:lang w:val="es-CO"/>
        </w:rPr>
        <w:t>Por medio del cual se prorroga el término de duración de las zonas de protección y desarrollo de los recursos naturales renovables y del medio ambiente, declaradas mediante la Resolución No. 1814 de 2015 y prorrogadas mediante las Resoluciones No. 2157 de 2017, 1987 de 2018, 1675 de 2019 y 1125 de 2021 y se adoptan otras determinaciones</w:t>
      </w:r>
      <w:r w:rsidRPr="00B966C6">
        <w:rPr>
          <w:rFonts w:ascii="Verdana" w:hAnsi="Verdana" w:cs="Arial"/>
          <w:sz w:val="22"/>
          <w:szCs w:val="22"/>
          <w:lang w:val="es-CO"/>
        </w:rPr>
        <w:t>”</w:t>
      </w:r>
      <w:r w:rsidR="007734BB" w:rsidRPr="00B966C6">
        <w:rPr>
          <w:rFonts w:ascii="Verdana" w:hAnsi="Verdana" w:cs="Arial"/>
          <w:sz w:val="22"/>
          <w:szCs w:val="22"/>
          <w:lang w:val="es-CO"/>
        </w:rPr>
        <w:t>”</w:t>
      </w:r>
      <w:r w:rsidRPr="00B966C6">
        <w:rPr>
          <w:rFonts w:ascii="Verdana" w:hAnsi="Verdana" w:cs="Arial"/>
          <w:sz w:val="22"/>
          <w:szCs w:val="22"/>
          <w:lang w:val="es-CO"/>
        </w:rPr>
        <w:t xml:space="preserve"> en el cual se relacionan los siguientes resultados: </w:t>
      </w:r>
    </w:p>
    <w:p w14:paraId="713C9D65" w14:textId="77777777" w:rsidR="004B12C6" w:rsidRPr="00B966C6" w:rsidRDefault="004B12C6" w:rsidP="00986863">
      <w:pPr>
        <w:ind w:left="-284"/>
        <w:jc w:val="both"/>
        <w:rPr>
          <w:rFonts w:ascii="Verdana" w:hAnsi="Verdana" w:cs="Arial"/>
          <w:sz w:val="22"/>
          <w:szCs w:val="22"/>
          <w:lang w:val="es-CO"/>
        </w:rPr>
      </w:pPr>
    </w:p>
    <w:p w14:paraId="4E2F9DDA" w14:textId="7D3DAECD" w:rsidR="007734BB" w:rsidRPr="00B966C6" w:rsidRDefault="007734BB" w:rsidP="007734BB">
      <w:pPr>
        <w:jc w:val="both"/>
        <w:rPr>
          <w:rFonts w:ascii="Verdana" w:hAnsi="Verdana"/>
          <w:i/>
          <w:iCs/>
          <w:sz w:val="22"/>
          <w:szCs w:val="22"/>
          <w:shd w:val="clear" w:color="auto" w:fill="FEFEFE"/>
          <w:lang w:val="es-ES_tradnl"/>
        </w:rPr>
      </w:pPr>
      <w:r w:rsidRPr="00B966C6">
        <w:rPr>
          <w:rFonts w:ascii="Verdana" w:hAnsi="Verdana"/>
          <w:i/>
          <w:iCs/>
          <w:sz w:val="22"/>
          <w:szCs w:val="22"/>
          <w:lang w:val="es-ES_tradnl"/>
        </w:rPr>
        <w:t>“(…) La aplicación de la ruta para la declaratoria de un área protegida se sustenta en criterios biofísicos, sociales, económicos y culturales que permitan visualizar la oportunidad y necesidad de declarar una nueva área protegida en un territorio determinado, con el fin de fortalecer las metas de conservación del país, y garantizar el mantenimiento de la base natural que sustenta los servicios ecosistémicos necesarios para la pervivencia de las generaciones actuales y futuras.</w:t>
      </w:r>
    </w:p>
    <w:p w14:paraId="13C7A20B" w14:textId="77777777" w:rsidR="007734BB" w:rsidRPr="00B966C6" w:rsidRDefault="007734BB" w:rsidP="007734BB">
      <w:pPr>
        <w:jc w:val="both"/>
        <w:rPr>
          <w:rFonts w:ascii="Verdana" w:hAnsi="Verdana"/>
          <w:i/>
          <w:iCs/>
          <w:sz w:val="22"/>
          <w:szCs w:val="22"/>
          <w:lang w:val="es-ES_tradnl"/>
        </w:rPr>
      </w:pPr>
    </w:p>
    <w:p w14:paraId="6CA03E69" w14:textId="5BB6265B" w:rsidR="007734BB" w:rsidRPr="00B966C6" w:rsidRDefault="007734BB" w:rsidP="007734BB">
      <w:pPr>
        <w:jc w:val="both"/>
        <w:rPr>
          <w:rFonts w:ascii="Verdana" w:hAnsi="Verdana"/>
          <w:i/>
          <w:iCs/>
          <w:sz w:val="22"/>
          <w:szCs w:val="22"/>
          <w:lang w:val="es-ES_tradnl"/>
        </w:rPr>
      </w:pPr>
      <w:r w:rsidRPr="00B966C6">
        <w:rPr>
          <w:rFonts w:ascii="Verdana" w:hAnsi="Verdana"/>
          <w:i/>
          <w:iCs/>
          <w:sz w:val="22"/>
          <w:szCs w:val="22"/>
          <w:lang w:val="es-ES_tradnl"/>
        </w:rPr>
        <w:t xml:space="preserve">De acuerdo con lo informado por parte de las autoridades ambientales regionales a este Ministerio, </w:t>
      </w:r>
      <w:r w:rsidRPr="00B966C6">
        <w:rPr>
          <w:rFonts w:ascii="Verdana" w:hAnsi="Verdana" w:cs="Arial"/>
          <w:i/>
          <w:iCs/>
          <w:sz w:val="22"/>
          <w:szCs w:val="22"/>
          <w:lang w:val="es-ES_tradnl"/>
        </w:rPr>
        <w:t xml:space="preserve">en respuesta a la solicitud adelantada a través de oficios con radicados No. 21022023E2019851, 21022023E2019852, 21022023E2019855, 21022023E2019857, 21022023E2019858, 21022023E2019859, 21022023E2019860, 21022023E2019861 y 21022023E2019863 del 27 de junio de 2023, el reporte de los avances en la implementación de la ruta declaratoria en las mencionadas zonas de protección, </w:t>
      </w:r>
      <w:r w:rsidRPr="00B966C6">
        <w:rPr>
          <w:rFonts w:ascii="Verdana" w:hAnsi="Verdana"/>
          <w:i/>
          <w:iCs/>
          <w:sz w:val="22"/>
          <w:szCs w:val="22"/>
          <w:lang w:val="es-ES_tradnl"/>
        </w:rPr>
        <w:t>se identifican los siguientes avances a la fecha (</w:t>
      </w:r>
      <w:r w:rsidRPr="00B966C6">
        <w:rPr>
          <w:rFonts w:ascii="Verdana" w:hAnsi="Verdana"/>
          <w:i/>
          <w:iCs/>
          <w:sz w:val="22"/>
          <w:szCs w:val="22"/>
          <w:lang w:val="es-ES_tradnl"/>
        </w:rPr>
        <w:fldChar w:fldCharType="begin"/>
      </w:r>
      <w:r w:rsidRPr="00B966C6">
        <w:rPr>
          <w:rFonts w:ascii="Verdana" w:hAnsi="Verdana"/>
          <w:i/>
          <w:iCs/>
          <w:sz w:val="22"/>
          <w:szCs w:val="22"/>
          <w:lang w:val="es-ES_tradnl"/>
        </w:rPr>
        <w:instrText xml:space="preserve"> REF _Ref82430562 \h  \* MERGEFORMAT </w:instrText>
      </w:r>
      <w:r w:rsidRPr="00B966C6">
        <w:rPr>
          <w:rFonts w:ascii="Verdana" w:hAnsi="Verdana"/>
          <w:i/>
          <w:iCs/>
          <w:sz w:val="22"/>
          <w:szCs w:val="22"/>
          <w:lang w:val="es-ES_tradnl"/>
        </w:rPr>
      </w:r>
      <w:r w:rsidRPr="00B966C6">
        <w:rPr>
          <w:rFonts w:ascii="Verdana" w:hAnsi="Verdana"/>
          <w:i/>
          <w:iCs/>
          <w:sz w:val="22"/>
          <w:szCs w:val="22"/>
          <w:lang w:val="es-ES_tradnl"/>
        </w:rPr>
        <w:fldChar w:fldCharType="separate"/>
      </w:r>
      <w:r w:rsidR="001F2062" w:rsidRPr="00B966C6">
        <w:rPr>
          <w:rFonts w:ascii="Verdana" w:hAnsi="Verdana"/>
          <w:i/>
          <w:iCs/>
          <w:sz w:val="22"/>
          <w:szCs w:val="22"/>
          <w:lang w:val="es-ES_tradnl"/>
        </w:rPr>
        <w:t xml:space="preserve">Figura </w:t>
      </w:r>
      <w:r w:rsidR="001F2062">
        <w:rPr>
          <w:rFonts w:ascii="Verdana" w:hAnsi="Verdana"/>
          <w:i/>
          <w:iCs/>
          <w:noProof/>
          <w:sz w:val="22"/>
          <w:szCs w:val="22"/>
          <w:lang w:val="es-ES_tradnl"/>
        </w:rPr>
        <w:t>1</w:t>
      </w:r>
      <w:r w:rsidRPr="00B966C6">
        <w:rPr>
          <w:rFonts w:ascii="Verdana" w:hAnsi="Verdana"/>
          <w:i/>
          <w:iCs/>
          <w:sz w:val="22"/>
          <w:szCs w:val="22"/>
          <w:lang w:val="es-ES_tradnl"/>
        </w:rPr>
        <w:fldChar w:fldCharType="end"/>
      </w:r>
      <w:r w:rsidRPr="00B966C6">
        <w:rPr>
          <w:rFonts w:ascii="Verdana" w:hAnsi="Verdana"/>
          <w:i/>
          <w:iCs/>
          <w:sz w:val="22"/>
          <w:szCs w:val="22"/>
          <w:lang w:val="es-ES_tradnl"/>
        </w:rPr>
        <w:t>).</w:t>
      </w:r>
    </w:p>
    <w:p w14:paraId="5A8727BF" w14:textId="77777777" w:rsidR="007734BB" w:rsidRPr="00B966C6" w:rsidRDefault="007734BB" w:rsidP="007734BB">
      <w:pPr>
        <w:jc w:val="both"/>
        <w:rPr>
          <w:rFonts w:ascii="Verdana" w:hAnsi="Verdana"/>
          <w:i/>
          <w:iCs/>
          <w:sz w:val="22"/>
          <w:szCs w:val="22"/>
          <w:lang w:val="es-ES_tradnl"/>
        </w:rPr>
      </w:pPr>
    </w:p>
    <w:p w14:paraId="0E0CAFEB" w14:textId="77777777" w:rsidR="007734BB" w:rsidRPr="00B966C6" w:rsidRDefault="007734BB" w:rsidP="007734BB">
      <w:pPr>
        <w:keepNext/>
        <w:jc w:val="center"/>
        <w:rPr>
          <w:rFonts w:ascii="Verdana" w:hAnsi="Verdana"/>
          <w:i/>
          <w:iCs/>
          <w:sz w:val="22"/>
          <w:szCs w:val="22"/>
          <w:lang w:val="es-ES_tradnl"/>
        </w:rPr>
      </w:pPr>
      <w:r w:rsidRPr="00B966C6">
        <w:rPr>
          <w:rFonts w:ascii="Verdana" w:hAnsi="Verdana"/>
          <w:i/>
          <w:iCs/>
          <w:noProof/>
          <w:sz w:val="22"/>
          <w:szCs w:val="22"/>
          <w:lang w:val="es-ES_tradnl"/>
        </w:rPr>
        <w:drawing>
          <wp:inline distT="0" distB="0" distL="0" distR="0" wp14:anchorId="6CFD2121" wp14:editId="182C4E67">
            <wp:extent cx="5304422" cy="2519601"/>
            <wp:effectExtent l="0" t="0" r="0" b="0"/>
            <wp:docPr id="1182111210" name="Imagen 1182111210" descr="Interfaz de usuario gráfic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2111210" name="Imagen 1182111210" descr="Interfaz de usuario gráfica&#10;&#10;Descripción generada automáticamente"/>
                    <pic:cNvPicPr/>
                  </pic:nvPicPr>
                  <pic:blipFill>
                    <a:blip r:embed="rId10" cstate="print">
                      <a:extLst>
                        <a:ext uri="{28A0092B-C50C-407E-A947-70E740481C1C}">
                          <a14:useLocalDpi xmlns:a14="http://schemas.microsoft.com/office/drawing/2010/main" val="0"/>
                        </a:ext>
                      </a:extLst>
                    </a:blip>
                    <a:stretch>
                      <a:fillRect/>
                    </a:stretch>
                  </pic:blipFill>
                  <pic:spPr>
                    <a:xfrm>
                      <a:off x="0" y="0"/>
                      <a:ext cx="5304422" cy="2519601"/>
                    </a:xfrm>
                    <a:prstGeom prst="rect">
                      <a:avLst/>
                    </a:prstGeom>
                  </pic:spPr>
                </pic:pic>
              </a:graphicData>
            </a:graphic>
          </wp:inline>
        </w:drawing>
      </w:r>
    </w:p>
    <w:p w14:paraId="17C58292" w14:textId="54A6C68F" w:rsidR="007734BB" w:rsidRPr="00B966C6" w:rsidRDefault="007734BB" w:rsidP="007734BB">
      <w:pPr>
        <w:spacing w:after="200"/>
        <w:jc w:val="center"/>
        <w:rPr>
          <w:rFonts w:ascii="Verdana" w:hAnsi="Verdana"/>
          <w:i/>
          <w:iCs/>
          <w:sz w:val="18"/>
          <w:szCs w:val="18"/>
          <w:lang w:val="es-ES_tradnl"/>
        </w:rPr>
      </w:pPr>
      <w:bookmarkStart w:id="1" w:name="_Ref82430562"/>
      <w:r w:rsidRPr="00B966C6">
        <w:rPr>
          <w:rFonts w:ascii="Verdana" w:hAnsi="Verdana"/>
          <w:i/>
          <w:iCs/>
          <w:sz w:val="22"/>
          <w:szCs w:val="22"/>
          <w:lang w:val="es-ES_tradnl"/>
        </w:rPr>
        <w:t xml:space="preserve">Figura </w:t>
      </w:r>
      <w:r w:rsidRPr="00B966C6">
        <w:rPr>
          <w:rFonts w:ascii="Verdana" w:hAnsi="Verdana"/>
          <w:i/>
          <w:iCs/>
          <w:sz w:val="22"/>
          <w:szCs w:val="22"/>
          <w:lang w:val="es-ES_tradnl"/>
        </w:rPr>
        <w:fldChar w:fldCharType="begin"/>
      </w:r>
      <w:r w:rsidRPr="00B966C6">
        <w:rPr>
          <w:rFonts w:ascii="Verdana" w:hAnsi="Verdana"/>
          <w:i/>
          <w:iCs/>
          <w:sz w:val="22"/>
          <w:szCs w:val="22"/>
          <w:lang w:val="es-ES_tradnl"/>
        </w:rPr>
        <w:instrText xml:space="preserve"> SEQ Figura \* ARABIC </w:instrText>
      </w:r>
      <w:r w:rsidRPr="00B966C6">
        <w:rPr>
          <w:rFonts w:ascii="Verdana" w:hAnsi="Verdana"/>
          <w:i/>
          <w:iCs/>
          <w:sz w:val="22"/>
          <w:szCs w:val="22"/>
          <w:lang w:val="es-ES_tradnl"/>
        </w:rPr>
        <w:fldChar w:fldCharType="separate"/>
      </w:r>
      <w:r w:rsidR="001F2062">
        <w:rPr>
          <w:rFonts w:ascii="Verdana" w:hAnsi="Verdana"/>
          <w:i/>
          <w:iCs/>
          <w:noProof/>
          <w:sz w:val="22"/>
          <w:szCs w:val="22"/>
          <w:lang w:val="es-ES_tradnl"/>
        </w:rPr>
        <w:t>1</w:t>
      </w:r>
      <w:r w:rsidRPr="00B966C6">
        <w:rPr>
          <w:rFonts w:ascii="Verdana" w:hAnsi="Verdana"/>
          <w:i/>
          <w:iCs/>
          <w:sz w:val="22"/>
          <w:szCs w:val="22"/>
          <w:lang w:val="es-ES_tradnl"/>
        </w:rPr>
        <w:fldChar w:fldCharType="end"/>
      </w:r>
      <w:bookmarkEnd w:id="1"/>
      <w:r w:rsidRPr="00B966C6">
        <w:rPr>
          <w:rFonts w:ascii="Verdana" w:hAnsi="Verdana"/>
          <w:i/>
          <w:iCs/>
          <w:sz w:val="22"/>
          <w:szCs w:val="22"/>
          <w:lang w:val="es-ES_tradnl"/>
        </w:rPr>
        <w:t>. Avances Resolución 1125 de 2021 a la fecha</w:t>
      </w:r>
    </w:p>
    <w:p w14:paraId="651EDBBD" w14:textId="1ACA6BC3" w:rsidR="007602A4" w:rsidRPr="00B966C6" w:rsidRDefault="007734BB" w:rsidP="00674FA3">
      <w:pPr>
        <w:autoSpaceDE w:val="0"/>
        <w:autoSpaceDN w:val="0"/>
        <w:adjustRightInd w:val="0"/>
        <w:jc w:val="both"/>
        <w:rPr>
          <w:rFonts w:ascii="Verdana" w:hAnsi="Verdana"/>
          <w:b/>
          <w:bCs/>
          <w:i/>
          <w:iCs/>
          <w:color w:val="000000"/>
          <w:sz w:val="16"/>
          <w:szCs w:val="16"/>
          <w:shd w:val="clear" w:color="auto" w:fill="FFFFFF"/>
        </w:rPr>
      </w:pPr>
      <w:bookmarkStart w:id="2" w:name="_Hlk147479943"/>
      <w:r w:rsidRPr="00B966C6">
        <w:rPr>
          <w:rFonts w:ascii="Verdana" w:hAnsi="Verdana" w:cs="CIDFont+F7"/>
          <w:b/>
          <w:bCs/>
          <w:i/>
          <w:iCs/>
          <w:sz w:val="16"/>
          <w:szCs w:val="16"/>
          <w:lang w:val="es-CO" w:eastAsia="en-US"/>
        </w:rPr>
        <w:lastRenderedPageBreak/>
        <w:t>Nota</w:t>
      </w:r>
      <w:r w:rsidR="007602A4" w:rsidRPr="00B966C6">
        <w:rPr>
          <w:rFonts w:ascii="Verdana" w:hAnsi="Verdana" w:cs="CIDFont+F7"/>
          <w:b/>
          <w:bCs/>
          <w:i/>
          <w:iCs/>
          <w:sz w:val="16"/>
          <w:szCs w:val="16"/>
          <w:lang w:val="es-CO" w:eastAsia="en-US"/>
        </w:rPr>
        <w:t xml:space="preserve"> 1.</w:t>
      </w:r>
      <w:r w:rsidRPr="00B966C6">
        <w:rPr>
          <w:rFonts w:ascii="Verdana" w:hAnsi="Verdana" w:cs="CIDFont+F7"/>
          <w:i/>
          <w:iCs/>
          <w:sz w:val="16"/>
          <w:szCs w:val="16"/>
          <w:lang w:val="es-CO" w:eastAsia="en-US"/>
        </w:rPr>
        <w:t xml:space="preserve"> Los anteriores datos, se calcularon de la siguiente forma: i) para los procesos que no surtieron modificaciones en sus polígonos, las hectáreas</w:t>
      </w:r>
      <w:r w:rsidR="00DC5E21" w:rsidRPr="00B966C6">
        <w:rPr>
          <w:rFonts w:ascii="Verdana" w:hAnsi="Verdana" w:cs="CIDFont+F7"/>
          <w:i/>
          <w:iCs/>
          <w:sz w:val="16"/>
          <w:szCs w:val="16"/>
          <w:lang w:val="es-CO" w:eastAsia="en-US"/>
        </w:rPr>
        <w:t xml:space="preserve"> </w:t>
      </w:r>
      <w:r w:rsidRPr="00B966C6">
        <w:rPr>
          <w:rFonts w:ascii="Verdana" w:hAnsi="Verdana" w:cs="CIDFont+F7"/>
          <w:i/>
          <w:iCs/>
          <w:sz w:val="16"/>
          <w:szCs w:val="16"/>
          <w:lang w:val="es-CO" w:eastAsia="en-US"/>
        </w:rPr>
        <w:t xml:space="preserve">corresponden a las descritas en la Resolución </w:t>
      </w:r>
      <w:r w:rsidR="007602A4" w:rsidRPr="00B966C6">
        <w:rPr>
          <w:rFonts w:ascii="Verdana" w:hAnsi="Verdana" w:cs="CIDFont+F7"/>
          <w:i/>
          <w:iCs/>
          <w:sz w:val="16"/>
          <w:szCs w:val="16"/>
          <w:lang w:val="es-CO" w:eastAsia="en-US"/>
        </w:rPr>
        <w:t>1125 de</w:t>
      </w:r>
      <w:r w:rsidRPr="00B966C6">
        <w:rPr>
          <w:rFonts w:ascii="Verdana" w:hAnsi="Verdana" w:cs="CIDFont+F7"/>
          <w:i/>
          <w:iCs/>
          <w:sz w:val="16"/>
          <w:szCs w:val="16"/>
          <w:lang w:val="es-CO" w:eastAsia="en-US"/>
        </w:rPr>
        <w:t xml:space="preserve"> 20</w:t>
      </w:r>
      <w:r w:rsidR="007602A4" w:rsidRPr="00B966C6">
        <w:rPr>
          <w:rFonts w:ascii="Verdana" w:hAnsi="Verdana" w:cs="CIDFont+F7"/>
          <w:i/>
          <w:iCs/>
          <w:sz w:val="16"/>
          <w:szCs w:val="16"/>
          <w:lang w:val="es-CO" w:eastAsia="en-US"/>
        </w:rPr>
        <w:t>21</w:t>
      </w:r>
      <w:r w:rsidRPr="00B966C6">
        <w:rPr>
          <w:rFonts w:ascii="Verdana" w:hAnsi="Verdana" w:cs="CIDFont+F7"/>
          <w:i/>
          <w:iCs/>
          <w:sz w:val="16"/>
          <w:szCs w:val="16"/>
          <w:lang w:val="es-CO" w:eastAsia="en-US"/>
        </w:rPr>
        <w:t>,</w:t>
      </w:r>
      <w:r w:rsidR="007602A4" w:rsidRPr="00B966C6">
        <w:rPr>
          <w:rFonts w:ascii="Verdana" w:hAnsi="Verdana" w:cs="CIDFont+F7"/>
          <w:i/>
          <w:iCs/>
          <w:sz w:val="16"/>
          <w:szCs w:val="16"/>
          <w:lang w:val="es-CO" w:eastAsia="en-US"/>
        </w:rPr>
        <w:t xml:space="preserve"> de acuerdo con el sistema de referencia</w:t>
      </w:r>
      <w:r w:rsidR="007602A4" w:rsidRPr="00B966C6">
        <w:rPr>
          <w:rFonts w:ascii="Verdana" w:hAnsi="Verdana"/>
          <w:i/>
          <w:iCs/>
          <w:color w:val="000000"/>
          <w:sz w:val="16"/>
          <w:szCs w:val="16"/>
          <w:shd w:val="clear" w:color="auto" w:fill="FFFFFF"/>
        </w:rPr>
        <w:t> </w:t>
      </w:r>
      <w:r w:rsidR="007602A4" w:rsidRPr="00B966C6">
        <w:rPr>
          <w:rFonts w:ascii="Verdana" w:hAnsi="Verdana"/>
          <w:b/>
          <w:bCs/>
          <w:i/>
          <w:iCs/>
          <w:color w:val="000000"/>
          <w:sz w:val="16"/>
          <w:szCs w:val="16"/>
          <w:shd w:val="clear" w:color="auto" w:fill="FFFFFF"/>
        </w:rPr>
        <w:t xml:space="preserve">MAGNA SIRGAS Origen Bogotá. </w:t>
      </w:r>
      <w:r w:rsidR="007602A4" w:rsidRPr="00E2177A">
        <w:rPr>
          <w:rFonts w:ascii="Verdana" w:hAnsi="Verdana"/>
          <w:i/>
          <w:iCs/>
          <w:color w:val="000000"/>
          <w:sz w:val="16"/>
          <w:szCs w:val="16"/>
          <w:shd w:val="clear" w:color="auto" w:fill="FFFFFF"/>
        </w:rPr>
        <w:t>ii</w:t>
      </w:r>
      <w:r w:rsidR="007602A4" w:rsidRPr="00B966C6">
        <w:rPr>
          <w:rFonts w:ascii="Verdana" w:hAnsi="Verdana"/>
          <w:b/>
          <w:bCs/>
          <w:i/>
          <w:iCs/>
          <w:color w:val="000000"/>
          <w:sz w:val="16"/>
          <w:szCs w:val="16"/>
          <w:shd w:val="clear" w:color="auto" w:fill="FFFFFF"/>
        </w:rPr>
        <w:t xml:space="preserve">. </w:t>
      </w:r>
      <w:r w:rsidR="007602A4" w:rsidRPr="00B966C6">
        <w:rPr>
          <w:rFonts w:ascii="Verdana" w:hAnsi="Verdana"/>
          <w:i/>
          <w:iCs/>
          <w:color w:val="000000"/>
          <w:sz w:val="16"/>
          <w:szCs w:val="16"/>
          <w:shd w:val="clear" w:color="auto" w:fill="FFFFFF"/>
        </w:rPr>
        <w:t>para los procesos que presentaron modificación en el polígono, se tomó el último dato reportado en el shapefile (Cálculo en Magna Sirgas Origen Nacional) por la Corporación atendiendo a los avances en el marco de la Ruta para la declaratoria de áreas protegidas.</w:t>
      </w:r>
    </w:p>
    <w:p w14:paraId="737DE5D3" w14:textId="11769C47" w:rsidR="007602A4" w:rsidRPr="00B966C6" w:rsidRDefault="007602A4" w:rsidP="00674FA3">
      <w:pPr>
        <w:autoSpaceDE w:val="0"/>
        <w:autoSpaceDN w:val="0"/>
        <w:adjustRightInd w:val="0"/>
        <w:jc w:val="both"/>
        <w:rPr>
          <w:rFonts w:ascii="Verdana" w:hAnsi="Verdana" w:cs="CIDFont+F7"/>
          <w:i/>
          <w:iCs/>
          <w:sz w:val="16"/>
          <w:szCs w:val="16"/>
          <w:lang w:val="es-CO" w:eastAsia="en-US"/>
        </w:rPr>
      </w:pPr>
      <w:r w:rsidRPr="00B966C6">
        <w:rPr>
          <w:rFonts w:ascii="Verdana" w:hAnsi="Verdana"/>
          <w:b/>
          <w:bCs/>
          <w:i/>
          <w:iCs/>
          <w:color w:val="000000"/>
          <w:sz w:val="16"/>
          <w:szCs w:val="16"/>
          <w:shd w:val="clear" w:color="auto" w:fill="FFFFFF"/>
        </w:rPr>
        <w:t>Nota 2.</w:t>
      </w:r>
      <w:r w:rsidR="007734BB" w:rsidRPr="00B966C6">
        <w:rPr>
          <w:rFonts w:ascii="Verdana" w:hAnsi="Verdana" w:cs="CIDFont+F7"/>
          <w:i/>
          <w:iCs/>
          <w:sz w:val="16"/>
          <w:szCs w:val="16"/>
          <w:lang w:val="es-CO" w:eastAsia="en-US"/>
        </w:rPr>
        <w:t xml:space="preserve"> </w:t>
      </w:r>
      <w:r w:rsidRPr="00B966C6">
        <w:rPr>
          <w:rFonts w:ascii="Verdana" w:hAnsi="Verdana" w:cs="CIDFont+F7"/>
          <w:i/>
          <w:iCs/>
          <w:sz w:val="16"/>
          <w:szCs w:val="16"/>
          <w:lang w:val="es-CO" w:eastAsia="en-US"/>
        </w:rPr>
        <w:t xml:space="preserve">El sistema de referencia para la información cartográfica de esta prórroga se presenta bajo las especificaciones técnicas del literal a del numeral i de la Resolución 471 de 2020 del IGAC, </w:t>
      </w:r>
      <w:r w:rsidRPr="00B966C6">
        <w:rPr>
          <w:rFonts w:ascii="Verdana" w:hAnsi="Verdana" w:cs="CIDFont+F7"/>
          <w:b/>
          <w:bCs/>
          <w:i/>
          <w:iCs/>
          <w:sz w:val="16"/>
          <w:szCs w:val="16"/>
          <w:lang w:val="es-CO" w:eastAsia="en-US"/>
        </w:rPr>
        <w:t>Sistema de referencia horizontal. MAGNA SIRGAS Origen Nacional</w:t>
      </w:r>
      <w:r w:rsidRPr="00B966C6">
        <w:rPr>
          <w:rFonts w:ascii="Verdana" w:hAnsi="Verdana" w:cs="CIDFont+F7"/>
          <w:i/>
          <w:iCs/>
          <w:sz w:val="16"/>
          <w:szCs w:val="16"/>
          <w:lang w:val="es-CO" w:eastAsia="en-US"/>
        </w:rPr>
        <w:t>.</w:t>
      </w:r>
    </w:p>
    <w:p w14:paraId="6EA5A9D5" w14:textId="5A5E8DA1" w:rsidR="007602A4" w:rsidRPr="00B966C6" w:rsidRDefault="007602A4" w:rsidP="00674FA3">
      <w:pPr>
        <w:jc w:val="both"/>
        <w:rPr>
          <w:rFonts w:ascii="Verdana" w:hAnsi="Verdana" w:cs="CIDFont+F7"/>
          <w:i/>
          <w:iCs/>
          <w:sz w:val="16"/>
          <w:szCs w:val="16"/>
          <w:lang w:val="es-CO" w:eastAsia="en-US"/>
        </w:rPr>
      </w:pPr>
      <w:r w:rsidRPr="00B966C6">
        <w:rPr>
          <w:rFonts w:ascii="Verdana" w:hAnsi="Verdana" w:cs="CIDFont+F7"/>
          <w:b/>
          <w:bCs/>
          <w:i/>
          <w:iCs/>
          <w:sz w:val="16"/>
          <w:szCs w:val="16"/>
          <w:lang w:val="es-CO" w:eastAsia="en-US"/>
        </w:rPr>
        <w:t>Nota 3.</w:t>
      </w:r>
      <w:r w:rsidRPr="00B966C6">
        <w:rPr>
          <w:rFonts w:ascii="Verdana" w:hAnsi="Verdana" w:cs="CIDFont+F7"/>
          <w:i/>
          <w:iCs/>
          <w:sz w:val="16"/>
          <w:szCs w:val="16"/>
          <w:lang w:val="es-CO" w:eastAsia="en-US"/>
        </w:rPr>
        <w:t xml:space="preserve"> Es necesario precisar que las áreas de la Resolución 1125 de 2021 fueron calculadas en el sistema de referencia </w:t>
      </w:r>
      <w:r w:rsidRPr="00B966C6">
        <w:rPr>
          <w:rFonts w:ascii="Verdana" w:hAnsi="Verdana" w:cs="CIDFont+F7"/>
          <w:b/>
          <w:bCs/>
          <w:i/>
          <w:iCs/>
          <w:sz w:val="16"/>
          <w:szCs w:val="16"/>
          <w:lang w:val="es-CO" w:eastAsia="en-US"/>
        </w:rPr>
        <w:t>MAGNA SIRGAS Origen Bogotá</w:t>
      </w:r>
      <w:r w:rsidRPr="00B966C6">
        <w:rPr>
          <w:rFonts w:ascii="Verdana" w:hAnsi="Verdana" w:cs="CIDFont+F7"/>
          <w:i/>
          <w:iCs/>
          <w:sz w:val="16"/>
          <w:szCs w:val="16"/>
          <w:lang w:val="es-CO" w:eastAsia="en-US"/>
        </w:rPr>
        <w:t xml:space="preserve">, sin embargo, de acuerdo con las especificaciones técnicas del literal a del numeral i de la Resolución 471 de 2020 del IGAC, las áreas calculadas en la presente resolución corresponden al Sistema de referencia horizontal </w:t>
      </w:r>
      <w:r w:rsidRPr="00B966C6">
        <w:rPr>
          <w:rFonts w:ascii="Verdana" w:hAnsi="Verdana" w:cs="CIDFont+F7"/>
          <w:b/>
          <w:bCs/>
          <w:i/>
          <w:iCs/>
          <w:sz w:val="16"/>
          <w:szCs w:val="16"/>
          <w:lang w:val="es-CO" w:eastAsia="en-US"/>
        </w:rPr>
        <w:t>MAGNA SIRGAS Origen Nacional</w:t>
      </w:r>
      <w:r w:rsidRPr="00B966C6">
        <w:rPr>
          <w:rFonts w:ascii="Verdana" w:hAnsi="Verdana" w:cs="CIDFont+F7"/>
          <w:i/>
          <w:iCs/>
          <w:sz w:val="16"/>
          <w:szCs w:val="16"/>
          <w:lang w:val="es-CO" w:eastAsia="en-US"/>
        </w:rPr>
        <w:t>. Este cambio del sistema de referencia puede generar cambios en las áreas, sin embargo, no en los límites de los polígonos.</w:t>
      </w:r>
    </w:p>
    <w:bookmarkEnd w:id="2"/>
    <w:p w14:paraId="1308A05E" w14:textId="77777777" w:rsidR="007734BB" w:rsidRPr="00B966C6" w:rsidRDefault="007734BB" w:rsidP="007734BB">
      <w:pPr>
        <w:jc w:val="both"/>
        <w:rPr>
          <w:rFonts w:ascii="Verdana" w:hAnsi="Verdana"/>
          <w:i/>
          <w:iCs/>
          <w:szCs w:val="24"/>
          <w:lang w:val="es-ES_tradnl"/>
        </w:rPr>
      </w:pPr>
    </w:p>
    <w:p w14:paraId="3B214879" w14:textId="77777777" w:rsidR="0048516D" w:rsidRPr="0048516D" w:rsidRDefault="0048516D" w:rsidP="0048516D">
      <w:pPr>
        <w:jc w:val="both"/>
        <w:rPr>
          <w:rFonts w:ascii="Verdana" w:hAnsi="Verdana"/>
          <w:i/>
          <w:iCs/>
          <w:sz w:val="22"/>
          <w:szCs w:val="22"/>
          <w:lang w:val="es-ES_tradnl"/>
        </w:rPr>
      </w:pPr>
      <w:r w:rsidRPr="0048516D">
        <w:rPr>
          <w:rFonts w:ascii="Verdana" w:hAnsi="Verdana"/>
          <w:i/>
          <w:iCs/>
          <w:sz w:val="22"/>
          <w:szCs w:val="22"/>
          <w:lang w:val="es-ES_tradnl"/>
        </w:rPr>
        <w:t>Es relevante mencionar que la Resolución 1125 de 2021 proferida por el Ministerio de Ambiente y Desarrollo Sostenible consideró la ampliación de 14 polígonos, sin embargo, la autoridad ambiental CDMB solicitó la división del Polígono 48, el cual quedó distribuido como Polígono 48a “Bosques El Aburrido Honduras” y 48b denominado de igual manera, por lo que se consideró entonces la prórroga de 15 polígonos.</w:t>
      </w:r>
    </w:p>
    <w:p w14:paraId="06E60BAC" w14:textId="77777777" w:rsidR="0048516D" w:rsidRPr="0048516D" w:rsidRDefault="0048516D" w:rsidP="0048516D">
      <w:pPr>
        <w:jc w:val="both"/>
        <w:rPr>
          <w:rFonts w:ascii="Verdana" w:hAnsi="Verdana"/>
          <w:i/>
          <w:iCs/>
          <w:sz w:val="22"/>
          <w:szCs w:val="22"/>
          <w:lang w:val="es-ES_tradnl"/>
        </w:rPr>
      </w:pPr>
    </w:p>
    <w:p w14:paraId="425A846D" w14:textId="77777777" w:rsidR="0048516D" w:rsidRPr="0048516D" w:rsidRDefault="0048516D" w:rsidP="0048516D">
      <w:pPr>
        <w:jc w:val="both"/>
        <w:rPr>
          <w:rFonts w:ascii="Verdana" w:hAnsi="Verdana"/>
          <w:i/>
          <w:iCs/>
          <w:sz w:val="22"/>
          <w:szCs w:val="22"/>
          <w:lang w:val="es-ES_tradnl"/>
        </w:rPr>
      </w:pPr>
      <w:r w:rsidRPr="0048516D">
        <w:rPr>
          <w:rFonts w:ascii="Verdana" w:hAnsi="Verdana"/>
          <w:i/>
          <w:iCs/>
          <w:sz w:val="22"/>
          <w:szCs w:val="22"/>
          <w:lang w:val="es-ES_tradnl"/>
        </w:rPr>
        <w:t>Es importante resaltar, que cada uno de los procesos de declaratoria ha contado con la vinculación de diferentes actores de tipo institucional, sectorial y comunitario, claves para asegurar el éxito en la declaratoria de un área protegida, atendiendo lo dispuesto al respecto en la Resolución 1125 de 2015 (ruta para la declaratoria de áreas protegidas públicas).</w:t>
      </w:r>
    </w:p>
    <w:p w14:paraId="25971341" w14:textId="77777777" w:rsidR="0048516D" w:rsidRPr="0048516D" w:rsidRDefault="0048516D" w:rsidP="0048516D">
      <w:pPr>
        <w:jc w:val="both"/>
        <w:rPr>
          <w:rFonts w:ascii="Verdana" w:hAnsi="Verdana"/>
          <w:i/>
          <w:iCs/>
          <w:sz w:val="22"/>
          <w:szCs w:val="22"/>
          <w:lang w:val="es-ES_tradnl"/>
        </w:rPr>
      </w:pPr>
    </w:p>
    <w:p w14:paraId="2FCA6D4C" w14:textId="0ABB2441" w:rsidR="0048516D" w:rsidRPr="0048516D" w:rsidRDefault="0048516D" w:rsidP="0048516D">
      <w:pPr>
        <w:jc w:val="both"/>
        <w:rPr>
          <w:rFonts w:ascii="Verdana" w:hAnsi="Verdana"/>
          <w:i/>
          <w:iCs/>
          <w:sz w:val="22"/>
          <w:szCs w:val="22"/>
          <w:lang w:val="es-ES_tradnl"/>
        </w:rPr>
      </w:pPr>
      <w:bookmarkStart w:id="3" w:name="_Hlk84261705"/>
      <w:bookmarkStart w:id="4" w:name="_Hlk84261663"/>
      <w:r w:rsidRPr="0048516D">
        <w:rPr>
          <w:rFonts w:ascii="Verdana" w:hAnsi="Verdana"/>
          <w:i/>
          <w:iCs/>
          <w:sz w:val="22"/>
          <w:szCs w:val="22"/>
          <w:lang w:val="es-ES_tradnl"/>
        </w:rPr>
        <w:t>De manera más detallada, a partir de análisis adelantado por este Ministerio, se tienen los siguientes resultados y avances en la ruta declaratoria, en cada una de las zonas de protección contenidas en la Resolución 1125 de 2021</w:t>
      </w:r>
      <w:bookmarkEnd w:id="3"/>
      <w:r w:rsidR="001F2062">
        <w:rPr>
          <w:rFonts w:ascii="Verdana" w:hAnsi="Verdana"/>
          <w:i/>
          <w:iCs/>
          <w:sz w:val="22"/>
          <w:szCs w:val="22"/>
          <w:lang w:val="es-ES_tradnl"/>
        </w:rPr>
        <w:t>.</w:t>
      </w:r>
    </w:p>
    <w:p w14:paraId="03CFB76F" w14:textId="77777777" w:rsidR="0048516D" w:rsidRPr="0048516D" w:rsidRDefault="0048516D" w:rsidP="0048516D">
      <w:pPr>
        <w:jc w:val="both"/>
        <w:rPr>
          <w:rFonts w:ascii="Verdana" w:hAnsi="Verdana"/>
          <w:i/>
          <w:iCs/>
          <w:sz w:val="22"/>
          <w:szCs w:val="22"/>
          <w:lang w:val="es-ES_tradnl"/>
        </w:rPr>
      </w:pPr>
    </w:p>
    <w:p w14:paraId="52BCC0FD" w14:textId="2AFFF478" w:rsidR="0048516D" w:rsidRPr="00B966C6" w:rsidRDefault="0048516D" w:rsidP="0048516D">
      <w:pPr>
        <w:jc w:val="center"/>
        <w:rPr>
          <w:rFonts w:ascii="Verdana" w:hAnsi="Verdana"/>
          <w:i/>
          <w:iCs/>
          <w:sz w:val="18"/>
          <w:szCs w:val="18"/>
          <w:lang w:val="es-ES_tradnl"/>
        </w:rPr>
      </w:pPr>
      <w:r w:rsidRPr="0048516D">
        <w:rPr>
          <w:rFonts w:ascii="Verdana" w:hAnsi="Verdana"/>
          <w:i/>
          <w:iCs/>
          <w:sz w:val="18"/>
          <w:szCs w:val="18"/>
          <w:lang w:val="es-ES_tradnl"/>
        </w:rPr>
        <w:t xml:space="preserve">Tabla </w:t>
      </w:r>
      <w:r w:rsidRPr="0048516D">
        <w:rPr>
          <w:rFonts w:ascii="Verdana" w:hAnsi="Verdana"/>
          <w:i/>
          <w:iCs/>
          <w:sz w:val="18"/>
          <w:szCs w:val="18"/>
          <w:lang w:val="es-ES_tradnl"/>
        </w:rPr>
        <w:fldChar w:fldCharType="begin"/>
      </w:r>
      <w:r w:rsidRPr="0048516D">
        <w:rPr>
          <w:rFonts w:ascii="Verdana" w:hAnsi="Verdana"/>
          <w:i/>
          <w:iCs/>
          <w:sz w:val="18"/>
          <w:szCs w:val="18"/>
          <w:lang w:val="es-ES_tradnl"/>
        </w:rPr>
        <w:instrText xml:space="preserve"> SEQ Tabla \* ARABIC </w:instrText>
      </w:r>
      <w:r w:rsidRPr="0048516D">
        <w:rPr>
          <w:rFonts w:ascii="Verdana" w:hAnsi="Verdana"/>
          <w:i/>
          <w:iCs/>
          <w:sz w:val="18"/>
          <w:szCs w:val="18"/>
          <w:lang w:val="es-ES_tradnl"/>
        </w:rPr>
        <w:fldChar w:fldCharType="separate"/>
      </w:r>
      <w:r w:rsidR="001F2062">
        <w:rPr>
          <w:rFonts w:ascii="Verdana" w:hAnsi="Verdana"/>
          <w:i/>
          <w:iCs/>
          <w:noProof/>
          <w:sz w:val="18"/>
          <w:szCs w:val="18"/>
          <w:lang w:val="es-ES_tradnl"/>
        </w:rPr>
        <w:t>1</w:t>
      </w:r>
      <w:r w:rsidRPr="0048516D">
        <w:rPr>
          <w:rFonts w:ascii="Verdana" w:hAnsi="Verdana"/>
          <w:i/>
          <w:iCs/>
          <w:sz w:val="18"/>
          <w:szCs w:val="18"/>
          <w:lang w:val="es-ES_tradnl"/>
        </w:rPr>
        <w:fldChar w:fldCharType="end"/>
      </w:r>
      <w:r w:rsidRPr="0048516D">
        <w:rPr>
          <w:rFonts w:ascii="Verdana" w:hAnsi="Verdana"/>
          <w:i/>
          <w:iCs/>
          <w:sz w:val="18"/>
          <w:szCs w:val="18"/>
          <w:lang w:val="es-ES_tradnl"/>
        </w:rPr>
        <w:t>. Análisis del avance en los procesos de declaratoria de áreas protegidas en las zonas de protección.</w:t>
      </w:r>
    </w:p>
    <w:p w14:paraId="12ED4513" w14:textId="77777777" w:rsidR="0048516D" w:rsidRPr="0048516D" w:rsidRDefault="0048516D" w:rsidP="0048516D">
      <w:pPr>
        <w:jc w:val="both"/>
        <w:rPr>
          <w:rFonts w:ascii="Verdana" w:hAnsi="Verdana"/>
          <w:i/>
          <w:iCs/>
          <w:sz w:val="22"/>
          <w:szCs w:val="22"/>
          <w:lang w:val="es-ES_tradnl"/>
        </w:rPr>
      </w:pPr>
    </w:p>
    <w:tbl>
      <w:tblPr>
        <w:tblW w:w="5000" w:type="pct"/>
        <w:tblCellMar>
          <w:left w:w="70" w:type="dxa"/>
          <w:right w:w="70" w:type="dxa"/>
        </w:tblCellMar>
        <w:tblLook w:val="06A0" w:firstRow="1" w:lastRow="0" w:firstColumn="1" w:lastColumn="0" w:noHBand="1" w:noVBand="1"/>
      </w:tblPr>
      <w:tblGrid>
        <w:gridCol w:w="1133"/>
        <w:gridCol w:w="1029"/>
        <w:gridCol w:w="734"/>
        <w:gridCol w:w="995"/>
        <w:gridCol w:w="977"/>
        <w:gridCol w:w="919"/>
        <w:gridCol w:w="919"/>
        <w:gridCol w:w="919"/>
        <w:gridCol w:w="800"/>
        <w:gridCol w:w="349"/>
        <w:gridCol w:w="420"/>
      </w:tblGrid>
      <w:tr w:rsidR="0048516D" w:rsidRPr="00B966C6" w14:paraId="4245CA07" w14:textId="77777777" w:rsidTr="00E2177A">
        <w:trPr>
          <w:trHeight w:val="540"/>
        </w:trPr>
        <w:tc>
          <w:tcPr>
            <w:tcW w:w="1175" w:type="pct"/>
            <w:gridSpan w:val="2"/>
            <w:tcBorders>
              <w:top w:val="nil"/>
              <w:left w:val="single" w:sz="8" w:space="0" w:color="auto"/>
              <w:bottom w:val="single" w:sz="8" w:space="0" w:color="auto"/>
              <w:right w:val="single" w:sz="8" w:space="0" w:color="000000"/>
            </w:tcBorders>
            <w:shd w:val="clear" w:color="000000" w:fill="BFBFBF"/>
            <w:vAlign w:val="center"/>
            <w:hideMark/>
          </w:tcPr>
          <w:p w14:paraId="2E44956F" w14:textId="77777777" w:rsidR="0048516D" w:rsidRPr="00E2177A" w:rsidRDefault="0048516D" w:rsidP="0048516D">
            <w:pPr>
              <w:jc w:val="both"/>
              <w:rPr>
                <w:rFonts w:ascii="Verdana" w:hAnsi="Verdana"/>
                <w:b/>
                <w:bCs/>
                <w:i/>
                <w:iCs/>
                <w:sz w:val="14"/>
                <w:szCs w:val="14"/>
                <w:lang w:val="es-CO"/>
              </w:rPr>
            </w:pPr>
            <w:r w:rsidRPr="00E2177A">
              <w:rPr>
                <w:rFonts w:ascii="Verdana" w:hAnsi="Verdana"/>
                <w:b/>
                <w:bCs/>
                <w:i/>
                <w:iCs/>
                <w:sz w:val="14"/>
                <w:szCs w:val="14"/>
                <w:lang w:val="es-ES_tradnl"/>
              </w:rPr>
              <w:t>Fase de la ruta</w:t>
            </w:r>
          </w:p>
        </w:tc>
        <w:tc>
          <w:tcPr>
            <w:tcW w:w="399" w:type="pct"/>
            <w:tcBorders>
              <w:top w:val="single" w:sz="8" w:space="0" w:color="auto"/>
              <w:left w:val="nil"/>
              <w:bottom w:val="nil"/>
              <w:right w:val="single" w:sz="8" w:space="0" w:color="auto"/>
            </w:tcBorders>
            <w:shd w:val="clear" w:color="000000" w:fill="BFBFBF"/>
            <w:vAlign w:val="center"/>
            <w:hideMark/>
          </w:tcPr>
          <w:p w14:paraId="18258FE7" w14:textId="77777777" w:rsidR="0048516D" w:rsidRPr="00E2177A" w:rsidRDefault="0048516D" w:rsidP="0048516D">
            <w:pPr>
              <w:jc w:val="both"/>
              <w:rPr>
                <w:rFonts w:ascii="Verdana" w:hAnsi="Verdana"/>
                <w:b/>
                <w:bCs/>
                <w:i/>
                <w:iCs/>
                <w:sz w:val="14"/>
                <w:szCs w:val="14"/>
                <w:lang w:val="es-CO"/>
              </w:rPr>
            </w:pPr>
            <w:r w:rsidRPr="00E2177A">
              <w:rPr>
                <w:rFonts w:ascii="Verdana" w:hAnsi="Verdana"/>
                <w:b/>
                <w:bCs/>
                <w:i/>
                <w:iCs/>
                <w:sz w:val="14"/>
                <w:szCs w:val="14"/>
                <w:lang w:val="es-ES_tradnl"/>
              </w:rPr>
              <w:t>N° Polígono</w:t>
            </w:r>
          </w:p>
        </w:tc>
        <w:tc>
          <w:tcPr>
            <w:tcW w:w="541" w:type="pct"/>
            <w:tcBorders>
              <w:top w:val="single" w:sz="8" w:space="0" w:color="auto"/>
              <w:left w:val="nil"/>
              <w:bottom w:val="nil"/>
              <w:right w:val="single" w:sz="8" w:space="0" w:color="auto"/>
            </w:tcBorders>
            <w:shd w:val="clear" w:color="000000" w:fill="BFBFBF"/>
            <w:vAlign w:val="center"/>
            <w:hideMark/>
          </w:tcPr>
          <w:p w14:paraId="740E5CD1" w14:textId="77777777" w:rsidR="0048516D" w:rsidRPr="00E2177A" w:rsidRDefault="0048516D" w:rsidP="0048516D">
            <w:pPr>
              <w:jc w:val="both"/>
              <w:rPr>
                <w:rFonts w:ascii="Verdana" w:hAnsi="Verdana"/>
                <w:b/>
                <w:bCs/>
                <w:i/>
                <w:iCs/>
                <w:sz w:val="14"/>
                <w:szCs w:val="14"/>
                <w:lang w:val="es-CO"/>
              </w:rPr>
            </w:pPr>
            <w:r w:rsidRPr="00E2177A">
              <w:rPr>
                <w:rFonts w:ascii="Verdana" w:hAnsi="Verdana"/>
                <w:b/>
                <w:bCs/>
                <w:i/>
                <w:iCs/>
                <w:sz w:val="14"/>
                <w:szCs w:val="14"/>
                <w:lang w:val="es-ES_tradnl"/>
              </w:rPr>
              <w:t>Corporación</w:t>
            </w:r>
          </w:p>
        </w:tc>
        <w:tc>
          <w:tcPr>
            <w:tcW w:w="531" w:type="pct"/>
            <w:tcBorders>
              <w:top w:val="single" w:sz="8" w:space="0" w:color="auto"/>
              <w:left w:val="nil"/>
              <w:bottom w:val="nil"/>
              <w:right w:val="single" w:sz="8" w:space="0" w:color="auto"/>
            </w:tcBorders>
            <w:shd w:val="clear" w:color="000000" w:fill="BFBFBF"/>
            <w:vAlign w:val="center"/>
            <w:hideMark/>
          </w:tcPr>
          <w:p w14:paraId="660BBE33" w14:textId="77777777" w:rsidR="0048516D" w:rsidRPr="00E2177A" w:rsidRDefault="0048516D" w:rsidP="0048516D">
            <w:pPr>
              <w:jc w:val="both"/>
              <w:rPr>
                <w:rFonts w:ascii="Verdana" w:hAnsi="Verdana"/>
                <w:b/>
                <w:bCs/>
                <w:i/>
                <w:iCs/>
                <w:sz w:val="14"/>
                <w:szCs w:val="14"/>
                <w:lang w:val="es-CO"/>
              </w:rPr>
            </w:pPr>
            <w:r w:rsidRPr="00E2177A">
              <w:rPr>
                <w:rFonts w:ascii="Verdana" w:hAnsi="Verdana"/>
                <w:b/>
                <w:bCs/>
                <w:i/>
                <w:iCs/>
                <w:sz w:val="14"/>
                <w:szCs w:val="14"/>
                <w:lang w:val="es-ES_tradnl"/>
              </w:rPr>
              <w:t>Nombre del área</w:t>
            </w:r>
          </w:p>
        </w:tc>
        <w:tc>
          <w:tcPr>
            <w:tcW w:w="500" w:type="pct"/>
            <w:vMerge w:val="restart"/>
            <w:tcBorders>
              <w:top w:val="single" w:sz="8" w:space="0" w:color="auto"/>
              <w:left w:val="single" w:sz="8" w:space="0" w:color="auto"/>
              <w:bottom w:val="single" w:sz="8" w:space="0" w:color="000000"/>
              <w:right w:val="single" w:sz="8" w:space="0" w:color="auto"/>
            </w:tcBorders>
            <w:shd w:val="clear" w:color="000000" w:fill="BFBFBF"/>
            <w:vAlign w:val="center"/>
            <w:hideMark/>
          </w:tcPr>
          <w:p w14:paraId="6B8CA987" w14:textId="77777777" w:rsidR="0048516D" w:rsidRPr="00E2177A" w:rsidRDefault="0048516D" w:rsidP="0048516D">
            <w:pPr>
              <w:jc w:val="both"/>
              <w:rPr>
                <w:rFonts w:ascii="Verdana" w:hAnsi="Verdana"/>
                <w:b/>
                <w:bCs/>
                <w:i/>
                <w:iCs/>
                <w:sz w:val="14"/>
                <w:szCs w:val="14"/>
                <w:lang w:val="es-CO"/>
              </w:rPr>
            </w:pPr>
            <w:r w:rsidRPr="00E2177A">
              <w:rPr>
                <w:rFonts w:ascii="Verdana" w:hAnsi="Verdana"/>
                <w:b/>
                <w:bCs/>
                <w:i/>
                <w:iCs/>
                <w:sz w:val="14"/>
                <w:szCs w:val="14"/>
                <w:lang w:val="es-ES_tradnl"/>
              </w:rPr>
              <w:t>Área 1125</w:t>
            </w:r>
          </w:p>
        </w:tc>
        <w:tc>
          <w:tcPr>
            <w:tcW w:w="500" w:type="pct"/>
            <w:vMerge w:val="restart"/>
            <w:tcBorders>
              <w:top w:val="single" w:sz="8" w:space="0" w:color="auto"/>
              <w:left w:val="single" w:sz="8" w:space="0" w:color="auto"/>
              <w:bottom w:val="single" w:sz="8" w:space="0" w:color="000000"/>
              <w:right w:val="single" w:sz="8" w:space="0" w:color="auto"/>
            </w:tcBorders>
            <w:shd w:val="clear" w:color="000000" w:fill="BFBFBF"/>
            <w:vAlign w:val="center"/>
            <w:hideMark/>
          </w:tcPr>
          <w:p w14:paraId="0E509BAE" w14:textId="77777777" w:rsidR="0048516D" w:rsidRPr="00E2177A" w:rsidRDefault="0048516D" w:rsidP="0048516D">
            <w:pPr>
              <w:jc w:val="both"/>
              <w:rPr>
                <w:rFonts w:ascii="Verdana" w:hAnsi="Verdana"/>
                <w:b/>
                <w:bCs/>
                <w:i/>
                <w:iCs/>
                <w:sz w:val="14"/>
                <w:szCs w:val="14"/>
                <w:lang w:val="es-CO"/>
              </w:rPr>
            </w:pPr>
            <w:r w:rsidRPr="00E2177A">
              <w:rPr>
                <w:rFonts w:ascii="Verdana" w:hAnsi="Verdana"/>
                <w:b/>
                <w:bCs/>
                <w:i/>
                <w:iCs/>
                <w:sz w:val="14"/>
                <w:szCs w:val="14"/>
                <w:lang w:val="es-ES_tradnl"/>
              </w:rPr>
              <w:t>Área Actual</w:t>
            </w:r>
          </w:p>
        </w:tc>
        <w:tc>
          <w:tcPr>
            <w:tcW w:w="500" w:type="pct"/>
            <w:vMerge w:val="restart"/>
            <w:tcBorders>
              <w:top w:val="single" w:sz="8" w:space="0" w:color="auto"/>
              <w:left w:val="single" w:sz="8" w:space="0" w:color="auto"/>
              <w:bottom w:val="single" w:sz="8" w:space="0" w:color="000000"/>
              <w:right w:val="single" w:sz="8" w:space="0" w:color="auto"/>
            </w:tcBorders>
            <w:shd w:val="clear" w:color="000000" w:fill="BFBFBF"/>
            <w:vAlign w:val="center"/>
            <w:hideMark/>
          </w:tcPr>
          <w:p w14:paraId="45710A99" w14:textId="77777777" w:rsidR="0048516D" w:rsidRPr="00E2177A" w:rsidRDefault="0048516D" w:rsidP="0048516D">
            <w:pPr>
              <w:jc w:val="both"/>
              <w:rPr>
                <w:rFonts w:ascii="Verdana" w:hAnsi="Verdana"/>
                <w:b/>
                <w:bCs/>
                <w:i/>
                <w:iCs/>
                <w:sz w:val="14"/>
                <w:szCs w:val="14"/>
                <w:lang w:val="es-CO"/>
              </w:rPr>
            </w:pPr>
            <w:r w:rsidRPr="00E2177A">
              <w:rPr>
                <w:rFonts w:ascii="Verdana" w:hAnsi="Verdana"/>
                <w:b/>
                <w:bCs/>
                <w:i/>
                <w:iCs/>
                <w:sz w:val="14"/>
                <w:szCs w:val="14"/>
                <w:lang w:val="es-ES_tradnl"/>
              </w:rPr>
              <w:t>Área liberada a 2023</w:t>
            </w:r>
          </w:p>
        </w:tc>
        <w:tc>
          <w:tcPr>
            <w:tcW w:w="435" w:type="pct"/>
            <w:vMerge w:val="restart"/>
            <w:tcBorders>
              <w:top w:val="single" w:sz="8" w:space="0" w:color="auto"/>
              <w:left w:val="single" w:sz="8" w:space="0" w:color="auto"/>
              <w:bottom w:val="single" w:sz="8" w:space="0" w:color="000000"/>
              <w:right w:val="single" w:sz="8" w:space="0" w:color="auto"/>
            </w:tcBorders>
            <w:shd w:val="clear" w:color="000000" w:fill="BFBFBF"/>
            <w:vAlign w:val="center"/>
            <w:hideMark/>
          </w:tcPr>
          <w:p w14:paraId="1CB065C1" w14:textId="77777777" w:rsidR="0048516D" w:rsidRPr="00E2177A" w:rsidRDefault="0048516D" w:rsidP="0048516D">
            <w:pPr>
              <w:jc w:val="both"/>
              <w:rPr>
                <w:rFonts w:ascii="Verdana" w:hAnsi="Verdana"/>
                <w:b/>
                <w:bCs/>
                <w:i/>
                <w:iCs/>
                <w:sz w:val="14"/>
                <w:szCs w:val="14"/>
                <w:lang w:val="es-CO"/>
              </w:rPr>
            </w:pPr>
            <w:r w:rsidRPr="00E2177A">
              <w:rPr>
                <w:rFonts w:ascii="Verdana" w:hAnsi="Verdana"/>
                <w:b/>
                <w:bCs/>
                <w:i/>
                <w:iCs/>
                <w:sz w:val="14"/>
                <w:szCs w:val="14"/>
                <w:lang w:val="es-ES_tradnl"/>
              </w:rPr>
              <w:t>Área para aumentar 2023</w:t>
            </w:r>
          </w:p>
        </w:tc>
        <w:tc>
          <w:tcPr>
            <w:tcW w:w="419" w:type="pct"/>
            <w:gridSpan w:val="2"/>
            <w:tcBorders>
              <w:top w:val="single" w:sz="8" w:space="0" w:color="auto"/>
              <w:left w:val="nil"/>
              <w:bottom w:val="single" w:sz="8" w:space="0" w:color="auto"/>
              <w:right w:val="single" w:sz="8" w:space="0" w:color="000000"/>
            </w:tcBorders>
            <w:shd w:val="clear" w:color="000000" w:fill="BFBFBF"/>
            <w:vAlign w:val="center"/>
            <w:hideMark/>
          </w:tcPr>
          <w:p w14:paraId="363C4C3E" w14:textId="77777777" w:rsidR="0048516D" w:rsidRPr="00E2177A" w:rsidRDefault="0048516D" w:rsidP="0048516D">
            <w:pPr>
              <w:jc w:val="both"/>
              <w:rPr>
                <w:rFonts w:ascii="Verdana" w:hAnsi="Verdana"/>
                <w:b/>
                <w:bCs/>
                <w:i/>
                <w:iCs/>
                <w:sz w:val="14"/>
                <w:szCs w:val="14"/>
                <w:lang w:val="es-CO"/>
              </w:rPr>
            </w:pPr>
            <w:r w:rsidRPr="00E2177A">
              <w:rPr>
                <w:rFonts w:ascii="Verdana" w:hAnsi="Verdana"/>
                <w:b/>
                <w:bCs/>
                <w:i/>
                <w:iCs/>
                <w:sz w:val="14"/>
                <w:szCs w:val="14"/>
                <w:lang w:val="es-ES_tradnl"/>
              </w:rPr>
              <w:t>Requiere consulta previa</w:t>
            </w:r>
          </w:p>
        </w:tc>
      </w:tr>
      <w:tr w:rsidR="00E2177A" w:rsidRPr="00B966C6" w14:paraId="2DE6030D" w14:textId="77777777" w:rsidTr="00E2177A">
        <w:trPr>
          <w:trHeight w:val="300"/>
        </w:trPr>
        <w:tc>
          <w:tcPr>
            <w:tcW w:w="616" w:type="pct"/>
            <w:tcBorders>
              <w:top w:val="nil"/>
              <w:left w:val="single" w:sz="8" w:space="0" w:color="auto"/>
              <w:bottom w:val="single" w:sz="8" w:space="0" w:color="auto"/>
              <w:right w:val="single" w:sz="8" w:space="0" w:color="auto"/>
            </w:tcBorders>
            <w:shd w:val="clear" w:color="000000" w:fill="BFBFBF"/>
            <w:vAlign w:val="center"/>
            <w:hideMark/>
          </w:tcPr>
          <w:p w14:paraId="0A6450C7" w14:textId="77777777" w:rsidR="0048516D" w:rsidRPr="00E2177A" w:rsidRDefault="0048516D" w:rsidP="0048516D">
            <w:pPr>
              <w:jc w:val="both"/>
              <w:rPr>
                <w:rFonts w:ascii="Verdana" w:hAnsi="Verdana"/>
                <w:b/>
                <w:bCs/>
                <w:i/>
                <w:iCs/>
                <w:sz w:val="14"/>
                <w:szCs w:val="14"/>
                <w:lang w:val="es-CO"/>
              </w:rPr>
            </w:pPr>
            <w:r w:rsidRPr="00E2177A">
              <w:rPr>
                <w:rFonts w:ascii="Verdana" w:hAnsi="Verdana"/>
                <w:b/>
                <w:bCs/>
                <w:i/>
                <w:iCs/>
                <w:sz w:val="14"/>
                <w:szCs w:val="14"/>
                <w:lang w:val="es-ES_tradnl"/>
              </w:rPr>
              <w:t>1125 de 2021</w:t>
            </w:r>
          </w:p>
        </w:tc>
        <w:tc>
          <w:tcPr>
            <w:tcW w:w="560" w:type="pct"/>
            <w:tcBorders>
              <w:top w:val="nil"/>
              <w:left w:val="nil"/>
              <w:bottom w:val="single" w:sz="8" w:space="0" w:color="auto"/>
              <w:right w:val="single" w:sz="8" w:space="0" w:color="auto"/>
            </w:tcBorders>
            <w:shd w:val="clear" w:color="000000" w:fill="BFBFBF"/>
            <w:vAlign w:val="center"/>
            <w:hideMark/>
          </w:tcPr>
          <w:p w14:paraId="457B9ACA" w14:textId="77777777" w:rsidR="0048516D" w:rsidRPr="00E2177A" w:rsidRDefault="0048516D" w:rsidP="0048516D">
            <w:pPr>
              <w:jc w:val="both"/>
              <w:rPr>
                <w:rFonts w:ascii="Verdana" w:hAnsi="Verdana"/>
                <w:b/>
                <w:bCs/>
                <w:i/>
                <w:iCs/>
                <w:sz w:val="14"/>
                <w:szCs w:val="14"/>
                <w:lang w:val="es-CO"/>
              </w:rPr>
            </w:pPr>
            <w:r w:rsidRPr="00E2177A">
              <w:rPr>
                <w:rFonts w:ascii="Verdana" w:hAnsi="Verdana"/>
                <w:b/>
                <w:bCs/>
                <w:i/>
                <w:iCs/>
                <w:sz w:val="14"/>
                <w:szCs w:val="14"/>
                <w:lang w:val="es-ES_tradnl"/>
              </w:rPr>
              <w:t>Actual</w:t>
            </w:r>
          </w:p>
        </w:tc>
        <w:tc>
          <w:tcPr>
            <w:tcW w:w="399" w:type="pct"/>
            <w:tcBorders>
              <w:top w:val="nil"/>
              <w:left w:val="nil"/>
              <w:bottom w:val="single" w:sz="8" w:space="0" w:color="auto"/>
              <w:right w:val="single" w:sz="8" w:space="0" w:color="auto"/>
            </w:tcBorders>
            <w:shd w:val="clear" w:color="000000" w:fill="BFBFBF"/>
            <w:vAlign w:val="center"/>
            <w:hideMark/>
          </w:tcPr>
          <w:p w14:paraId="31EE0F93" w14:textId="77777777" w:rsidR="0048516D" w:rsidRPr="00E2177A" w:rsidRDefault="0048516D" w:rsidP="0048516D">
            <w:pPr>
              <w:jc w:val="both"/>
              <w:rPr>
                <w:rFonts w:ascii="Verdana" w:hAnsi="Verdana"/>
                <w:b/>
                <w:bCs/>
                <w:i/>
                <w:iCs/>
                <w:sz w:val="14"/>
                <w:szCs w:val="14"/>
                <w:lang w:val="es-CO"/>
              </w:rPr>
            </w:pPr>
            <w:r w:rsidRPr="00E2177A">
              <w:rPr>
                <w:rFonts w:ascii="Verdana" w:hAnsi="Verdana"/>
                <w:b/>
                <w:bCs/>
                <w:i/>
                <w:iCs/>
                <w:sz w:val="14"/>
                <w:szCs w:val="14"/>
                <w:lang w:val="es-CO"/>
              </w:rPr>
              <w:t> </w:t>
            </w:r>
          </w:p>
        </w:tc>
        <w:tc>
          <w:tcPr>
            <w:tcW w:w="541" w:type="pct"/>
            <w:tcBorders>
              <w:top w:val="nil"/>
              <w:left w:val="nil"/>
              <w:bottom w:val="single" w:sz="8" w:space="0" w:color="auto"/>
              <w:right w:val="single" w:sz="8" w:space="0" w:color="auto"/>
            </w:tcBorders>
            <w:shd w:val="clear" w:color="000000" w:fill="BFBFBF"/>
            <w:vAlign w:val="center"/>
            <w:hideMark/>
          </w:tcPr>
          <w:p w14:paraId="14D84C3A" w14:textId="77777777" w:rsidR="0048516D" w:rsidRPr="00E2177A" w:rsidRDefault="0048516D" w:rsidP="0048516D">
            <w:pPr>
              <w:jc w:val="both"/>
              <w:rPr>
                <w:rFonts w:ascii="Verdana" w:hAnsi="Verdana"/>
                <w:b/>
                <w:bCs/>
                <w:i/>
                <w:iCs/>
                <w:sz w:val="14"/>
                <w:szCs w:val="14"/>
                <w:lang w:val="es-CO"/>
              </w:rPr>
            </w:pPr>
            <w:r w:rsidRPr="00E2177A">
              <w:rPr>
                <w:rFonts w:ascii="Verdana" w:hAnsi="Verdana"/>
                <w:b/>
                <w:bCs/>
                <w:i/>
                <w:iCs/>
                <w:sz w:val="14"/>
                <w:szCs w:val="14"/>
                <w:lang w:val="es-CO"/>
              </w:rPr>
              <w:t> </w:t>
            </w:r>
          </w:p>
        </w:tc>
        <w:tc>
          <w:tcPr>
            <w:tcW w:w="531" w:type="pct"/>
            <w:tcBorders>
              <w:top w:val="nil"/>
              <w:left w:val="nil"/>
              <w:bottom w:val="single" w:sz="8" w:space="0" w:color="auto"/>
              <w:right w:val="single" w:sz="8" w:space="0" w:color="auto"/>
            </w:tcBorders>
            <w:shd w:val="clear" w:color="000000" w:fill="BFBFBF"/>
            <w:vAlign w:val="center"/>
            <w:hideMark/>
          </w:tcPr>
          <w:p w14:paraId="48F10E08" w14:textId="77777777" w:rsidR="0048516D" w:rsidRPr="00E2177A" w:rsidRDefault="0048516D" w:rsidP="0048516D">
            <w:pPr>
              <w:jc w:val="both"/>
              <w:rPr>
                <w:rFonts w:ascii="Verdana" w:hAnsi="Verdana"/>
                <w:b/>
                <w:bCs/>
                <w:i/>
                <w:iCs/>
                <w:sz w:val="14"/>
                <w:szCs w:val="14"/>
                <w:lang w:val="es-CO"/>
              </w:rPr>
            </w:pPr>
            <w:r w:rsidRPr="00E2177A">
              <w:rPr>
                <w:rFonts w:ascii="Verdana" w:hAnsi="Verdana"/>
                <w:b/>
                <w:bCs/>
                <w:i/>
                <w:iCs/>
                <w:sz w:val="14"/>
                <w:szCs w:val="14"/>
                <w:lang w:val="es-CO"/>
              </w:rPr>
              <w:t> </w:t>
            </w:r>
          </w:p>
        </w:tc>
        <w:tc>
          <w:tcPr>
            <w:tcW w:w="500" w:type="pct"/>
            <w:vMerge/>
            <w:tcBorders>
              <w:top w:val="single" w:sz="8" w:space="0" w:color="auto"/>
              <w:left w:val="single" w:sz="8" w:space="0" w:color="auto"/>
              <w:bottom w:val="single" w:sz="8" w:space="0" w:color="000000"/>
              <w:right w:val="single" w:sz="8" w:space="0" w:color="auto"/>
            </w:tcBorders>
            <w:vAlign w:val="center"/>
            <w:hideMark/>
          </w:tcPr>
          <w:p w14:paraId="62B43540" w14:textId="77777777" w:rsidR="0048516D" w:rsidRPr="00E2177A" w:rsidRDefault="0048516D" w:rsidP="0048516D">
            <w:pPr>
              <w:jc w:val="both"/>
              <w:rPr>
                <w:rFonts w:ascii="Verdana" w:hAnsi="Verdana"/>
                <w:b/>
                <w:bCs/>
                <w:i/>
                <w:iCs/>
                <w:sz w:val="14"/>
                <w:szCs w:val="14"/>
                <w:lang w:val="es-CO"/>
              </w:rPr>
            </w:pPr>
          </w:p>
        </w:tc>
        <w:tc>
          <w:tcPr>
            <w:tcW w:w="500" w:type="pct"/>
            <w:vMerge/>
            <w:tcBorders>
              <w:top w:val="single" w:sz="8" w:space="0" w:color="auto"/>
              <w:left w:val="single" w:sz="8" w:space="0" w:color="auto"/>
              <w:bottom w:val="single" w:sz="8" w:space="0" w:color="000000"/>
              <w:right w:val="single" w:sz="8" w:space="0" w:color="auto"/>
            </w:tcBorders>
            <w:vAlign w:val="center"/>
            <w:hideMark/>
          </w:tcPr>
          <w:p w14:paraId="366BCB1E" w14:textId="77777777" w:rsidR="0048516D" w:rsidRPr="00E2177A" w:rsidRDefault="0048516D" w:rsidP="0048516D">
            <w:pPr>
              <w:jc w:val="both"/>
              <w:rPr>
                <w:rFonts w:ascii="Verdana" w:hAnsi="Verdana"/>
                <w:b/>
                <w:bCs/>
                <w:i/>
                <w:iCs/>
                <w:sz w:val="14"/>
                <w:szCs w:val="14"/>
                <w:lang w:val="es-CO"/>
              </w:rPr>
            </w:pPr>
          </w:p>
        </w:tc>
        <w:tc>
          <w:tcPr>
            <w:tcW w:w="500" w:type="pct"/>
            <w:vMerge/>
            <w:tcBorders>
              <w:top w:val="single" w:sz="8" w:space="0" w:color="auto"/>
              <w:left w:val="single" w:sz="8" w:space="0" w:color="auto"/>
              <w:bottom w:val="single" w:sz="8" w:space="0" w:color="000000"/>
              <w:right w:val="single" w:sz="8" w:space="0" w:color="auto"/>
            </w:tcBorders>
            <w:vAlign w:val="center"/>
            <w:hideMark/>
          </w:tcPr>
          <w:p w14:paraId="605C02D5" w14:textId="77777777" w:rsidR="0048516D" w:rsidRPr="00E2177A" w:rsidRDefault="0048516D" w:rsidP="0048516D">
            <w:pPr>
              <w:jc w:val="both"/>
              <w:rPr>
                <w:rFonts w:ascii="Verdana" w:hAnsi="Verdana"/>
                <w:b/>
                <w:bCs/>
                <w:i/>
                <w:iCs/>
                <w:sz w:val="14"/>
                <w:szCs w:val="14"/>
                <w:lang w:val="es-CO"/>
              </w:rPr>
            </w:pPr>
          </w:p>
        </w:tc>
        <w:tc>
          <w:tcPr>
            <w:tcW w:w="435" w:type="pct"/>
            <w:vMerge/>
            <w:tcBorders>
              <w:top w:val="single" w:sz="8" w:space="0" w:color="auto"/>
              <w:left w:val="single" w:sz="8" w:space="0" w:color="auto"/>
              <w:bottom w:val="single" w:sz="8" w:space="0" w:color="000000"/>
              <w:right w:val="single" w:sz="8" w:space="0" w:color="auto"/>
            </w:tcBorders>
            <w:vAlign w:val="center"/>
            <w:hideMark/>
          </w:tcPr>
          <w:p w14:paraId="44E5836A" w14:textId="77777777" w:rsidR="0048516D" w:rsidRPr="00E2177A" w:rsidRDefault="0048516D" w:rsidP="0048516D">
            <w:pPr>
              <w:jc w:val="both"/>
              <w:rPr>
                <w:rFonts w:ascii="Verdana" w:hAnsi="Verdana"/>
                <w:b/>
                <w:bCs/>
                <w:i/>
                <w:iCs/>
                <w:sz w:val="14"/>
                <w:szCs w:val="14"/>
                <w:lang w:val="es-CO"/>
              </w:rPr>
            </w:pPr>
          </w:p>
        </w:tc>
        <w:tc>
          <w:tcPr>
            <w:tcW w:w="189" w:type="pct"/>
            <w:tcBorders>
              <w:top w:val="nil"/>
              <w:left w:val="nil"/>
              <w:bottom w:val="single" w:sz="8" w:space="0" w:color="auto"/>
              <w:right w:val="single" w:sz="8" w:space="0" w:color="auto"/>
            </w:tcBorders>
            <w:shd w:val="clear" w:color="000000" w:fill="BFBFBF"/>
            <w:vAlign w:val="center"/>
            <w:hideMark/>
          </w:tcPr>
          <w:p w14:paraId="33EF51C6" w14:textId="77777777" w:rsidR="0048516D" w:rsidRPr="00E2177A" w:rsidRDefault="0048516D" w:rsidP="0048516D">
            <w:pPr>
              <w:jc w:val="both"/>
              <w:rPr>
                <w:rFonts w:ascii="Verdana" w:hAnsi="Verdana"/>
                <w:b/>
                <w:bCs/>
                <w:i/>
                <w:iCs/>
                <w:sz w:val="14"/>
                <w:szCs w:val="14"/>
                <w:lang w:val="es-CO"/>
              </w:rPr>
            </w:pPr>
            <w:r w:rsidRPr="00E2177A">
              <w:rPr>
                <w:rFonts w:ascii="Verdana" w:hAnsi="Verdana"/>
                <w:b/>
                <w:bCs/>
                <w:i/>
                <w:iCs/>
                <w:sz w:val="14"/>
                <w:szCs w:val="14"/>
                <w:lang w:val="es-ES_tradnl"/>
              </w:rPr>
              <w:t>Si</w:t>
            </w:r>
          </w:p>
        </w:tc>
        <w:tc>
          <w:tcPr>
            <w:tcW w:w="230" w:type="pct"/>
            <w:tcBorders>
              <w:top w:val="nil"/>
              <w:left w:val="nil"/>
              <w:bottom w:val="single" w:sz="8" w:space="0" w:color="auto"/>
              <w:right w:val="single" w:sz="8" w:space="0" w:color="auto"/>
            </w:tcBorders>
            <w:shd w:val="clear" w:color="000000" w:fill="BFBFBF"/>
            <w:vAlign w:val="center"/>
            <w:hideMark/>
          </w:tcPr>
          <w:p w14:paraId="7F20F1B7" w14:textId="77777777" w:rsidR="0048516D" w:rsidRPr="00E2177A" w:rsidRDefault="0048516D" w:rsidP="0048516D">
            <w:pPr>
              <w:jc w:val="both"/>
              <w:rPr>
                <w:rFonts w:ascii="Verdana" w:hAnsi="Verdana"/>
                <w:b/>
                <w:bCs/>
                <w:i/>
                <w:iCs/>
                <w:sz w:val="14"/>
                <w:szCs w:val="14"/>
                <w:lang w:val="es-CO"/>
              </w:rPr>
            </w:pPr>
            <w:r w:rsidRPr="00E2177A">
              <w:rPr>
                <w:rFonts w:ascii="Verdana" w:hAnsi="Verdana"/>
                <w:b/>
                <w:bCs/>
                <w:i/>
                <w:iCs/>
                <w:sz w:val="14"/>
                <w:szCs w:val="14"/>
                <w:lang w:val="es-ES_tradnl"/>
              </w:rPr>
              <w:t>No</w:t>
            </w:r>
          </w:p>
        </w:tc>
      </w:tr>
      <w:tr w:rsidR="0048516D" w:rsidRPr="0048516D" w14:paraId="7823D90B" w14:textId="77777777" w:rsidTr="00E2177A">
        <w:trPr>
          <w:trHeight w:val="300"/>
        </w:trPr>
        <w:tc>
          <w:tcPr>
            <w:tcW w:w="616" w:type="pct"/>
            <w:tcBorders>
              <w:top w:val="nil"/>
              <w:left w:val="single" w:sz="8" w:space="0" w:color="auto"/>
              <w:bottom w:val="single" w:sz="8" w:space="0" w:color="auto"/>
              <w:right w:val="single" w:sz="8" w:space="0" w:color="auto"/>
            </w:tcBorders>
            <w:shd w:val="clear" w:color="auto" w:fill="auto"/>
            <w:vAlign w:val="center"/>
            <w:hideMark/>
          </w:tcPr>
          <w:p w14:paraId="6C0FD014" w14:textId="77777777" w:rsidR="0048516D" w:rsidRPr="00E2177A" w:rsidRDefault="0048516D" w:rsidP="0048516D">
            <w:pPr>
              <w:jc w:val="both"/>
              <w:rPr>
                <w:rFonts w:ascii="Verdana" w:hAnsi="Verdana"/>
                <w:i/>
                <w:iCs/>
                <w:sz w:val="14"/>
                <w:szCs w:val="14"/>
                <w:lang w:val="es-CO"/>
              </w:rPr>
            </w:pPr>
            <w:r w:rsidRPr="00E2177A">
              <w:rPr>
                <w:rFonts w:ascii="Verdana" w:hAnsi="Verdana"/>
                <w:i/>
                <w:iCs/>
                <w:sz w:val="14"/>
                <w:szCs w:val="14"/>
                <w:lang w:val="es-ES_tradnl"/>
              </w:rPr>
              <w:t>Aprestamiento</w:t>
            </w:r>
          </w:p>
        </w:tc>
        <w:tc>
          <w:tcPr>
            <w:tcW w:w="560" w:type="pct"/>
            <w:vMerge w:val="restart"/>
            <w:tcBorders>
              <w:top w:val="nil"/>
              <w:left w:val="single" w:sz="8" w:space="0" w:color="auto"/>
              <w:bottom w:val="single" w:sz="8" w:space="0" w:color="000000"/>
              <w:right w:val="single" w:sz="8" w:space="0" w:color="auto"/>
            </w:tcBorders>
            <w:shd w:val="clear" w:color="auto" w:fill="auto"/>
            <w:vAlign w:val="center"/>
            <w:hideMark/>
          </w:tcPr>
          <w:p w14:paraId="35AE7E9C" w14:textId="77777777" w:rsidR="0048516D" w:rsidRPr="00E2177A" w:rsidRDefault="0048516D" w:rsidP="0048516D">
            <w:pPr>
              <w:jc w:val="both"/>
              <w:rPr>
                <w:rFonts w:ascii="Verdana" w:hAnsi="Verdana"/>
                <w:i/>
                <w:iCs/>
                <w:sz w:val="14"/>
                <w:szCs w:val="14"/>
                <w:lang w:val="es-CO"/>
              </w:rPr>
            </w:pPr>
            <w:r w:rsidRPr="00E2177A">
              <w:rPr>
                <w:rFonts w:ascii="Verdana" w:hAnsi="Verdana"/>
                <w:i/>
                <w:iCs/>
                <w:sz w:val="14"/>
                <w:szCs w:val="14"/>
                <w:lang w:val="es-ES_tradnl"/>
              </w:rPr>
              <w:t>Aprestamiento</w:t>
            </w:r>
          </w:p>
        </w:tc>
        <w:tc>
          <w:tcPr>
            <w:tcW w:w="399" w:type="pct"/>
            <w:tcBorders>
              <w:top w:val="nil"/>
              <w:left w:val="nil"/>
              <w:bottom w:val="single" w:sz="8" w:space="0" w:color="auto"/>
              <w:right w:val="single" w:sz="8" w:space="0" w:color="auto"/>
            </w:tcBorders>
            <w:shd w:val="clear" w:color="auto" w:fill="auto"/>
            <w:vAlign w:val="center"/>
            <w:hideMark/>
          </w:tcPr>
          <w:p w14:paraId="023BFD85" w14:textId="77777777" w:rsidR="0048516D" w:rsidRPr="00E2177A" w:rsidRDefault="0048516D" w:rsidP="0048516D">
            <w:pPr>
              <w:jc w:val="both"/>
              <w:rPr>
                <w:rFonts w:ascii="Verdana" w:hAnsi="Verdana"/>
                <w:i/>
                <w:iCs/>
                <w:sz w:val="14"/>
                <w:szCs w:val="14"/>
                <w:lang w:val="es-CO"/>
              </w:rPr>
            </w:pPr>
            <w:r w:rsidRPr="00E2177A">
              <w:rPr>
                <w:rFonts w:ascii="Verdana" w:hAnsi="Verdana"/>
                <w:i/>
                <w:iCs/>
                <w:sz w:val="14"/>
                <w:szCs w:val="14"/>
                <w:lang w:val="es-ES_tradnl"/>
              </w:rPr>
              <w:t>47</w:t>
            </w:r>
          </w:p>
        </w:tc>
        <w:tc>
          <w:tcPr>
            <w:tcW w:w="541" w:type="pct"/>
            <w:tcBorders>
              <w:top w:val="nil"/>
              <w:left w:val="nil"/>
              <w:bottom w:val="single" w:sz="8" w:space="0" w:color="auto"/>
              <w:right w:val="single" w:sz="8" w:space="0" w:color="auto"/>
            </w:tcBorders>
            <w:shd w:val="clear" w:color="auto" w:fill="auto"/>
            <w:vAlign w:val="center"/>
            <w:hideMark/>
          </w:tcPr>
          <w:p w14:paraId="5279786F" w14:textId="77777777" w:rsidR="0048516D" w:rsidRPr="00E2177A" w:rsidRDefault="0048516D" w:rsidP="0048516D">
            <w:pPr>
              <w:jc w:val="both"/>
              <w:rPr>
                <w:rFonts w:ascii="Verdana" w:hAnsi="Verdana"/>
                <w:i/>
                <w:iCs/>
                <w:sz w:val="14"/>
                <w:szCs w:val="14"/>
                <w:lang w:val="es-CO"/>
              </w:rPr>
            </w:pPr>
            <w:r w:rsidRPr="00E2177A">
              <w:rPr>
                <w:rFonts w:ascii="Verdana" w:hAnsi="Verdana"/>
                <w:i/>
                <w:iCs/>
                <w:sz w:val="14"/>
                <w:szCs w:val="14"/>
                <w:lang w:val="es-ES_tradnl"/>
              </w:rPr>
              <w:t>CDMB</w:t>
            </w:r>
          </w:p>
        </w:tc>
        <w:tc>
          <w:tcPr>
            <w:tcW w:w="531" w:type="pct"/>
            <w:tcBorders>
              <w:top w:val="nil"/>
              <w:left w:val="nil"/>
              <w:bottom w:val="single" w:sz="8" w:space="0" w:color="auto"/>
              <w:right w:val="single" w:sz="8" w:space="0" w:color="auto"/>
            </w:tcBorders>
            <w:shd w:val="clear" w:color="auto" w:fill="auto"/>
            <w:vAlign w:val="center"/>
            <w:hideMark/>
          </w:tcPr>
          <w:p w14:paraId="190E1F1C" w14:textId="77777777" w:rsidR="0048516D" w:rsidRPr="00E2177A" w:rsidRDefault="0048516D" w:rsidP="0048516D">
            <w:pPr>
              <w:jc w:val="both"/>
              <w:rPr>
                <w:rFonts w:ascii="Verdana" w:hAnsi="Verdana"/>
                <w:i/>
                <w:iCs/>
                <w:sz w:val="14"/>
                <w:szCs w:val="14"/>
                <w:lang w:val="es-CO"/>
              </w:rPr>
            </w:pPr>
            <w:r w:rsidRPr="00E2177A">
              <w:rPr>
                <w:rFonts w:ascii="Verdana" w:hAnsi="Verdana"/>
                <w:i/>
                <w:iCs/>
                <w:sz w:val="14"/>
                <w:szCs w:val="14"/>
                <w:lang w:val="es-ES_tradnl"/>
              </w:rPr>
              <w:t>Cañón Rio Lebrija</w:t>
            </w:r>
          </w:p>
        </w:tc>
        <w:tc>
          <w:tcPr>
            <w:tcW w:w="500" w:type="pct"/>
            <w:tcBorders>
              <w:top w:val="nil"/>
              <w:left w:val="nil"/>
              <w:bottom w:val="single" w:sz="8" w:space="0" w:color="auto"/>
              <w:right w:val="single" w:sz="8" w:space="0" w:color="auto"/>
            </w:tcBorders>
            <w:shd w:val="clear" w:color="auto" w:fill="auto"/>
            <w:vAlign w:val="center"/>
            <w:hideMark/>
          </w:tcPr>
          <w:p w14:paraId="4DCC250D" w14:textId="77777777" w:rsidR="0048516D" w:rsidRPr="00E2177A" w:rsidRDefault="0048516D" w:rsidP="0048516D">
            <w:pPr>
              <w:jc w:val="both"/>
              <w:rPr>
                <w:rFonts w:ascii="Verdana" w:hAnsi="Verdana"/>
                <w:i/>
                <w:iCs/>
                <w:sz w:val="14"/>
                <w:szCs w:val="14"/>
                <w:lang w:val="es-CO"/>
              </w:rPr>
            </w:pPr>
            <w:r w:rsidRPr="00E2177A">
              <w:rPr>
                <w:rFonts w:ascii="Verdana" w:hAnsi="Verdana"/>
                <w:i/>
                <w:iCs/>
                <w:sz w:val="14"/>
                <w:szCs w:val="14"/>
                <w:lang w:val="es-ES_tradnl"/>
              </w:rPr>
              <w:t>3.912,80</w:t>
            </w:r>
          </w:p>
        </w:tc>
        <w:tc>
          <w:tcPr>
            <w:tcW w:w="500" w:type="pct"/>
            <w:tcBorders>
              <w:top w:val="nil"/>
              <w:left w:val="nil"/>
              <w:bottom w:val="single" w:sz="8" w:space="0" w:color="auto"/>
              <w:right w:val="single" w:sz="8" w:space="0" w:color="auto"/>
            </w:tcBorders>
            <w:shd w:val="clear" w:color="auto" w:fill="auto"/>
            <w:vAlign w:val="center"/>
            <w:hideMark/>
          </w:tcPr>
          <w:p w14:paraId="2BB64030" w14:textId="77777777" w:rsidR="0048516D" w:rsidRPr="00E2177A" w:rsidRDefault="0048516D" w:rsidP="0048516D">
            <w:pPr>
              <w:jc w:val="both"/>
              <w:rPr>
                <w:rFonts w:ascii="Verdana" w:hAnsi="Verdana"/>
                <w:i/>
                <w:iCs/>
                <w:sz w:val="14"/>
                <w:szCs w:val="14"/>
                <w:lang w:val="es-CO"/>
              </w:rPr>
            </w:pPr>
            <w:r w:rsidRPr="00E2177A">
              <w:rPr>
                <w:rFonts w:ascii="Verdana" w:hAnsi="Verdana"/>
                <w:i/>
                <w:iCs/>
                <w:sz w:val="14"/>
                <w:szCs w:val="14"/>
                <w:lang w:val="es-ES_tradnl"/>
              </w:rPr>
              <w:t>1.857,53</w:t>
            </w:r>
          </w:p>
        </w:tc>
        <w:tc>
          <w:tcPr>
            <w:tcW w:w="500" w:type="pct"/>
            <w:tcBorders>
              <w:top w:val="nil"/>
              <w:left w:val="nil"/>
              <w:bottom w:val="single" w:sz="8" w:space="0" w:color="auto"/>
              <w:right w:val="single" w:sz="8" w:space="0" w:color="auto"/>
            </w:tcBorders>
            <w:shd w:val="clear" w:color="auto" w:fill="auto"/>
            <w:vAlign w:val="center"/>
            <w:hideMark/>
          </w:tcPr>
          <w:p w14:paraId="09C92A76" w14:textId="77777777" w:rsidR="0048516D" w:rsidRPr="00E2177A" w:rsidRDefault="0048516D" w:rsidP="0048516D">
            <w:pPr>
              <w:jc w:val="both"/>
              <w:rPr>
                <w:rFonts w:ascii="Verdana" w:hAnsi="Verdana"/>
                <w:i/>
                <w:iCs/>
                <w:sz w:val="14"/>
                <w:szCs w:val="14"/>
                <w:lang w:val="es-CO"/>
              </w:rPr>
            </w:pPr>
            <w:r w:rsidRPr="00E2177A">
              <w:rPr>
                <w:rFonts w:ascii="Verdana" w:hAnsi="Verdana"/>
                <w:i/>
                <w:iCs/>
                <w:sz w:val="14"/>
                <w:szCs w:val="14"/>
                <w:lang w:val="es-ES_tradnl"/>
              </w:rPr>
              <w:t>2.055,27</w:t>
            </w:r>
          </w:p>
        </w:tc>
        <w:tc>
          <w:tcPr>
            <w:tcW w:w="435" w:type="pct"/>
            <w:tcBorders>
              <w:top w:val="nil"/>
              <w:left w:val="nil"/>
              <w:bottom w:val="single" w:sz="8" w:space="0" w:color="auto"/>
              <w:right w:val="single" w:sz="8" w:space="0" w:color="auto"/>
            </w:tcBorders>
            <w:shd w:val="clear" w:color="auto" w:fill="auto"/>
            <w:vAlign w:val="center"/>
            <w:hideMark/>
          </w:tcPr>
          <w:p w14:paraId="056EAD1D" w14:textId="77777777" w:rsidR="0048516D" w:rsidRPr="00E2177A" w:rsidRDefault="0048516D" w:rsidP="0048516D">
            <w:pPr>
              <w:jc w:val="both"/>
              <w:rPr>
                <w:rFonts w:ascii="Verdana" w:hAnsi="Verdana"/>
                <w:i/>
                <w:iCs/>
                <w:sz w:val="14"/>
                <w:szCs w:val="14"/>
                <w:lang w:val="es-CO"/>
              </w:rPr>
            </w:pPr>
            <w:r w:rsidRPr="00E2177A">
              <w:rPr>
                <w:rFonts w:ascii="Verdana" w:hAnsi="Verdana"/>
                <w:i/>
                <w:iCs/>
                <w:sz w:val="14"/>
                <w:szCs w:val="14"/>
                <w:lang w:val="es-ES_tradnl"/>
              </w:rPr>
              <w:t>0</w:t>
            </w:r>
          </w:p>
        </w:tc>
        <w:tc>
          <w:tcPr>
            <w:tcW w:w="189" w:type="pct"/>
            <w:tcBorders>
              <w:top w:val="nil"/>
              <w:left w:val="nil"/>
              <w:bottom w:val="single" w:sz="8" w:space="0" w:color="auto"/>
              <w:right w:val="single" w:sz="8" w:space="0" w:color="auto"/>
            </w:tcBorders>
            <w:shd w:val="clear" w:color="auto" w:fill="auto"/>
            <w:vAlign w:val="center"/>
            <w:hideMark/>
          </w:tcPr>
          <w:p w14:paraId="01F3E683" w14:textId="77777777" w:rsidR="0048516D" w:rsidRPr="00E2177A" w:rsidRDefault="0048516D" w:rsidP="0048516D">
            <w:pPr>
              <w:jc w:val="both"/>
              <w:rPr>
                <w:rFonts w:ascii="Verdana" w:hAnsi="Verdana"/>
                <w:i/>
                <w:iCs/>
                <w:sz w:val="14"/>
                <w:szCs w:val="14"/>
                <w:lang w:val="es-CO"/>
              </w:rPr>
            </w:pPr>
            <w:r w:rsidRPr="00E2177A">
              <w:rPr>
                <w:rFonts w:ascii="Verdana" w:hAnsi="Verdana"/>
                <w:i/>
                <w:iCs/>
                <w:sz w:val="14"/>
                <w:szCs w:val="14"/>
                <w:lang w:val="es-ES_tradnl"/>
              </w:rPr>
              <w:t> </w:t>
            </w:r>
          </w:p>
        </w:tc>
        <w:tc>
          <w:tcPr>
            <w:tcW w:w="230" w:type="pct"/>
            <w:tcBorders>
              <w:top w:val="nil"/>
              <w:left w:val="nil"/>
              <w:bottom w:val="single" w:sz="8" w:space="0" w:color="auto"/>
              <w:right w:val="single" w:sz="8" w:space="0" w:color="auto"/>
            </w:tcBorders>
            <w:shd w:val="clear" w:color="auto" w:fill="auto"/>
            <w:vAlign w:val="center"/>
            <w:hideMark/>
          </w:tcPr>
          <w:p w14:paraId="04DEF32E" w14:textId="77777777" w:rsidR="0048516D" w:rsidRPr="00E2177A" w:rsidRDefault="0048516D" w:rsidP="0048516D">
            <w:pPr>
              <w:jc w:val="both"/>
              <w:rPr>
                <w:rFonts w:ascii="Verdana" w:hAnsi="Verdana"/>
                <w:i/>
                <w:iCs/>
                <w:sz w:val="14"/>
                <w:szCs w:val="14"/>
                <w:lang w:val="es-CO"/>
              </w:rPr>
            </w:pPr>
            <w:r w:rsidRPr="00E2177A">
              <w:rPr>
                <w:rFonts w:ascii="Verdana" w:hAnsi="Verdana"/>
                <w:i/>
                <w:iCs/>
                <w:sz w:val="14"/>
                <w:szCs w:val="14"/>
                <w:lang w:val="es-ES_tradnl"/>
              </w:rPr>
              <w:t> </w:t>
            </w:r>
          </w:p>
        </w:tc>
      </w:tr>
      <w:tr w:rsidR="0048516D" w:rsidRPr="0048516D" w14:paraId="4B0309B2" w14:textId="77777777" w:rsidTr="00E2177A">
        <w:trPr>
          <w:trHeight w:val="804"/>
        </w:trPr>
        <w:tc>
          <w:tcPr>
            <w:tcW w:w="616" w:type="pct"/>
            <w:tcBorders>
              <w:top w:val="nil"/>
              <w:left w:val="single" w:sz="8" w:space="0" w:color="auto"/>
              <w:bottom w:val="single" w:sz="8" w:space="0" w:color="auto"/>
              <w:right w:val="single" w:sz="8" w:space="0" w:color="auto"/>
            </w:tcBorders>
            <w:shd w:val="clear" w:color="auto" w:fill="auto"/>
            <w:vAlign w:val="center"/>
            <w:hideMark/>
          </w:tcPr>
          <w:p w14:paraId="124A67B6" w14:textId="77777777" w:rsidR="0048516D" w:rsidRPr="00E2177A" w:rsidRDefault="0048516D" w:rsidP="0048516D">
            <w:pPr>
              <w:jc w:val="both"/>
              <w:rPr>
                <w:rFonts w:ascii="Verdana" w:hAnsi="Verdana"/>
                <w:i/>
                <w:iCs/>
                <w:sz w:val="14"/>
                <w:szCs w:val="14"/>
                <w:lang w:val="es-CO"/>
              </w:rPr>
            </w:pPr>
            <w:r w:rsidRPr="00E2177A">
              <w:rPr>
                <w:rFonts w:ascii="Verdana" w:hAnsi="Verdana"/>
                <w:i/>
                <w:iCs/>
                <w:sz w:val="14"/>
                <w:szCs w:val="14"/>
                <w:lang w:val="es-ES_tradnl"/>
              </w:rPr>
              <w:t>Aprestamiento</w:t>
            </w:r>
          </w:p>
        </w:tc>
        <w:tc>
          <w:tcPr>
            <w:tcW w:w="560" w:type="pct"/>
            <w:vMerge/>
            <w:tcBorders>
              <w:top w:val="nil"/>
              <w:left w:val="single" w:sz="8" w:space="0" w:color="auto"/>
              <w:bottom w:val="single" w:sz="8" w:space="0" w:color="000000"/>
              <w:right w:val="single" w:sz="8" w:space="0" w:color="auto"/>
            </w:tcBorders>
            <w:vAlign w:val="center"/>
            <w:hideMark/>
          </w:tcPr>
          <w:p w14:paraId="4B796AE3" w14:textId="77777777" w:rsidR="0048516D" w:rsidRPr="00E2177A" w:rsidRDefault="0048516D" w:rsidP="0048516D">
            <w:pPr>
              <w:jc w:val="both"/>
              <w:rPr>
                <w:rFonts w:ascii="Verdana" w:hAnsi="Verdana"/>
                <w:i/>
                <w:iCs/>
                <w:sz w:val="14"/>
                <w:szCs w:val="14"/>
                <w:lang w:val="es-CO"/>
              </w:rPr>
            </w:pPr>
          </w:p>
        </w:tc>
        <w:tc>
          <w:tcPr>
            <w:tcW w:w="399" w:type="pct"/>
            <w:tcBorders>
              <w:top w:val="nil"/>
              <w:left w:val="nil"/>
              <w:bottom w:val="single" w:sz="8" w:space="0" w:color="auto"/>
              <w:right w:val="single" w:sz="8" w:space="0" w:color="auto"/>
            </w:tcBorders>
            <w:shd w:val="clear" w:color="auto" w:fill="auto"/>
            <w:vAlign w:val="center"/>
            <w:hideMark/>
          </w:tcPr>
          <w:p w14:paraId="0C066208" w14:textId="77777777" w:rsidR="0048516D" w:rsidRPr="00E2177A" w:rsidRDefault="0048516D" w:rsidP="0048516D">
            <w:pPr>
              <w:jc w:val="both"/>
              <w:rPr>
                <w:rFonts w:ascii="Verdana" w:hAnsi="Verdana"/>
                <w:i/>
                <w:iCs/>
                <w:sz w:val="14"/>
                <w:szCs w:val="14"/>
                <w:lang w:val="es-CO"/>
              </w:rPr>
            </w:pPr>
            <w:r w:rsidRPr="00E2177A">
              <w:rPr>
                <w:rFonts w:ascii="Verdana" w:hAnsi="Verdana"/>
                <w:i/>
                <w:iCs/>
                <w:sz w:val="14"/>
                <w:szCs w:val="14"/>
                <w:lang w:val="es-ES_tradnl"/>
              </w:rPr>
              <w:t>49</w:t>
            </w:r>
          </w:p>
        </w:tc>
        <w:tc>
          <w:tcPr>
            <w:tcW w:w="541" w:type="pct"/>
            <w:tcBorders>
              <w:top w:val="nil"/>
              <w:left w:val="nil"/>
              <w:bottom w:val="single" w:sz="8" w:space="0" w:color="auto"/>
              <w:right w:val="single" w:sz="8" w:space="0" w:color="auto"/>
            </w:tcBorders>
            <w:shd w:val="clear" w:color="auto" w:fill="auto"/>
            <w:vAlign w:val="center"/>
            <w:hideMark/>
          </w:tcPr>
          <w:p w14:paraId="6BEB7F08" w14:textId="77777777" w:rsidR="0048516D" w:rsidRPr="00E2177A" w:rsidRDefault="0048516D" w:rsidP="0048516D">
            <w:pPr>
              <w:jc w:val="both"/>
              <w:rPr>
                <w:rFonts w:ascii="Verdana" w:hAnsi="Verdana"/>
                <w:i/>
                <w:iCs/>
                <w:sz w:val="14"/>
                <w:szCs w:val="14"/>
                <w:lang w:val="es-CO"/>
              </w:rPr>
            </w:pPr>
            <w:r w:rsidRPr="00E2177A">
              <w:rPr>
                <w:rFonts w:ascii="Verdana" w:hAnsi="Verdana"/>
                <w:i/>
                <w:iCs/>
                <w:sz w:val="14"/>
                <w:szCs w:val="14"/>
                <w:lang w:val="es-ES_tradnl"/>
              </w:rPr>
              <w:t>CDMB</w:t>
            </w:r>
          </w:p>
        </w:tc>
        <w:tc>
          <w:tcPr>
            <w:tcW w:w="531" w:type="pct"/>
            <w:tcBorders>
              <w:top w:val="nil"/>
              <w:left w:val="nil"/>
              <w:bottom w:val="single" w:sz="8" w:space="0" w:color="auto"/>
              <w:right w:val="single" w:sz="8" w:space="0" w:color="auto"/>
            </w:tcBorders>
            <w:shd w:val="clear" w:color="auto" w:fill="auto"/>
            <w:vAlign w:val="center"/>
            <w:hideMark/>
          </w:tcPr>
          <w:p w14:paraId="4475439A" w14:textId="77777777" w:rsidR="0048516D" w:rsidRPr="00E2177A" w:rsidRDefault="0048516D" w:rsidP="0048516D">
            <w:pPr>
              <w:jc w:val="both"/>
              <w:rPr>
                <w:rFonts w:ascii="Verdana" w:hAnsi="Verdana"/>
                <w:i/>
                <w:iCs/>
                <w:sz w:val="14"/>
                <w:szCs w:val="14"/>
                <w:lang w:val="es-CO"/>
              </w:rPr>
            </w:pPr>
            <w:r w:rsidRPr="00E2177A">
              <w:rPr>
                <w:rFonts w:ascii="Verdana" w:hAnsi="Verdana"/>
                <w:i/>
                <w:iCs/>
                <w:sz w:val="14"/>
                <w:szCs w:val="14"/>
                <w:lang w:val="es-ES_tradnl"/>
              </w:rPr>
              <w:t>Área protegida microcuenca Rio Tona</w:t>
            </w:r>
          </w:p>
        </w:tc>
        <w:tc>
          <w:tcPr>
            <w:tcW w:w="500" w:type="pct"/>
            <w:tcBorders>
              <w:top w:val="nil"/>
              <w:left w:val="nil"/>
              <w:bottom w:val="single" w:sz="8" w:space="0" w:color="auto"/>
              <w:right w:val="single" w:sz="8" w:space="0" w:color="auto"/>
            </w:tcBorders>
            <w:shd w:val="clear" w:color="auto" w:fill="auto"/>
            <w:vAlign w:val="center"/>
            <w:hideMark/>
          </w:tcPr>
          <w:p w14:paraId="61AF41C9" w14:textId="77777777" w:rsidR="0048516D" w:rsidRPr="00E2177A" w:rsidRDefault="0048516D" w:rsidP="0048516D">
            <w:pPr>
              <w:jc w:val="both"/>
              <w:rPr>
                <w:rFonts w:ascii="Verdana" w:hAnsi="Verdana"/>
                <w:i/>
                <w:iCs/>
                <w:sz w:val="14"/>
                <w:szCs w:val="14"/>
                <w:lang w:val="es-CO"/>
              </w:rPr>
            </w:pPr>
            <w:r w:rsidRPr="00E2177A">
              <w:rPr>
                <w:rFonts w:ascii="Verdana" w:hAnsi="Verdana"/>
                <w:i/>
                <w:iCs/>
                <w:sz w:val="14"/>
                <w:szCs w:val="14"/>
                <w:lang w:val="es-ES_tradnl"/>
              </w:rPr>
              <w:t>11.608,55</w:t>
            </w:r>
          </w:p>
        </w:tc>
        <w:tc>
          <w:tcPr>
            <w:tcW w:w="500" w:type="pct"/>
            <w:tcBorders>
              <w:top w:val="nil"/>
              <w:left w:val="nil"/>
              <w:bottom w:val="single" w:sz="8" w:space="0" w:color="auto"/>
              <w:right w:val="single" w:sz="8" w:space="0" w:color="auto"/>
            </w:tcBorders>
            <w:shd w:val="clear" w:color="auto" w:fill="auto"/>
            <w:vAlign w:val="center"/>
            <w:hideMark/>
          </w:tcPr>
          <w:p w14:paraId="1B7BA9DE" w14:textId="77777777" w:rsidR="0048516D" w:rsidRPr="00E2177A" w:rsidRDefault="0048516D" w:rsidP="0048516D">
            <w:pPr>
              <w:jc w:val="both"/>
              <w:rPr>
                <w:rFonts w:ascii="Verdana" w:hAnsi="Verdana"/>
                <w:i/>
                <w:iCs/>
                <w:sz w:val="14"/>
                <w:szCs w:val="14"/>
                <w:lang w:val="es-CO"/>
              </w:rPr>
            </w:pPr>
            <w:r w:rsidRPr="00E2177A">
              <w:rPr>
                <w:rFonts w:ascii="Verdana" w:hAnsi="Verdana"/>
                <w:i/>
                <w:iCs/>
                <w:sz w:val="14"/>
                <w:szCs w:val="14"/>
                <w:lang w:val="es-ES_tradnl"/>
              </w:rPr>
              <w:t>5.653,67</w:t>
            </w:r>
          </w:p>
        </w:tc>
        <w:tc>
          <w:tcPr>
            <w:tcW w:w="500" w:type="pct"/>
            <w:tcBorders>
              <w:top w:val="nil"/>
              <w:left w:val="nil"/>
              <w:bottom w:val="single" w:sz="8" w:space="0" w:color="auto"/>
              <w:right w:val="single" w:sz="8" w:space="0" w:color="auto"/>
            </w:tcBorders>
            <w:shd w:val="clear" w:color="auto" w:fill="auto"/>
            <w:vAlign w:val="center"/>
            <w:hideMark/>
          </w:tcPr>
          <w:p w14:paraId="72306810" w14:textId="77777777" w:rsidR="0048516D" w:rsidRPr="00E2177A" w:rsidRDefault="0048516D" w:rsidP="0048516D">
            <w:pPr>
              <w:jc w:val="both"/>
              <w:rPr>
                <w:rFonts w:ascii="Verdana" w:hAnsi="Verdana"/>
                <w:i/>
                <w:iCs/>
                <w:sz w:val="14"/>
                <w:szCs w:val="14"/>
                <w:lang w:val="es-CO"/>
              </w:rPr>
            </w:pPr>
            <w:r w:rsidRPr="00E2177A">
              <w:rPr>
                <w:rFonts w:ascii="Verdana" w:hAnsi="Verdana"/>
                <w:i/>
                <w:iCs/>
                <w:sz w:val="14"/>
                <w:szCs w:val="14"/>
                <w:lang w:val="es-ES_tradnl"/>
              </w:rPr>
              <w:t>5.954,88</w:t>
            </w:r>
          </w:p>
        </w:tc>
        <w:tc>
          <w:tcPr>
            <w:tcW w:w="435" w:type="pct"/>
            <w:tcBorders>
              <w:top w:val="nil"/>
              <w:left w:val="nil"/>
              <w:bottom w:val="single" w:sz="8" w:space="0" w:color="auto"/>
              <w:right w:val="single" w:sz="8" w:space="0" w:color="auto"/>
            </w:tcBorders>
            <w:shd w:val="clear" w:color="auto" w:fill="auto"/>
            <w:vAlign w:val="center"/>
            <w:hideMark/>
          </w:tcPr>
          <w:p w14:paraId="4615136A" w14:textId="77777777" w:rsidR="0048516D" w:rsidRPr="00E2177A" w:rsidRDefault="0048516D" w:rsidP="0048516D">
            <w:pPr>
              <w:jc w:val="both"/>
              <w:rPr>
                <w:rFonts w:ascii="Verdana" w:hAnsi="Verdana"/>
                <w:i/>
                <w:iCs/>
                <w:sz w:val="14"/>
                <w:szCs w:val="14"/>
                <w:lang w:val="es-CO"/>
              </w:rPr>
            </w:pPr>
            <w:r w:rsidRPr="00E2177A">
              <w:rPr>
                <w:rFonts w:ascii="Verdana" w:hAnsi="Verdana"/>
                <w:i/>
                <w:iCs/>
                <w:sz w:val="14"/>
                <w:szCs w:val="14"/>
                <w:lang w:val="es-ES_tradnl"/>
              </w:rPr>
              <w:t>0</w:t>
            </w:r>
          </w:p>
        </w:tc>
        <w:tc>
          <w:tcPr>
            <w:tcW w:w="189" w:type="pct"/>
            <w:tcBorders>
              <w:top w:val="nil"/>
              <w:left w:val="nil"/>
              <w:bottom w:val="single" w:sz="8" w:space="0" w:color="auto"/>
              <w:right w:val="single" w:sz="8" w:space="0" w:color="auto"/>
            </w:tcBorders>
            <w:shd w:val="clear" w:color="auto" w:fill="auto"/>
            <w:vAlign w:val="center"/>
            <w:hideMark/>
          </w:tcPr>
          <w:p w14:paraId="3196AF09" w14:textId="77777777" w:rsidR="0048516D" w:rsidRPr="00E2177A" w:rsidRDefault="0048516D" w:rsidP="0048516D">
            <w:pPr>
              <w:jc w:val="both"/>
              <w:rPr>
                <w:rFonts w:ascii="Verdana" w:hAnsi="Verdana"/>
                <w:i/>
                <w:iCs/>
                <w:sz w:val="14"/>
                <w:szCs w:val="14"/>
                <w:lang w:val="es-CO"/>
              </w:rPr>
            </w:pPr>
            <w:r w:rsidRPr="00E2177A">
              <w:rPr>
                <w:rFonts w:ascii="Verdana" w:hAnsi="Verdana"/>
                <w:i/>
                <w:iCs/>
                <w:sz w:val="14"/>
                <w:szCs w:val="14"/>
                <w:lang w:val="es-ES_tradnl"/>
              </w:rPr>
              <w:t> </w:t>
            </w:r>
          </w:p>
        </w:tc>
        <w:tc>
          <w:tcPr>
            <w:tcW w:w="230" w:type="pct"/>
            <w:tcBorders>
              <w:top w:val="nil"/>
              <w:left w:val="nil"/>
              <w:bottom w:val="single" w:sz="8" w:space="0" w:color="auto"/>
              <w:right w:val="single" w:sz="8" w:space="0" w:color="auto"/>
            </w:tcBorders>
            <w:shd w:val="clear" w:color="auto" w:fill="auto"/>
            <w:vAlign w:val="center"/>
            <w:hideMark/>
          </w:tcPr>
          <w:p w14:paraId="7CC5CAD3" w14:textId="77777777" w:rsidR="0048516D" w:rsidRPr="00E2177A" w:rsidRDefault="0048516D" w:rsidP="0048516D">
            <w:pPr>
              <w:jc w:val="both"/>
              <w:rPr>
                <w:rFonts w:ascii="Verdana" w:hAnsi="Verdana"/>
                <w:i/>
                <w:iCs/>
                <w:sz w:val="14"/>
                <w:szCs w:val="14"/>
                <w:lang w:val="es-CO"/>
              </w:rPr>
            </w:pPr>
            <w:r w:rsidRPr="00E2177A">
              <w:rPr>
                <w:rFonts w:ascii="Verdana" w:hAnsi="Verdana"/>
                <w:i/>
                <w:iCs/>
                <w:sz w:val="14"/>
                <w:szCs w:val="14"/>
                <w:lang w:val="es-ES_tradnl"/>
              </w:rPr>
              <w:t> </w:t>
            </w:r>
          </w:p>
        </w:tc>
      </w:tr>
      <w:tr w:rsidR="0048516D" w:rsidRPr="0048516D" w14:paraId="219B7299" w14:textId="77777777" w:rsidTr="00E2177A">
        <w:trPr>
          <w:trHeight w:val="804"/>
        </w:trPr>
        <w:tc>
          <w:tcPr>
            <w:tcW w:w="616" w:type="pct"/>
            <w:tcBorders>
              <w:top w:val="nil"/>
              <w:left w:val="single" w:sz="8" w:space="0" w:color="auto"/>
              <w:bottom w:val="single" w:sz="8" w:space="0" w:color="auto"/>
              <w:right w:val="single" w:sz="8" w:space="0" w:color="auto"/>
            </w:tcBorders>
            <w:shd w:val="clear" w:color="auto" w:fill="auto"/>
            <w:vAlign w:val="center"/>
            <w:hideMark/>
          </w:tcPr>
          <w:p w14:paraId="4E97D40B" w14:textId="77777777" w:rsidR="0048516D" w:rsidRPr="00E2177A" w:rsidRDefault="0048516D" w:rsidP="0048516D">
            <w:pPr>
              <w:jc w:val="both"/>
              <w:rPr>
                <w:rFonts w:ascii="Verdana" w:hAnsi="Verdana"/>
                <w:i/>
                <w:iCs/>
                <w:sz w:val="14"/>
                <w:szCs w:val="14"/>
                <w:lang w:val="es-CO"/>
              </w:rPr>
            </w:pPr>
            <w:r w:rsidRPr="00E2177A">
              <w:rPr>
                <w:rFonts w:ascii="Verdana" w:hAnsi="Verdana"/>
                <w:i/>
                <w:iCs/>
                <w:sz w:val="14"/>
                <w:szCs w:val="14"/>
                <w:lang w:val="es-ES_tradnl"/>
              </w:rPr>
              <w:t>Aprestamiento</w:t>
            </w:r>
          </w:p>
        </w:tc>
        <w:tc>
          <w:tcPr>
            <w:tcW w:w="560" w:type="pct"/>
            <w:vMerge/>
            <w:tcBorders>
              <w:top w:val="nil"/>
              <w:left w:val="single" w:sz="8" w:space="0" w:color="auto"/>
              <w:bottom w:val="single" w:sz="8" w:space="0" w:color="000000"/>
              <w:right w:val="single" w:sz="8" w:space="0" w:color="auto"/>
            </w:tcBorders>
            <w:vAlign w:val="center"/>
            <w:hideMark/>
          </w:tcPr>
          <w:p w14:paraId="31AE96CB" w14:textId="77777777" w:rsidR="0048516D" w:rsidRPr="00E2177A" w:rsidRDefault="0048516D" w:rsidP="0048516D">
            <w:pPr>
              <w:jc w:val="both"/>
              <w:rPr>
                <w:rFonts w:ascii="Verdana" w:hAnsi="Verdana"/>
                <w:i/>
                <w:iCs/>
                <w:sz w:val="14"/>
                <w:szCs w:val="14"/>
                <w:lang w:val="es-CO"/>
              </w:rPr>
            </w:pPr>
          </w:p>
        </w:tc>
        <w:tc>
          <w:tcPr>
            <w:tcW w:w="399" w:type="pct"/>
            <w:tcBorders>
              <w:top w:val="nil"/>
              <w:left w:val="nil"/>
              <w:bottom w:val="single" w:sz="8" w:space="0" w:color="auto"/>
              <w:right w:val="single" w:sz="8" w:space="0" w:color="auto"/>
            </w:tcBorders>
            <w:shd w:val="clear" w:color="auto" w:fill="auto"/>
            <w:vAlign w:val="center"/>
            <w:hideMark/>
          </w:tcPr>
          <w:p w14:paraId="11DBB9B3" w14:textId="77777777" w:rsidR="0048516D" w:rsidRPr="00E2177A" w:rsidRDefault="0048516D" w:rsidP="0048516D">
            <w:pPr>
              <w:jc w:val="both"/>
              <w:rPr>
                <w:rFonts w:ascii="Verdana" w:hAnsi="Verdana"/>
                <w:i/>
                <w:iCs/>
                <w:sz w:val="14"/>
                <w:szCs w:val="14"/>
                <w:lang w:val="es-CO"/>
              </w:rPr>
            </w:pPr>
            <w:r w:rsidRPr="00E2177A">
              <w:rPr>
                <w:rFonts w:ascii="Verdana" w:hAnsi="Verdana"/>
                <w:i/>
                <w:iCs/>
                <w:sz w:val="14"/>
                <w:szCs w:val="14"/>
                <w:lang w:val="es-ES_tradnl"/>
              </w:rPr>
              <w:t>3</w:t>
            </w:r>
          </w:p>
        </w:tc>
        <w:tc>
          <w:tcPr>
            <w:tcW w:w="541" w:type="pct"/>
            <w:tcBorders>
              <w:top w:val="nil"/>
              <w:left w:val="nil"/>
              <w:bottom w:val="single" w:sz="8" w:space="0" w:color="auto"/>
              <w:right w:val="single" w:sz="8" w:space="0" w:color="auto"/>
            </w:tcBorders>
            <w:shd w:val="clear" w:color="auto" w:fill="auto"/>
            <w:vAlign w:val="center"/>
            <w:hideMark/>
          </w:tcPr>
          <w:p w14:paraId="356FB43C" w14:textId="77777777" w:rsidR="0048516D" w:rsidRPr="00E2177A" w:rsidRDefault="0048516D" w:rsidP="0048516D">
            <w:pPr>
              <w:jc w:val="both"/>
              <w:rPr>
                <w:rFonts w:ascii="Verdana" w:hAnsi="Verdana"/>
                <w:i/>
                <w:iCs/>
                <w:sz w:val="14"/>
                <w:szCs w:val="14"/>
                <w:lang w:val="es-CO"/>
              </w:rPr>
            </w:pPr>
            <w:r w:rsidRPr="00E2177A">
              <w:rPr>
                <w:rFonts w:ascii="Verdana" w:hAnsi="Verdana"/>
                <w:i/>
                <w:iCs/>
                <w:sz w:val="14"/>
                <w:szCs w:val="14"/>
                <w:lang w:val="es-ES_tradnl"/>
              </w:rPr>
              <w:t>Codechocó</w:t>
            </w:r>
          </w:p>
        </w:tc>
        <w:tc>
          <w:tcPr>
            <w:tcW w:w="531" w:type="pct"/>
            <w:tcBorders>
              <w:top w:val="nil"/>
              <w:left w:val="nil"/>
              <w:bottom w:val="single" w:sz="8" w:space="0" w:color="auto"/>
              <w:right w:val="single" w:sz="8" w:space="0" w:color="auto"/>
            </w:tcBorders>
            <w:shd w:val="clear" w:color="auto" w:fill="auto"/>
            <w:vAlign w:val="center"/>
            <w:hideMark/>
          </w:tcPr>
          <w:p w14:paraId="19624215" w14:textId="77777777" w:rsidR="0048516D" w:rsidRPr="00E2177A" w:rsidRDefault="0048516D" w:rsidP="0048516D">
            <w:pPr>
              <w:jc w:val="both"/>
              <w:rPr>
                <w:rFonts w:ascii="Verdana" w:hAnsi="Verdana"/>
                <w:i/>
                <w:iCs/>
                <w:sz w:val="14"/>
                <w:szCs w:val="14"/>
                <w:lang w:val="es-CO"/>
              </w:rPr>
            </w:pPr>
            <w:r w:rsidRPr="00E2177A">
              <w:rPr>
                <w:rFonts w:ascii="Verdana" w:hAnsi="Verdana"/>
                <w:i/>
                <w:iCs/>
                <w:sz w:val="14"/>
                <w:szCs w:val="14"/>
                <w:lang w:val="es-ES_tradnl"/>
              </w:rPr>
              <w:t>Relictos de Caoba de Jurado</w:t>
            </w:r>
          </w:p>
        </w:tc>
        <w:tc>
          <w:tcPr>
            <w:tcW w:w="500" w:type="pct"/>
            <w:tcBorders>
              <w:top w:val="nil"/>
              <w:left w:val="nil"/>
              <w:bottom w:val="single" w:sz="8" w:space="0" w:color="auto"/>
              <w:right w:val="single" w:sz="8" w:space="0" w:color="auto"/>
            </w:tcBorders>
            <w:shd w:val="clear" w:color="auto" w:fill="auto"/>
            <w:vAlign w:val="center"/>
            <w:hideMark/>
          </w:tcPr>
          <w:p w14:paraId="698DE2C3" w14:textId="77777777" w:rsidR="0048516D" w:rsidRPr="00E2177A" w:rsidRDefault="0048516D" w:rsidP="0048516D">
            <w:pPr>
              <w:jc w:val="both"/>
              <w:rPr>
                <w:rFonts w:ascii="Verdana" w:hAnsi="Verdana"/>
                <w:i/>
                <w:iCs/>
                <w:sz w:val="14"/>
                <w:szCs w:val="14"/>
                <w:lang w:val="es-CO"/>
              </w:rPr>
            </w:pPr>
            <w:r w:rsidRPr="00E2177A">
              <w:rPr>
                <w:rFonts w:ascii="Verdana" w:hAnsi="Verdana"/>
                <w:i/>
                <w:iCs/>
                <w:sz w:val="14"/>
                <w:szCs w:val="14"/>
                <w:lang w:val="es-ES_tradnl"/>
              </w:rPr>
              <w:t>67.025,46</w:t>
            </w:r>
          </w:p>
        </w:tc>
        <w:tc>
          <w:tcPr>
            <w:tcW w:w="500" w:type="pct"/>
            <w:tcBorders>
              <w:top w:val="nil"/>
              <w:left w:val="nil"/>
              <w:bottom w:val="single" w:sz="8" w:space="0" w:color="auto"/>
              <w:right w:val="single" w:sz="8" w:space="0" w:color="auto"/>
            </w:tcBorders>
            <w:shd w:val="clear" w:color="auto" w:fill="auto"/>
            <w:vAlign w:val="center"/>
            <w:hideMark/>
          </w:tcPr>
          <w:p w14:paraId="03414975" w14:textId="77777777" w:rsidR="0048516D" w:rsidRPr="00E2177A" w:rsidRDefault="0048516D" w:rsidP="0048516D">
            <w:pPr>
              <w:jc w:val="both"/>
              <w:rPr>
                <w:rFonts w:ascii="Verdana" w:hAnsi="Verdana"/>
                <w:i/>
                <w:iCs/>
                <w:sz w:val="14"/>
                <w:szCs w:val="14"/>
                <w:lang w:val="es-CO"/>
              </w:rPr>
            </w:pPr>
            <w:r w:rsidRPr="00E2177A">
              <w:rPr>
                <w:rFonts w:ascii="Verdana" w:hAnsi="Verdana"/>
                <w:i/>
                <w:iCs/>
                <w:sz w:val="14"/>
                <w:szCs w:val="14"/>
                <w:lang w:val="es-ES_tradnl"/>
              </w:rPr>
              <w:t>67.025,46</w:t>
            </w:r>
          </w:p>
        </w:tc>
        <w:tc>
          <w:tcPr>
            <w:tcW w:w="500" w:type="pct"/>
            <w:tcBorders>
              <w:top w:val="nil"/>
              <w:left w:val="nil"/>
              <w:bottom w:val="single" w:sz="8" w:space="0" w:color="auto"/>
              <w:right w:val="single" w:sz="8" w:space="0" w:color="auto"/>
            </w:tcBorders>
            <w:shd w:val="clear" w:color="auto" w:fill="auto"/>
            <w:vAlign w:val="center"/>
            <w:hideMark/>
          </w:tcPr>
          <w:p w14:paraId="7AABAF38" w14:textId="77777777" w:rsidR="0048516D" w:rsidRPr="00E2177A" w:rsidRDefault="0048516D" w:rsidP="0048516D">
            <w:pPr>
              <w:jc w:val="both"/>
              <w:rPr>
                <w:rFonts w:ascii="Verdana" w:hAnsi="Verdana"/>
                <w:i/>
                <w:iCs/>
                <w:sz w:val="14"/>
                <w:szCs w:val="14"/>
                <w:lang w:val="es-CO"/>
              </w:rPr>
            </w:pPr>
            <w:r w:rsidRPr="00E2177A">
              <w:rPr>
                <w:rFonts w:ascii="Verdana" w:hAnsi="Verdana"/>
                <w:i/>
                <w:iCs/>
                <w:sz w:val="14"/>
                <w:szCs w:val="14"/>
                <w:lang w:val="es-ES_tradnl"/>
              </w:rPr>
              <w:t>0</w:t>
            </w:r>
          </w:p>
        </w:tc>
        <w:tc>
          <w:tcPr>
            <w:tcW w:w="435" w:type="pct"/>
            <w:tcBorders>
              <w:top w:val="nil"/>
              <w:left w:val="nil"/>
              <w:bottom w:val="single" w:sz="8" w:space="0" w:color="auto"/>
              <w:right w:val="single" w:sz="8" w:space="0" w:color="auto"/>
            </w:tcBorders>
            <w:shd w:val="clear" w:color="auto" w:fill="auto"/>
            <w:vAlign w:val="center"/>
            <w:hideMark/>
          </w:tcPr>
          <w:p w14:paraId="276DED83" w14:textId="77777777" w:rsidR="0048516D" w:rsidRPr="00E2177A" w:rsidRDefault="0048516D" w:rsidP="0048516D">
            <w:pPr>
              <w:jc w:val="both"/>
              <w:rPr>
                <w:rFonts w:ascii="Verdana" w:hAnsi="Verdana"/>
                <w:i/>
                <w:iCs/>
                <w:sz w:val="14"/>
                <w:szCs w:val="14"/>
                <w:lang w:val="es-CO"/>
              </w:rPr>
            </w:pPr>
            <w:r w:rsidRPr="00E2177A">
              <w:rPr>
                <w:rFonts w:ascii="Verdana" w:hAnsi="Verdana"/>
                <w:i/>
                <w:iCs/>
                <w:sz w:val="14"/>
                <w:szCs w:val="14"/>
                <w:lang w:val="es-ES_tradnl"/>
              </w:rPr>
              <w:t>0</w:t>
            </w:r>
          </w:p>
        </w:tc>
        <w:tc>
          <w:tcPr>
            <w:tcW w:w="189" w:type="pct"/>
            <w:tcBorders>
              <w:top w:val="nil"/>
              <w:left w:val="nil"/>
              <w:bottom w:val="single" w:sz="8" w:space="0" w:color="auto"/>
              <w:right w:val="single" w:sz="8" w:space="0" w:color="auto"/>
            </w:tcBorders>
            <w:shd w:val="clear" w:color="auto" w:fill="auto"/>
            <w:vAlign w:val="center"/>
            <w:hideMark/>
          </w:tcPr>
          <w:p w14:paraId="3F3D6FDD" w14:textId="77777777" w:rsidR="0048516D" w:rsidRPr="00E2177A" w:rsidRDefault="0048516D" w:rsidP="0048516D">
            <w:pPr>
              <w:jc w:val="both"/>
              <w:rPr>
                <w:rFonts w:ascii="Verdana" w:hAnsi="Verdana"/>
                <w:i/>
                <w:iCs/>
                <w:sz w:val="14"/>
                <w:szCs w:val="14"/>
                <w:lang w:val="es-CO"/>
              </w:rPr>
            </w:pPr>
            <w:r w:rsidRPr="00E2177A">
              <w:rPr>
                <w:rFonts w:ascii="Verdana" w:hAnsi="Verdana"/>
                <w:i/>
                <w:iCs/>
                <w:sz w:val="14"/>
                <w:szCs w:val="14"/>
                <w:lang w:val="es-ES_tradnl"/>
              </w:rPr>
              <w:t> </w:t>
            </w:r>
          </w:p>
        </w:tc>
        <w:tc>
          <w:tcPr>
            <w:tcW w:w="230" w:type="pct"/>
            <w:tcBorders>
              <w:top w:val="nil"/>
              <w:left w:val="nil"/>
              <w:bottom w:val="single" w:sz="8" w:space="0" w:color="auto"/>
              <w:right w:val="single" w:sz="8" w:space="0" w:color="auto"/>
            </w:tcBorders>
            <w:shd w:val="clear" w:color="auto" w:fill="auto"/>
            <w:vAlign w:val="center"/>
            <w:hideMark/>
          </w:tcPr>
          <w:p w14:paraId="32F950BF" w14:textId="77777777" w:rsidR="0048516D" w:rsidRPr="00E2177A" w:rsidRDefault="0048516D" w:rsidP="0048516D">
            <w:pPr>
              <w:jc w:val="both"/>
              <w:rPr>
                <w:rFonts w:ascii="Verdana" w:hAnsi="Verdana"/>
                <w:i/>
                <w:iCs/>
                <w:sz w:val="14"/>
                <w:szCs w:val="14"/>
                <w:lang w:val="es-CO"/>
              </w:rPr>
            </w:pPr>
            <w:r w:rsidRPr="00E2177A">
              <w:rPr>
                <w:rFonts w:ascii="Verdana" w:hAnsi="Verdana"/>
                <w:i/>
                <w:iCs/>
                <w:sz w:val="14"/>
                <w:szCs w:val="14"/>
                <w:lang w:val="es-ES_tradnl"/>
              </w:rPr>
              <w:t> </w:t>
            </w:r>
          </w:p>
        </w:tc>
      </w:tr>
      <w:tr w:rsidR="0048516D" w:rsidRPr="0048516D" w14:paraId="21F3A545" w14:textId="77777777" w:rsidTr="00E2177A">
        <w:trPr>
          <w:trHeight w:val="540"/>
        </w:trPr>
        <w:tc>
          <w:tcPr>
            <w:tcW w:w="616" w:type="pct"/>
            <w:tcBorders>
              <w:top w:val="nil"/>
              <w:left w:val="single" w:sz="8" w:space="0" w:color="auto"/>
              <w:bottom w:val="single" w:sz="8" w:space="0" w:color="auto"/>
              <w:right w:val="single" w:sz="8" w:space="0" w:color="auto"/>
            </w:tcBorders>
            <w:shd w:val="clear" w:color="auto" w:fill="auto"/>
            <w:vAlign w:val="center"/>
            <w:hideMark/>
          </w:tcPr>
          <w:p w14:paraId="63882ECC" w14:textId="77777777" w:rsidR="0048516D" w:rsidRPr="00E2177A" w:rsidRDefault="0048516D" w:rsidP="0048516D">
            <w:pPr>
              <w:jc w:val="both"/>
              <w:rPr>
                <w:rFonts w:ascii="Verdana" w:hAnsi="Verdana"/>
                <w:i/>
                <w:iCs/>
                <w:sz w:val="14"/>
                <w:szCs w:val="14"/>
                <w:lang w:val="es-CO"/>
              </w:rPr>
            </w:pPr>
            <w:r w:rsidRPr="00E2177A">
              <w:rPr>
                <w:rFonts w:ascii="Verdana" w:hAnsi="Verdana"/>
                <w:i/>
                <w:iCs/>
                <w:sz w:val="14"/>
                <w:szCs w:val="14"/>
                <w:lang w:val="es-ES_tradnl"/>
              </w:rPr>
              <w:t>Aprestamiento</w:t>
            </w:r>
          </w:p>
        </w:tc>
        <w:tc>
          <w:tcPr>
            <w:tcW w:w="560" w:type="pct"/>
            <w:vMerge/>
            <w:tcBorders>
              <w:top w:val="nil"/>
              <w:left w:val="single" w:sz="8" w:space="0" w:color="auto"/>
              <w:bottom w:val="single" w:sz="8" w:space="0" w:color="000000"/>
              <w:right w:val="single" w:sz="8" w:space="0" w:color="auto"/>
            </w:tcBorders>
            <w:vAlign w:val="center"/>
            <w:hideMark/>
          </w:tcPr>
          <w:p w14:paraId="7A78326E" w14:textId="77777777" w:rsidR="0048516D" w:rsidRPr="00E2177A" w:rsidRDefault="0048516D" w:rsidP="0048516D">
            <w:pPr>
              <w:jc w:val="both"/>
              <w:rPr>
                <w:rFonts w:ascii="Verdana" w:hAnsi="Verdana"/>
                <w:i/>
                <w:iCs/>
                <w:sz w:val="14"/>
                <w:szCs w:val="14"/>
                <w:lang w:val="es-CO"/>
              </w:rPr>
            </w:pPr>
          </w:p>
        </w:tc>
        <w:tc>
          <w:tcPr>
            <w:tcW w:w="399" w:type="pct"/>
            <w:tcBorders>
              <w:top w:val="nil"/>
              <w:left w:val="nil"/>
              <w:bottom w:val="single" w:sz="8" w:space="0" w:color="auto"/>
              <w:right w:val="single" w:sz="8" w:space="0" w:color="auto"/>
            </w:tcBorders>
            <w:shd w:val="clear" w:color="auto" w:fill="auto"/>
            <w:vAlign w:val="center"/>
            <w:hideMark/>
          </w:tcPr>
          <w:p w14:paraId="70339C7F" w14:textId="77777777" w:rsidR="0048516D" w:rsidRPr="00E2177A" w:rsidRDefault="0048516D" w:rsidP="0048516D">
            <w:pPr>
              <w:jc w:val="both"/>
              <w:rPr>
                <w:rFonts w:ascii="Verdana" w:hAnsi="Verdana"/>
                <w:i/>
                <w:iCs/>
                <w:sz w:val="14"/>
                <w:szCs w:val="14"/>
                <w:lang w:val="es-CO"/>
              </w:rPr>
            </w:pPr>
            <w:r w:rsidRPr="00E2177A">
              <w:rPr>
                <w:rFonts w:ascii="Verdana" w:hAnsi="Verdana"/>
                <w:i/>
                <w:iCs/>
                <w:sz w:val="14"/>
                <w:szCs w:val="14"/>
                <w:lang w:val="es-ES_tradnl"/>
              </w:rPr>
              <w:t>14</w:t>
            </w:r>
          </w:p>
        </w:tc>
        <w:tc>
          <w:tcPr>
            <w:tcW w:w="541" w:type="pct"/>
            <w:tcBorders>
              <w:top w:val="nil"/>
              <w:left w:val="nil"/>
              <w:bottom w:val="single" w:sz="8" w:space="0" w:color="auto"/>
              <w:right w:val="single" w:sz="8" w:space="0" w:color="auto"/>
            </w:tcBorders>
            <w:shd w:val="clear" w:color="auto" w:fill="auto"/>
            <w:vAlign w:val="center"/>
            <w:hideMark/>
          </w:tcPr>
          <w:p w14:paraId="07079BC4" w14:textId="77777777" w:rsidR="0048516D" w:rsidRPr="00E2177A" w:rsidRDefault="0048516D" w:rsidP="0048516D">
            <w:pPr>
              <w:jc w:val="both"/>
              <w:rPr>
                <w:rFonts w:ascii="Verdana" w:hAnsi="Verdana"/>
                <w:i/>
                <w:iCs/>
                <w:sz w:val="14"/>
                <w:szCs w:val="14"/>
                <w:lang w:val="es-CO"/>
              </w:rPr>
            </w:pPr>
            <w:r w:rsidRPr="00E2177A">
              <w:rPr>
                <w:rFonts w:ascii="Verdana" w:hAnsi="Verdana"/>
                <w:i/>
                <w:iCs/>
                <w:sz w:val="14"/>
                <w:szCs w:val="14"/>
                <w:lang w:val="es-ES_tradnl"/>
              </w:rPr>
              <w:t>Corporinoquia</w:t>
            </w:r>
          </w:p>
        </w:tc>
        <w:tc>
          <w:tcPr>
            <w:tcW w:w="531" w:type="pct"/>
            <w:tcBorders>
              <w:top w:val="nil"/>
              <w:left w:val="nil"/>
              <w:bottom w:val="single" w:sz="8" w:space="0" w:color="auto"/>
              <w:right w:val="single" w:sz="8" w:space="0" w:color="auto"/>
            </w:tcBorders>
            <w:shd w:val="clear" w:color="auto" w:fill="auto"/>
            <w:vAlign w:val="center"/>
            <w:hideMark/>
          </w:tcPr>
          <w:p w14:paraId="49EF69C5" w14:textId="77777777" w:rsidR="0048516D" w:rsidRPr="00E2177A" w:rsidRDefault="0048516D" w:rsidP="0048516D">
            <w:pPr>
              <w:jc w:val="both"/>
              <w:rPr>
                <w:rFonts w:ascii="Verdana" w:hAnsi="Verdana"/>
                <w:i/>
                <w:iCs/>
                <w:sz w:val="14"/>
                <w:szCs w:val="14"/>
                <w:lang w:val="es-CO"/>
              </w:rPr>
            </w:pPr>
            <w:r w:rsidRPr="00E2177A">
              <w:rPr>
                <w:rFonts w:ascii="Verdana" w:hAnsi="Verdana"/>
                <w:i/>
                <w:iCs/>
                <w:sz w:val="14"/>
                <w:szCs w:val="14"/>
                <w:lang w:val="es-ES_tradnl"/>
              </w:rPr>
              <w:t>Cerro Zamaricote</w:t>
            </w:r>
          </w:p>
        </w:tc>
        <w:tc>
          <w:tcPr>
            <w:tcW w:w="500" w:type="pct"/>
            <w:tcBorders>
              <w:top w:val="nil"/>
              <w:left w:val="nil"/>
              <w:bottom w:val="single" w:sz="8" w:space="0" w:color="auto"/>
              <w:right w:val="single" w:sz="8" w:space="0" w:color="auto"/>
            </w:tcBorders>
            <w:shd w:val="clear" w:color="auto" w:fill="auto"/>
            <w:vAlign w:val="center"/>
            <w:hideMark/>
          </w:tcPr>
          <w:p w14:paraId="00B993EB" w14:textId="77777777" w:rsidR="0048516D" w:rsidRPr="00E2177A" w:rsidRDefault="0048516D" w:rsidP="0048516D">
            <w:pPr>
              <w:jc w:val="both"/>
              <w:rPr>
                <w:rFonts w:ascii="Verdana" w:hAnsi="Verdana"/>
                <w:i/>
                <w:iCs/>
                <w:sz w:val="14"/>
                <w:szCs w:val="14"/>
                <w:lang w:val="es-CO"/>
              </w:rPr>
            </w:pPr>
            <w:r w:rsidRPr="00E2177A">
              <w:rPr>
                <w:rFonts w:ascii="Verdana" w:hAnsi="Verdana"/>
                <w:i/>
                <w:iCs/>
                <w:sz w:val="14"/>
                <w:szCs w:val="14"/>
                <w:lang w:val="es-ES_tradnl"/>
              </w:rPr>
              <w:t>14.357,95</w:t>
            </w:r>
          </w:p>
        </w:tc>
        <w:tc>
          <w:tcPr>
            <w:tcW w:w="500" w:type="pct"/>
            <w:tcBorders>
              <w:top w:val="nil"/>
              <w:left w:val="nil"/>
              <w:bottom w:val="single" w:sz="8" w:space="0" w:color="auto"/>
              <w:right w:val="single" w:sz="8" w:space="0" w:color="auto"/>
            </w:tcBorders>
            <w:shd w:val="clear" w:color="auto" w:fill="auto"/>
            <w:vAlign w:val="center"/>
            <w:hideMark/>
          </w:tcPr>
          <w:p w14:paraId="6A6C60AE" w14:textId="77777777" w:rsidR="0048516D" w:rsidRPr="00E2177A" w:rsidRDefault="0048516D" w:rsidP="0048516D">
            <w:pPr>
              <w:jc w:val="both"/>
              <w:rPr>
                <w:rFonts w:ascii="Verdana" w:hAnsi="Verdana"/>
                <w:i/>
                <w:iCs/>
                <w:sz w:val="14"/>
                <w:szCs w:val="14"/>
                <w:lang w:val="es-CO"/>
              </w:rPr>
            </w:pPr>
            <w:r w:rsidRPr="00E2177A">
              <w:rPr>
                <w:rFonts w:ascii="Verdana" w:hAnsi="Verdana"/>
                <w:i/>
                <w:iCs/>
                <w:sz w:val="14"/>
                <w:szCs w:val="14"/>
                <w:lang w:val="es-ES_tradnl"/>
              </w:rPr>
              <w:t>15.520,97</w:t>
            </w:r>
          </w:p>
        </w:tc>
        <w:tc>
          <w:tcPr>
            <w:tcW w:w="500" w:type="pct"/>
            <w:tcBorders>
              <w:top w:val="nil"/>
              <w:left w:val="nil"/>
              <w:bottom w:val="single" w:sz="8" w:space="0" w:color="auto"/>
              <w:right w:val="single" w:sz="8" w:space="0" w:color="auto"/>
            </w:tcBorders>
            <w:shd w:val="clear" w:color="auto" w:fill="auto"/>
            <w:vAlign w:val="center"/>
            <w:hideMark/>
          </w:tcPr>
          <w:p w14:paraId="5AC5E9E6" w14:textId="77777777" w:rsidR="0048516D" w:rsidRPr="00E2177A" w:rsidRDefault="0048516D" w:rsidP="0048516D">
            <w:pPr>
              <w:jc w:val="both"/>
              <w:rPr>
                <w:rFonts w:ascii="Verdana" w:hAnsi="Verdana"/>
                <w:i/>
                <w:iCs/>
                <w:sz w:val="14"/>
                <w:szCs w:val="14"/>
                <w:lang w:val="es-CO"/>
              </w:rPr>
            </w:pPr>
            <w:r w:rsidRPr="00E2177A">
              <w:rPr>
                <w:rFonts w:ascii="Verdana" w:hAnsi="Verdana"/>
                <w:i/>
                <w:iCs/>
                <w:sz w:val="14"/>
                <w:szCs w:val="14"/>
                <w:lang w:val="es-ES_tradnl"/>
              </w:rPr>
              <w:t>0</w:t>
            </w:r>
          </w:p>
        </w:tc>
        <w:tc>
          <w:tcPr>
            <w:tcW w:w="435" w:type="pct"/>
            <w:tcBorders>
              <w:top w:val="nil"/>
              <w:left w:val="nil"/>
              <w:bottom w:val="single" w:sz="8" w:space="0" w:color="auto"/>
              <w:right w:val="single" w:sz="8" w:space="0" w:color="auto"/>
            </w:tcBorders>
            <w:shd w:val="clear" w:color="auto" w:fill="auto"/>
            <w:vAlign w:val="center"/>
            <w:hideMark/>
          </w:tcPr>
          <w:p w14:paraId="75AAF711" w14:textId="77777777" w:rsidR="0048516D" w:rsidRPr="00E2177A" w:rsidRDefault="0048516D" w:rsidP="0048516D">
            <w:pPr>
              <w:jc w:val="both"/>
              <w:rPr>
                <w:rFonts w:ascii="Verdana" w:hAnsi="Verdana"/>
                <w:i/>
                <w:iCs/>
                <w:sz w:val="14"/>
                <w:szCs w:val="14"/>
                <w:lang w:val="es-CO"/>
              </w:rPr>
            </w:pPr>
            <w:r w:rsidRPr="00E2177A">
              <w:rPr>
                <w:rFonts w:ascii="Verdana" w:hAnsi="Verdana"/>
                <w:i/>
                <w:iCs/>
                <w:sz w:val="14"/>
                <w:szCs w:val="14"/>
                <w:lang w:val="es-ES_tradnl"/>
              </w:rPr>
              <w:t>1.163,02</w:t>
            </w:r>
          </w:p>
        </w:tc>
        <w:tc>
          <w:tcPr>
            <w:tcW w:w="189" w:type="pct"/>
            <w:tcBorders>
              <w:top w:val="nil"/>
              <w:left w:val="nil"/>
              <w:bottom w:val="single" w:sz="8" w:space="0" w:color="auto"/>
              <w:right w:val="single" w:sz="8" w:space="0" w:color="auto"/>
            </w:tcBorders>
            <w:shd w:val="clear" w:color="auto" w:fill="auto"/>
            <w:vAlign w:val="center"/>
            <w:hideMark/>
          </w:tcPr>
          <w:p w14:paraId="3AD53133" w14:textId="77777777" w:rsidR="0048516D" w:rsidRPr="00E2177A" w:rsidRDefault="0048516D" w:rsidP="0048516D">
            <w:pPr>
              <w:jc w:val="both"/>
              <w:rPr>
                <w:rFonts w:ascii="Verdana" w:hAnsi="Verdana"/>
                <w:i/>
                <w:iCs/>
                <w:sz w:val="14"/>
                <w:szCs w:val="14"/>
                <w:lang w:val="es-CO"/>
              </w:rPr>
            </w:pPr>
            <w:r w:rsidRPr="00E2177A">
              <w:rPr>
                <w:rFonts w:ascii="Verdana" w:hAnsi="Verdana"/>
                <w:i/>
                <w:iCs/>
                <w:sz w:val="14"/>
                <w:szCs w:val="14"/>
                <w:lang w:val="es-ES_tradnl"/>
              </w:rPr>
              <w:t> </w:t>
            </w:r>
          </w:p>
        </w:tc>
        <w:tc>
          <w:tcPr>
            <w:tcW w:w="230" w:type="pct"/>
            <w:tcBorders>
              <w:top w:val="nil"/>
              <w:left w:val="nil"/>
              <w:bottom w:val="single" w:sz="8" w:space="0" w:color="auto"/>
              <w:right w:val="single" w:sz="8" w:space="0" w:color="auto"/>
            </w:tcBorders>
            <w:shd w:val="clear" w:color="auto" w:fill="auto"/>
            <w:vAlign w:val="center"/>
            <w:hideMark/>
          </w:tcPr>
          <w:p w14:paraId="1FCD4C45" w14:textId="77777777" w:rsidR="0048516D" w:rsidRPr="00E2177A" w:rsidRDefault="0048516D" w:rsidP="0048516D">
            <w:pPr>
              <w:jc w:val="both"/>
              <w:rPr>
                <w:rFonts w:ascii="Verdana" w:hAnsi="Verdana"/>
                <w:i/>
                <w:iCs/>
                <w:sz w:val="14"/>
                <w:szCs w:val="14"/>
                <w:lang w:val="es-CO"/>
              </w:rPr>
            </w:pPr>
            <w:r w:rsidRPr="00E2177A">
              <w:rPr>
                <w:rFonts w:ascii="Verdana" w:hAnsi="Verdana"/>
                <w:i/>
                <w:iCs/>
                <w:sz w:val="14"/>
                <w:szCs w:val="14"/>
                <w:lang w:val="es-ES_tradnl"/>
              </w:rPr>
              <w:t>x</w:t>
            </w:r>
          </w:p>
        </w:tc>
      </w:tr>
      <w:tr w:rsidR="0048516D" w:rsidRPr="0048516D" w14:paraId="46AA70EA" w14:textId="77777777" w:rsidTr="00E2177A">
        <w:trPr>
          <w:trHeight w:val="300"/>
        </w:trPr>
        <w:tc>
          <w:tcPr>
            <w:tcW w:w="616" w:type="pct"/>
            <w:tcBorders>
              <w:top w:val="nil"/>
              <w:left w:val="single" w:sz="8" w:space="0" w:color="auto"/>
              <w:bottom w:val="single" w:sz="8" w:space="0" w:color="auto"/>
              <w:right w:val="single" w:sz="8" w:space="0" w:color="auto"/>
            </w:tcBorders>
            <w:shd w:val="clear" w:color="auto" w:fill="auto"/>
            <w:vAlign w:val="center"/>
            <w:hideMark/>
          </w:tcPr>
          <w:p w14:paraId="1B18165E" w14:textId="77777777" w:rsidR="0048516D" w:rsidRPr="00E2177A" w:rsidRDefault="0048516D" w:rsidP="0048516D">
            <w:pPr>
              <w:jc w:val="both"/>
              <w:rPr>
                <w:rFonts w:ascii="Verdana" w:hAnsi="Verdana"/>
                <w:i/>
                <w:iCs/>
                <w:sz w:val="14"/>
                <w:szCs w:val="14"/>
                <w:lang w:val="es-CO"/>
              </w:rPr>
            </w:pPr>
            <w:r w:rsidRPr="00E2177A">
              <w:rPr>
                <w:rFonts w:ascii="Verdana" w:hAnsi="Verdana"/>
                <w:i/>
                <w:iCs/>
                <w:sz w:val="14"/>
                <w:szCs w:val="14"/>
                <w:lang w:val="es-ES_tradnl"/>
              </w:rPr>
              <w:t>Aprestamiento</w:t>
            </w:r>
          </w:p>
        </w:tc>
        <w:tc>
          <w:tcPr>
            <w:tcW w:w="560" w:type="pct"/>
            <w:vMerge/>
            <w:tcBorders>
              <w:top w:val="nil"/>
              <w:left w:val="single" w:sz="8" w:space="0" w:color="auto"/>
              <w:bottom w:val="single" w:sz="8" w:space="0" w:color="000000"/>
              <w:right w:val="single" w:sz="8" w:space="0" w:color="auto"/>
            </w:tcBorders>
            <w:vAlign w:val="center"/>
            <w:hideMark/>
          </w:tcPr>
          <w:p w14:paraId="061EE6E0" w14:textId="77777777" w:rsidR="0048516D" w:rsidRPr="00E2177A" w:rsidRDefault="0048516D" w:rsidP="0048516D">
            <w:pPr>
              <w:jc w:val="both"/>
              <w:rPr>
                <w:rFonts w:ascii="Verdana" w:hAnsi="Verdana"/>
                <w:i/>
                <w:iCs/>
                <w:sz w:val="14"/>
                <w:szCs w:val="14"/>
                <w:lang w:val="es-CO"/>
              </w:rPr>
            </w:pPr>
          </w:p>
        </w:tc>
        <w:tc>
          <w:tcPr>
            <w:tcW w:w="399" w:type="pct"/>
            <w:tcBorders>
              <w:top w:val="nil"/>
              <w:left w:val="nil"/>
              <w:bottom w:val="single" w:sz="8" w:space="0" w:color="auto"/>
              <w:right w:val="single" w:sz="8" w:space="0" w:color="auto"/>
            </w:tcBorders>
            <w:shd w:val="clear" w:color="auto" w:fill="auto"/>
            <w:vAlign w:val="center"/>
            <w:hideMark/>
          </w:tcPr>
          <w:p w14:paraId="6A8BC0DE" w14:textId="77777777" w:rsidR="0048516D" w:rsidRPr="00E2177A" w:rsidRDefault="0048516D" w:rsidP="0048516D">
            <w:pPr>
              <w:jc w:val="both"/>
              <w:rPr>
                <w:rFonts w:ascii="Verdana" w:hAnsi="Verdana"/>
                <w:i/>
                <w:iCs/>
                <w:sz w:val="14"/>
                <w:szCs w:val="14"/>
                <w:lang w:val="es-CO"/>
              </w:rPr>
            </w:pPr>
            <w:r w:rsidRPr="00E2177A">
              <w:rPr>
                <w:rFonts w:ascii="Verdana" w:hAnsi="Verdana"/>
                <w:i/>
                <w:iCs/>
                <w:sz w:val="14"/>
                <w:szCs w:val="14"/>
                <w:lang w:val="es-ES_tradnl"/>
              </w:rPr>
              <w:t>17</w:t>
            </w:r>
          </w:p>
        </w:tc>
        <w:tc>
          <w:tcPr>
            <w:tcW w:w="541" w:type="pct"/>
            <w:tcBorders>
              <w:top w:val="nil"/>
              <w:left w:val="nil"/>
              <w:bottom w:val="single" w:sz="8" w:space="0" w:color="auto"/>
              <w:right w:val="single" w:sz="8" w:space="0" w:color="auto"/>
            </w:tcBorders>
            <w:shd w:val="clear" w:color="auto" w:fill="auto"/>
            <w:vAlign w:val="center"/>
            <w:hideMark/>
          </w:tcPr>
          <w:p w14:paraId="0E72E5E9" w14:textId="77777777" w:rsidR="0048516D" w:rsidRPr="00E2177A" w:rsidRDefault="0048516D" w:rsidP="0048516D">
            <w:pPr>
              <w:jc w:val="both"/>
              <w:rPr>
                <w:rFonts w:ascii="Verdana" w:hAnsi="Verdana"/>
                <w:i/>
                <w:iCs/>
                <w:sz w:val="14"/>
                <w:szCs w:val="14"/>
                <w:lang w:val="es-CO"/>
              </w:rPr>
            </w:pPr>
            <w:r w:rsidRPr="00E2177A">
              <w:rPr>
                <w:rFonts w:ascii="Verdana" w:hAnsi="Verdana"/>
                <w:i/>
                <w:iCs/>
                <w:sz w:val="14"/>
                <w:szCs w:val="14"/>
                <w:lang w:val="es-ES_tradnl"/>
              </w:rPr>
              <w:t>Cortolima</w:t>
            </w:r>
          </w:p>
        </w:tc>
        <w:tc>
          <w:tcPr>
            <w:tcW w:w="531" w:type="pct"/>
            <w:tcBorders>
              <w:top w:val="nil"/>
              <w:left w:val="nil"/>
              <w:bottom w:val="single" w:sz="8" w:space="0" w:color="auto"/>
              <w:right w:val="single" w:sz="8" w:space="0" w:color="auto"/>
            </w:tcBorders>
            <w:shd w:val="clear" w:color="auto" w:fill="auto"/>
            <w:vAlign w:val="center"/>
            <w:hideMark/>
          </w:tcPr>
          <w:p w14:paraId="68EAC647" w14:textId="77777777" w:rsidR="0048516D" w:rsidRPr="00E2177A" w:rsidRDefault="0048516D" w:rsidP="0048516D">
            <w:pPr>
              <w:jc w:val="both"/>
              <w:rPr>
                <w:rFonts w:ascii="Verdana" w:hAnsi="Verdana"/>
                <w:i/>
                <w:iCs/>
                <w:sz w:val="14"/>
                <w:szCs w:val="14"/>
                <w:lang w:val="es-CO"/>
              </w:rPr>
            </w:pPr>
            <w:r w:rsidRPr="00E2177A">
              <w:rPr>
                <w:rFonts w:ascii="Verdana" w:hAnsi="Verdana"/>
                <w:i/>
                <w:iCs/>
                <w:sz w:val="14"/>
                <w:szCs w:val="14"/>
                <w:lang w:val="es-ES_tradnl"/>
              </w:rPr>
              <w:t>Los Limones</w:t>
            </w:r>
          </w:p>
        </w:tc>
        <w:tc>
          <w:tcPr>
            <w:tcW w:w="500" w:type="pct"/>
            <w:tcBorders>
              <w:top w:val="nil"/>
              <w:left w:val="nil"/>
              <w:bottom w:val="single" w:sz="8" w:space="0" w:color="auto"/>
              <w:right w:val="single" w:sz="8" w:space="0" w:color="auto"/>
            </w:tcBorders>
            <w:shd w:val="clear" w:color="auto" w:fill="auto"/>
            <w:vAlign w:val="center"/>
            <w:hideMark/>
          </w:tcPr>
          <w:p w14:paraId="11C57932" w14:textId="77777777" w:rsidR="0048516D" w:rsidRPr="00E2177A" w:rsidRDefault="0048516D" w:rsidP="0048516D">
            <w:pPr>
              <w:jc w:val="both"/>
              <w:rPr>
                <w:rFonts w:ascii="Verdana" w:hAnsi="Verdana"/>
                <w:i/>
                <w:iCs/>
                <w:sz w:val="14"/>
                <w:szCs w:val="14"/>
                <w:lang w:val="es-CO"/>
              </w:rPr>
            </w:pPr>
            <w:r w:rsidRPr="00E2177A">
              <w:rPr>
                <w:rFonts w:ascii="Verdana" w:hAnsi="Verdana"/>
                <w:i/>
                <w:iCs/>
                <w:sz w:val="14"/>
                <w:szCs w:val="14"/>
                <w:lang w:val="es-ES_tradnl"/>
              </w:rPr>
              <w:t>1.456,26</w:t>
            </w:r>
          </w:p>
        </w:tc>
        <w:tc>
          <w:tcPr>
            <w:tcW w:w="500" w:type="pct"/>
            <w:tcBorders>
              <w:top w:val="nil"/>
              <w:left w:val="nil"/>
              <w:bottom w:val="single" w:sz="8" w:space="0" w:color="auto"/>
              <w:right w:val="single" w:sz="8" w:space="0" w:color="auto"/>
            </w:tcBorders>
            <w:shd w:val="clear" w:color="auto" w:fill="auto"/>
            <w:vAlign w:val="center"/>
            <w:hideMark/>
          </w:tcPr>
          <w:p w14:paraId="5FC7401D" w14:textId="77777777" w:rsidR="0048516D" w:rsidRPr="00E2177A" w:rsidRDefault="0048516D" w:rsidP="0048516D">
            <w:pPr>
              <w:jc w:val="both"/>
              <w:rPr>
                <w:rFonts w:ascii="Verdana" w:hAnsi="Verdana"/>
                <w:i/>
                <w:iCs/>
                <w:sz w:val="14"/>
                <w:szCs w:val="14"/>
                <w:lang w:val="es-CO"/>
              </w:rPr>
            </w:pPr>
            <w:r w:rsidRPr="00E2177A">
              <w:rPr>
                <w:rFonts w:ascii="Verdana" w:hAnsi="Verdana"/>
                <w:i/>
                <w:iCs/>
                <w:sz w:val="14"/>
                <w:szCs w:val="14"/>
                <w:lang w:val="es-ES_tradnl"/>
              </w:rPr>
              <w:t>1.456,26</w:t>
            </w:r>
          </w:p>
        </w:tc>
        <w:tc>
          <w:tcPr>
            <w:tcW w:w="500" w:type="pct"/>
            <w:tcBorders>
              <w:top w:val="nil"/>
              <w:left w:val="nil"/>
              <w:bottom w:val="single" w:sz="8" w:space="0" w:color="auto"/>
              <w:right w:val="single" w:sz="8" w:space="0" w:color="auto"/>
            </w:tcBorders>
            <w:shd w:val="clear" w:color="auto" w:fill="auto"/>
            <w:vAlign w:val="center"/>
            <w:hideMark/>
          </w:tcPr>
          <w:p w14:paraId="79F38747" w14:textId="77777777" w:rsidR="0048516D" w:rsidRPr="00E2177A" w:rsidRDefault="0048516D" w:rsidP="0048516D">
            <w:pPr>
              <w:jc w:val="both"/>
              <w:rPr>
                <w:rFonts w:ascii="Verdana" w:hAnsi="Verdana"/>
                <w:i/>
                <w:iCs/>
                <w:sz w:val="14"/>
                <w:szCs w:val="14"/>
                <w:lang w:val="es-CO"/>
              </w:rPr>
            </w:pPr>
            <w:r w:rsidRPr="00E2177A">
              <w:rPr>
                <w:rFonts w:ascii="Verdana" w:hAnsi="Verdana"/>
                <w:i/>
                <w:iCs/>
                <w:sz w:val="14"/>
                <w:szCs w:val="14"/>
                <w:lang w:val="es-ES_tradnl"/>
              </w:rPr>
              <w:t>0</w:t>
            </w:r>
          </w:p>
        </w:tc>
        <w:tc>
          <w:tcPr>
            <w:tcW w:w="435" w:type="pct"/>
            <w:tcBorders>
              <w:top w:val="nil"/>
              <w:left w:val="nil"/>
              <w:bottom w:val="single" w:sz="8" w:space="0" w:color="auto"/>
              <w:right w:val="single" w:sz="8" w:space="0" w:color="auto"/>
            </w:tcBorders>
            <w:shd w:val="clear" w:color="auto" w:fill="auto"/>
            <w:vAlign w:val="center"/>
            <w:hideMark/>
          </w:tcPr>
          <w:p w14:paraId="0E999A78" w14:textId="77777777" w:rsidR="0048516D" w:rsidRPr="00E2177A" w:rsidRDefault="0048516D" w:rsidP="0048516D">
            <w:pPr>
              <w:jc w:val="both"/>
              <w:rPr>
                <w:rFonts w:ascii="Verdana" w:hAnsi="Verdana"/>
                <w:i/>
                <w:iCs/>
                <w:sz w:val="14"/>
                <w:szCs w:val="14"/>
                <w:lang w:val="es-CO"/>
              </w:rPr>
            </w:pPr>
            <w:r w:rsidRPr="00E2177A">
              <w:rPr>
                <w:rFonts w:ascii="Verdana" w:hAnsi="Verdana"/>
                <w:i/>
                <w:iCs/>
                <w:sz w:val="14"/>
                <w:szCs w:val="14"/>
                <w:lang w:val="es-ES_tradnl"/>
              </w:rPr>
              <w:t>0</w:t>
            </w:r>
          </w:p>
        </w:tc>
        <w:tc>
          <w:tcPr>
            <w:tcW w:w="189" w:type="pct"/>
            <w:tcBorders>
              <w:top w:val="nil"/>
              <w:left w:val="nil"/>
              <w:bottom w:val="single" w:sz="8" w:space="0" w:color="auto"/>
              <w:right w:val="single" w:sz="8" w:space="0" w:color="auto"/>
            </w:tcBorders>
            <w:shd w:val="clear" w:color="auto" w:fill="auto"/>
            <w:vAlign w:val="center"/>
            <w:hideMark/>
          </w:tcPr>
          <w:p w14:paraId="35C7A1D2" w14:textId="77777777" w:rsidR="0048516D" w:rsidRPr="00E2177A" w:rsidRDefault="0048516D" w:rsidP="0048516D">
            <w:pPr>
              <w:jc w:val="both"/>
              <w:rPr>
                <w:rFonts w:ascii="Verdana" w:hAnsi="Verdana"/>
                <w:i/>
                <w:iCs/>
                <w:sz w:val="14"/>
                <w:szCs w:val="14"/>
                <w:lang w:val="es-CO"/>
              </w:rPr>
            </w:pPr>
            <w:r w:rsidRPr="00E2177A">
              <w:rPr>
                <w:rFonts w:ascii="Verdana" w:hAnsi="Verdana"/>
                <w:i/>
                <w:iCs/>
                <w:sz w:val="14"/>
                <w:szCs w:val="14"/>
                <w:lang w:val="es-ES_tradnl"/>
              </w:rPr>
              <w:t> </w:t>
            </w:r>
          </w:p>
        </w:tc>
        <w:tc>
          <w:tcPr>
            <w:tcW w:w="230" w:type="pct"/>
            <w:tcBorders>
              <w:top w:val="nil"/>
              <w:left w:val="nil"/>
              <w:bottom w:val="single" w:sz="8" w:space="0" w:color="auto"/>
              <w:right w:val="single" w:sz="8" w:space="0" w:color="auto"/>
            </w:tcBorders>
            <w:shd w:val="clear" w:color="auto" w:fill="auto"/>
            <w:vAlign w:val="center"/>
            <w:hideMark/>
          </w:tcPr>
          <w:p w14:paraId="4697BFEB" w14:textId="77777777" w:rsidR="0048516D" w:rsidRPr="00E2177A" w:rsidRDefault="0048516D" w:rsidP="0048516D">
            <w:pPr>
              <w:jc w:val="both"/>
              <w:rPr>
                <w:rFonts w:ascii="Verdana" w:hAnsi="Verdana"/>
                <w:i/>
                <w:iCs/>
                <w:sz w:val="14"/>
                <w:szCs w:val="14"/>
                <w:lang w:val="es-CO"/>
              </w:rPr>
            </w:pPr>
            <w:r w:rsidRPr="00E2177A">
              <w:rPr>
                <w:rFonts w:ascii="Verdana" w:hAnsi="Verdana"/>
                <w:i/>
                <w:iCs/>
                <w:sz w:val="14"/>
                <w:szCs w:val="14"/>
                <w:lang w:val="es-ES_tradnl"/>
              </w:rPr>
              <w:t> </w:t>
            </w:r>
          </w:p>
        </w:tc>
      </w:tr>
      <w:tr w:rsidR="00E2177A" w:rsidRPr="00B966C6" w14:paraId="09718596" w14:textId="77777777" w:rsidTr="00E2177A">
        <w:trPr>
          <w:trHeight w:val="540"/>
        </w:trPr>
        <w:tc>
          <w:tcPr>
            <w:tcW w:w="616" w:type="pct"/>
            <w:tcBorders>
              <w:top w:val="nil"/>
              <w:left w:val="single" w:sz="8" w:space="0" w:color="auto"/>
              <w:bottom w:val="single" w:sz="8" w:space="0" w:color="auto"/>
              <w:right w:val="nil"/>
            </w:tcBorders>
            <w:shd w:val="clear" w:color="000000" w:fill="BFBFBF"/>
            <w:vAlign w:val="center"/>
            <w:hideMark/>
          </w:tcPr>
          <w:p w14:paraId="13BA92FB" w14:textId="77777777" w:rsidR="0048516D" w:rsidRPr="00E2177A" w:rsidRDefault="0048516D" w:rsidP="0048516D">
            <w:pPr>
              <w:jc w:val="both"/>
              <w:rPr>
                <w:rFonts w:ascii="Verdana" w:hAnsi="Verdana"/>
                <w:b/>
                <w:bCs/>
                <w:i/>
                <w:iCs/>
                <w:sz w:val="14"/>
                <w:szCs w:val="14"/>
                <w:lang w:val="es-CO"/>
              </w:rPr>
            </w:pPr>
            <w:r w:rsidRPr="00E2177A">
              <w:rPr>
                <w:rFonts w:ascii="Verdana" w:hAnsi="Verdana"/>
                <w:b/>
                <w:bCs/>
                <w:i/>
                <w:iCs/>
                <w:sz w:val="14"/>
                <w:szCs w:val="14"/>
                <w:lang w:val="es-ES_tradnl"/>
              </w:rPr>
              <w:t>Subtotal fase aprestamiento</w:t>
            </w:r>
          </w:p>
        </w:tc>
        <w:tc>
          <w:tcPr>
            <w:tcW w:w="560" w:type="pct"/>
            <w:tcBorders>
              <w:top w:val="nil"/>
              <w:left w:val="nil"/>
              <w:bottom w:val="single" w:sz="8" w:space="0" w:color="auto"/>
              <w:right w:val="nil"/>
            </w:tcBorders>
            <w:shd w:val="clear" w:color="000000" w:fill="BFBFBF"/>
            <w:vAlign w:val="center"/>
            <w:hideMark/>
          </w:tcPr>
          <w:p w14:paraId="77A57614" w14:textId="77777777" w:rsidR="0048516D" w:rsidRPr="00E2177A" w:rsidRDefault="0048516D" w:rsidP="0048516D">
            <w:pPr>
              <w:jc w:val="both"/>
              <w:rPr>
                <w:rFonts w:ascii="Verdana" w:hAnsi="Verdana"/>
                <w:b/>
                <w:bCs/>
                <w:i/>
                <w:iCs/>
                <w:sz w:val="14"/>
                <w:szCs w:val="14"/>
                <w:lang w:val="es-CO"/>
              </w:rPr>
            </w:pPr>
            <w:r w:rsidRPr="00E2177A">
              <w:rPr>
                <w:rFonts w:ascii="Verdana" w:hAnsi="Verdana"/>
                <w:b/>
                <w:bCs/>
                <w:i/>
                <w:iCs/>
                <w:sz w:val="14"/>
                <w:szCs w:val="14"/>
                <w:lang w:val="es-CO"/>
              </w:rPr>
              <w:t> </w:t>
            </w:r>
          </w:p>
        </w:tc>
        <w:tc>
          <w:tcPr>
            <w:tcW w:w="399" w:type="pct"/>
            <w:tcBorders>
              <w:top w:val="nil"/>
              <w:left w:val="nil"/>
              <w:bottom w:val="single" w:sz="8" w:space="0" w:color="auto"/>
              <w:right w:val="nil"/>
            </w:tcBorders>
            <w:shd w:val="clear" w:color="000000" w:fill="BFBFBF"/>
            <w:vAlign w:val="center"/>
            <w:hideMark/>
          </w:tcPr>
          <w:p w14:paraId="21AFE7BC" w14:textId="77777777" w:rsidR="0048516D" w:rsidRPr="00E2177A" w:rsidRDefault="0048516D" w:rsidP="0048516D">
            <w:pPr>
              <w:jc w:val="both"/>
              <w:rPr>
                <w:rFonts w:ascii="Verdana" w:hAnsi="Verdana"/>
                <w:b/>
                <w:bCs/>
                <w:i/>
                <w:iCs/>
                <w:sz w:val="14"/>
                <w:szCs w:val="14"/>
                <w:lang w:val="es-CO"/>
              </w:rPr>
            </w:pPr>
            <w:r w:rsidRPr="00E2177A">
              <w:rPr>
                <w:rFonts w:ascii="Verdana" w:hAnsi="Verdana"/>
                <w:b/>
                <w:bCs/>
                <w:i/>
                <w:iCs/>
                <w:sz w:val="14"/>
                <w:szCs w:val="14"/>
                <w:lang w:val="es-CO"/>
              </w:rPr>
              <w:t> </w:t>
            </w:r>
          </w:p>
        </w:tc>
        <w:tc>
          <w:tcPr>
            <w:tcW w:w="541" w:type="pct"/>
            <w:tcBorders>
              <w:top w:val="nil"/>
              <w:left w:val="nil"/>
              <w:bottom w:val="single" w:sz="8" w:space="0" w:color="auto"/>
              <w:right w:val="nil"/>
            </w:tcBorders>
            <w:shd w:val="clear" w:color="000000" w:fill="BFBFBF"/>
            <w:vAlign w:val="center"/>
            <w:hideMark/>
          </w:tcPr>
          <w:p w14:paraId="7459E48C" w14:textId="77777777" w:rsidR="0048516D" w:rsidRPr="00E2177A" w:rsidRDefault="0048516D" w:rsidP="0048516D">
            <w:pPr>
              <w:jc w:val="both"/>
              <w:rPr>
                <w:rFonts w:ascii="Verdana" w:hAnsi="Verdana"/>
                <w:b/>
                <w:bCs/>
                <w:i/>
                <w:iCs/>
                <w:sz w:val="14"/>
                <w:szCs w:val="14"/>
                <w:lang w:val="es-CO"/>
              </w:rPr>
            </w:pPr>
            <w:r w:rsidRPr="00E2177A">
              <w:rPr>
                <w:rFonts w:ascii="Verdana" w:hAnsi="Verdana"/>
                <w:b/>
                <w:bCs/>
                <w:i/>
                <w:iCs/>
                <w:sz w:val="14"/>
                <w:szCs w:val="14"/>
                <w:lang w:val="es-CO"/>
              </w:rPr>
              <w:t> </w:t>
            </w:r>
          </w:p>
        </w:tc>
        <w:tc>
          <w:tcPr>
            <w:tcW w:w="531" w:type="pct"/>
            <w:tcBorders>
              <w:top w:val="nil"/>
              <w:left w:val="nil"/>
              <w:bottom w:val="single" w:sz="8" w:space="0" w:color="auto"/>
              <w:right w:val="single" w:sz="8" w:space="0" w:color="auto"/>
            </w:tcBorders>
            <w:shd w:val="clear" w:color="000000" w:fill="BFBFBF"/>
            <w:vAlign w:val="center"/>
            <w:hideMark/>
          </w:tcPr>
          <w:p w14:paraId="37A1B31D" w14:textId="77777777" w:rsidR="0048516D" w:rsidRPr="00E2177A" w:rsidRDefault="0048516D" w:rsidP="0048516D">
            <w:pPr>
              <w:jc w:val="both"/>
              <w:rPr>
                <w:rFonts w:ascii="Verdana" w:hAnsi="Verdana"/>
                <w:b/>
                <w:bCs/>
                <w:i/>
                <w:iCs/>
                <w:sz w:val="14"/>
                <w:szCs w:val="14"/>
                <w:lang w:val="es-CO"/>
              </w:rPr>
            </w:pPr>
            <w:r w:rsidRPr="00E2177A">
              <w:rPr>
                <w:rFonts w:ascii="Verdana" w:hAnsi="Verdana"/>
                <w:b/>
                <w:bCs/>
                <w:i/>
                <w:iCs/>
                <w:sz w:val="14"/>
                <w:szCs w:val="14"/>
                <w:lang w:val="es-CO"/>
              </w:rPr>
              <w:t> </w:t>
            </w:r>
          </w:p>
        </w:tc>
        <w:tc>
          <w:tcPr>
            <w:tcW w:w="500" w:type="pct"/>
            <w:tcBorders>
              <w:top w:val="nil"/>
              <w:left w:val="nil"/>
              <w:bottom w:val="single" w:sz="8" w:space="0" w:color="auto"/>
              <w:right w:val="single" w:sz="8" w:space="0" w:color="auto"/>
            </w:tcBorders>
            <w:shd w:val="clear" w:color="000000" w:fill="BFBFBF"/>
            <w:vAlign w:val="center"/>
            <w:hideMark/>
          </w:tcPr>
          <w:p w14:paraId="51613ADF" w14:textId="77777777" w:rsidR="0048516D" w:rsidRPr="00E2177A" w:rsidRDefault="0048516D" w:rsidP="0048516D">
            <w:pPr>
              <w:jc w:val="both"/>
              <w:rPr>
                <w:rFonts w:ascii="Verdana" w:hAnsi="Verdana"/>
                <w:b/>
                <w:bCs/>
                <w:i/>
                <w:iCs/>
                <w:sz w:val="14"/>
                <w:szCs w:val="14"/>
                <w:lang w:val="es-CO"/>
              </w:rPr>
            </w:pPr>
            <w:r w:rsidRPr="00E2177A">
              <w:rPr>
                <w:rFonts w:ascii="Verdana" w:hAnsi="Verdana"/>
                <w:b/>
                <w:bCs/>
                <w:i/>
                <w:iCs/>
                <w:sz w:val="14"/>
                <w:szCs w:val="14"/>
                <w:lang w:val="es-ES_tradnl"/>
              </w:rPr>
              <w:t>98.361,02</w:t>
            </w:r>
          </w:p>
        </w:tc>
        <w:tc>
          <w:tcPr>
            <w:tcW w:w="500" w:type="pct"/>
            <w:tcBorders>
              <w:top w:val="nil"/>
              <w:left w:val="nil"/>
              <w:bottom w:val="single" w:sz="8" w:space="0" w:color="auto"/>
              <w:right w:val="single" w:sz="8" w:space="0" w:color="auto"/>
            </w:tcBorders>
            <w:shd w:val="clear" w:color="000000" w:fill="BFBFBF"/>
            <w:vAlign w:val="center"/>
            <w:hideMark/>
          </w:tcPr>
          <w:p w14:paraId="1A1C66F7" w14:textId="77777777" w:rsidR="0048516D" w:rsidRPr="00E2177A" w:rsidRDefault="0048516D" w:rsidP="0048516D">
            <w:pPr>
              <w:jc w:val="both"/>
              <w:rPr>
                <w:rFonts w:ascii="Verdana" w:hAnsi="Verdana"/>
                <w:b/>
                <w:bCs/>
                <w:i/>
                <w:iCs/>
                <w:sz w:val="14"/>
                <w:szCs w:val="14"/>
                <w:lang w:val="es-CO"/>
              </w:rPr>
            </w:pPr>
            <w:r w:rsidRPr="00E2177A">
              <w:rPr>
                <w:rFonts w:ascii="Verdana" w:hAnsi="Verdana"/>
                <w:b/>
                <w:bCs/>
                <w:i/>
                <w:iCs/>
                <w:sz w:val="14"/>
                <w:szCs w:val="14"/>
                <w:lang w:val="es-ES_tradnl"/>
              </w:rPr>
              <w:t>91.513,89</w:t>
            </w:r>
          </w:p>
        </w:tc>
        <w:tc>
          <w:tcPr>
            <w:tcW w:w="500" w:type="pct"/>
            <w:tcBorders>
              <w:top w:val="nil"/>
              <w:left w:val="nil"/>
              <w:bottom w:val="single" w:sz="8" w:space="0" w:color="auto"/>
              <w:right w:val="single" w:sz="8" w:space="0" w:color="auto"/>
            </w:tcBorders>
            <w:shd w:val="clear" w:color="000000" w:fill="BFBFBF"/>
            <w:vAlign w:val="center"/>
            <w:hideMark/>
          </w:tcPr>
          <w:p w14:paraId="4EA6BF10" w14:textId="77777777" w:rsidR="0048516D" w:rsidRPr="00E2177A" w:rsidRDefault="0048516D" w:rsidP="0048516D">
            <w:pPr>
              <w:jc w:val="both"/>
              <w:rPr>
                <w:rFonts w:ascii="Verdana" w:hAnsi="Verdana"/>
                <w:b/>
                <w:bCs/>
                <w:i/>
                <w:iCs/>
                <w:sz w:val="14"/>
                <w:szCs w:val="14"/>
                <w:lang w:val="es-CO"/>
              </w:rPr>
            </w:pPr>
            <w:r w:rsidRPr="00E2177A">
              <w:rPr>
                <w:rFonts w:ascii="Verdana" w:hAnsi="Verdana"/>
                <w:b/>
                <w:bCs/>
                <w:i/>
                <w:iCs/>
                <w:sz w:val="14"/>
                <w:szCs w:val="14"/>
                <w:lang w:val="es-ES_tradnl"/>
              </w:rPr>
              <w:t>8.010,15</w:t>
            </w:r>
          </w:p>
        </w:tc>
        <w:tc>
          <w:tcPr>
            <w:tcW w:w="435" w:type="pct"/>
            <w:tcBorders>
              <w:top w:val="nil"/>
              <w:left w:val="nil"/>
              <w:bottom w:val="single" w:sz="8" w:space="0" w:color="auto"/>
              <w:right w:val="single" w:sz="8" w:space="0" w:color="auto"/>
            </w:tcBorders>
            <w:shd w:val="clear" w:color="000000" w:fill="BFBFBF"/>
            <w:vAlign w:val="center"/>
            <w:hideMark/>
          </w:tcPr>
          <w:p w14:paraId="6DFC9E87" w14:textId="77777777" w:rsidR="0048516D" w:rsidRPr="00E2177A" w:rsidRDefault="0048516D" w:rsidP="0048516D">
            <w:pPr>
              <w:jc w:val="both"/>
              <w:rPr>
                <w:rFonts w:ascii="Verdana" w:hAnsi="Verdana"/>
                <w:b/>
                <w:bCs/>
                <w:i/>
                <w:iCs/>
                <w:sz w:val="14"/>
                <w:szCs w:val="14"/>
                <w:lang w:val="es-CO"/>
              </w:rPr>
            </w:pPr>
            <w:r w:rsidRPr="00E2177A">
              <w:rPr>
                <w:rFonts w:ascii="Verdana" w:hAnsi="Verdana"/>
                <w:b/>
                <w:bCs/>
                <w:i/>
                <w:iCs/>
                <w:sz w:val="14"/>
                <w:szCs w:val="14"/>
                <w:lang w:val="es-ES_tradnl"/>
              </w:rPr>
              <w:t>1.163,02</w:t>
            </w:r>
          </w:p>
        </w:tc>
        <w:tc>
          <w:tcPr>
            <w:tcW w:w="189" w:type="pct"/>
            <w:tcBorders>
              <w:top w:val="nil"/>
              <w:left w:val="nil"/>
              <w:bottom w:val="single" w:sz="8" w:space="0" w:color="auto"/>
              <w:right w:val="single" w:sz="8" w:space="0" w:color="auto"/>
            </w:tcBorders>
            <w:shd w:val="clear" w:color="000000" w:fill="BFBFBF"/>
            <w:vAlign w:val="center"/>
            <w:hideMark/>
          </w:tcPr>
          <w:p w14:paraId="0F5A9975" w14:textId="77777777" w:rsidR="0048516D" w:rsidRPr="00E2177A" w:rsidRDefault="0048516D" w:rsidP="0048516D">
            <w:pPr>
              <w:jc w:val="both"/>
              <w:rPr>
                <w:rFonts w:ascii="Verdana" w:hAnsi="Verdana"/>
                <w:i/>
                <w:iCs/>
                <w:sz w:val="14"/>
                <w:szCs w:val="14"/>
                <w:lang w:val="es-CO"/>
              </w:rPr>
            </w:pPr>
            <w:r w:rsidRPr="00E2177A">
              <w:rPr>
                <w:rFonts w:ascii="Verdana" w:hAnsi="Verdana"/>
                <w:i/>
                <w:iCs/>
                <w:sz w:val="14"/>
                <w:szCs w:val="14"/>
                <w:lang w:val="es-ES_tradnl"/>
              </w:rPr>
              <w:t> </w:t>
            </w:r>
          </w:p>
        </w:tc>
        <w:tc>
          <w:tcPr>
            <w:tcW w:w="230" w:type="pct"/>
            <w:tcBorders>
              <w:top w:val="nil"/>
              <w:left w:val="nil"/>
              <w:bottom w:val="single" w:sz="8" w:space="0" w:color="auto"/>
              <w:right w:val="single" w:sz="8" w:space="0" w:color="auto"/>
            </w:tcBorders>
            <w:shd w:val="clear" w:color="000000" w:fill="BFBFBF"/>
            <w:vAlign w:val="center"/>
            <w:hideMark/>
          </w:tcPr>
          <w:p w14:paraId="21BDCD16" w14:textId="77777777" w:rsidR="0048516D" w:rsidRPr="00E2177A" w:rsidRDefault="0048516D" w:rsidP="0048516D">
            <w:pPr>
              <w:jc w:val="both"/>
              <w:rPr>
                <w:rFonts w:ascii="Verdana" w:hAnsi="Verdana"/>
                <w:i/>
                <w:iCs/>
                <w:sz w:val="14"/>
                <w:szCs w:val="14"/>
                <w:lang w:val="es-CO"/>
              </w:rPr>
            </w:pPr>
            <w:r w:rsidRPr="00E2177A">
              <w:rPr>
                <w:rFonts w:ascii="Verdana" w:hAnsi="Verdana"/>
                <w:i/>
                <w:iCs/>
                <w:sz w:val="14"/>
                <w:szCs w:val="14"/>
                <w:lang w:val="es-ES_tradnl"/>
              </w:rPr>
              <w:t> </w:t>
            </w:r>
          </w:p>
        </w:tc>
      </w:tr>
      <w:tr w:rsidR="0048516D" w:rsidRPr="0048516D" w14:paraId="32225608" w14:textId="77777777" w:rsidTr="00E2177A">
        <w:trPr>
          <w:trHeight w:val="540"/>
        </w:trPr>
        <w:tc>
          <w:tcPr>
            <w:tcW w:w="616" w:type="pct"/>
            <w:tcBorders>
              <w:top w:val="nil"/>
              <w:left w:val="single" w:sz="8" w:space="0" w:color="auto"/>
              <w:bottom w:val="single" w:sz="8" w:space="0" w:color="auto"/>
              <w:right w:val="single" w:sz="8" w:space="0" w:color="auto"/>
            </w:tcBorders>
            <w:shd w:val="clear" w:color="auto" w:fill="auto"/>
            <w:vAlign w:val="center"/>
            <w:hideMark/>
          </w:tcPr>
          <w:p w14:paraId="631E6EA2" w14:textId="77777777" w:rsidR="0048516D" w:rsidRPr="00E2177A" w:rsidRDefault="0048516D" w:rsidP="0048516D">
            <w:pPr>
              <w:jc w:val="both"/>
              <w:rPr>
                <w:rFonts w:ascii="Verdana" w:hAnsi="Verdana"/>
                <w:i/>
                <w:iCs/>
                <w:sz w:val="14"/>
                <w:szCs w:val="14"/>
                <w:lang w:val="es-CO"/>
              </w:rPr>
            </w:pPr>
            <w:r w:rsidRPr="00E2177A">
              <w:rPr>
                <w:rFonts w:ascii="Verdana" w:hAnsi="Verdana"/>
                <w:i/>
                <w:iCs/>
                <w:sz w:val="14"/>
                <w:szCs w:val="14"/>
                <w:lang w:val="es-ES_tradnl"/>
              </w:rPr>
              <w:t>Declaratoria</w:t>
            </w:r>
          </w:p>
        </w:tc>
        <w:tc>
          <w:tcPr>
            <w:tcW w:w="560" w:type="pct"/>
            <w:vMerge w:val="restart"/>
            <w:tcBorders>
              <w:top w:val="nil"/>
              <w:left w:val="single" w:sz="8" w:space="0" w:color="auto"/>
              <w:bottom w:val="single" w:sz="8" w:space="0" w:color="000000"/>
              <w:right w:val="single" w:sz="8" w:space="0" w:color="auto"/>
            </w:tcBorders>
            <w:shd w:val="clear" w:color="auto" w:fill="auto"/>
            <w:vAlign w:val="center"/>
            <w:hideMark/>
          </w:tcPr>
          <w:p w14:paraId="21871DF6" w14:textId="77777777" w:rsidR="0048516D" w:rsidRPr="00E2177A" w:rsidRDefault="0048516D" w:rsidP="0048516D">
            <w:pPr>
              <w:jc w:val="both"/>
              <w:rPr>
                <w:rFonts w:ascii="Verdana" w:hAnsi="Verdana"/>
                <w:i/>
                <w:iCs/>
                <w:sz w:val="14"/>
                <w:szCs w:val="14"/>
                <w:lang w:val="es-CO"/>
              </w:rPr>
            </w:pPr>
            <w:r w:rsidRPr="00E2177A">
              <w:rPr>
                <w:rFonts w:ascii="Verdana" w:hAnsi="Verdana"/>
                <w:i/>
                <w:iCs/>
                <w:sz w:val="14"/>
                <w:szCs w:val="14"/>
                <w:lang w:val="es-ES_tradnl"/>
              </w:rPr>
              <w:t>Declaratoria</w:t>
            </w:r>
          </w:p>
        </w:tc>
        <w:tc>
          <w:tcPr>
            <w:tcW w:w="399" w:type="pct"/>
            <w:tcBorders>
              <w:top w:val="nil"/>
              <w:left w:val="nil"/>
              <w:bottom w:val="single" w:sz="8" w:space="0" w:color="auto"/>
              <w:right w:val="single" w:sz="8" w:space="0" w:color="auto"/>
            </w:tcBorders>
            <w:shd w:val="clear" w:color="auto" w:fill="auto"/>
            <w:vAlign w:val="center"/>
            <w:hideMark/>
          </w:tcPr>
          <w:p w14:paraId="5795296D" w14:textId="77777777" w:rsidR="0048516D" w:rsidRPr="00E2177A" w:rsidRDefault="0048516D" w:rsidP="0048516D">
            <w:pPr>
              <w:jc w:val="both"/>
              <w:rPr>
                <w:rFonts w:ascii="Verdana" w:hAnsi="Verdana"/>
                <w:i/>
                <w:iCs/>
                <w:sz w:val="14"/>
                <w:szCs w:val="14"/>
                <w:lang w:val="es-CO"/>
              </w:rPr>
            </w:pPr>
            <w:r w:rsidRPr="00E2177A">
              <w:rPr>
                <w:rFonts w:ascii="Verdana" w:hAnsi="Verdana"/>
                <w:i/>
                <w:iCs/>
                <w:sz w:val="14"/>
                <w:szCs w:val="14"/>
                <w:lang w:val="es-ES_tradnl"/>
              </w:rPr>
              <w:t>8</w:t>
            </w:r>
          </w:p>
        </w:tc>
        <w:tc>
          <w:tcPr>
            <w:tcW w:w="541" w:type="pct"/>
            <w:tcBorders>
              <w:top w:val="nil"/>
              <w:left w:val="nil"/>
              <w:bottom w:val="single" w:sz="8" w:space="0" w:color="auto"/>
              <w:right w:val="single" w:sz="8" w:space="0" w:color="auto"/>
            </w:tcBorders>
            <w:shd w:val="clear" w:color="auto" w:fill="auto"/>
            <w:vAlign w:val="center"/>
            <w:hideMark/>
          </w:tcPr>
          <w:p w14:paraId="10632A3E" w14:textId="77777777" w:rsidR="0048516D" w:rsidRPr="00E2177A" w:rsidRDefault="0048516D" w:rsidP="0048516D">
            <w:pPr>
              <w:jc w:val="both"/>
              <w:rPr>
                <w:rFonts w:ascii="Verdana" w:hAnsi="Verdana"/>
                <w:i/>
                <w:iCs/>
                <w:sz w:val="14"/>
                <w:szCs w:val="14"/>
                <w:lang w:val="es-CO"/>
              </w:rPr>
            </w:pPr>
            <w:r w:rsidRPr="00E2177A">
              <w:rPr>
                <w:rFonts w:ascii="Verdana" w:hAnsi="Verdana"/>
                <w:i/>
                <w:iCs/>
                <w:sz w:val="14"/>
                <w:szCs w:val="14"/>
                <w:lang w:val="es-ES_tradnl"/>
              </w:rPr>
              <w:t>Corantioquia</w:t>
            </w:r>
          </w:p>
        </w:tc>
        <w:tc>
          <w:tcPr>
            <w:tcW w:w="531" w:type="pct"/>
            <w:tcBorders>
              <w:top w:val="nil"/>
              <w:left w:val="nil"/>
              <w:bottom w:val="single" w:sz="8" w:space="0" w:color="auto"/>
              <w:right w:val="single" w:sz="8" w:space="0" w:color="auto"/>
            </w:tcBorders>
            <w:shd w:val="clear" w:color="auto" w:fill="auto"/>
            <w:vAlign w:val="center"/>
            <w:hideMark/>
          </w:tcPr>
          <w:p w14:paraId="475858BA" w14:textId="77777777" w:rsidR="0048516D" w:rsidRPr="00E2177A" w:rsidRDefault="0048516D" w:rsidP="0048516D">
            <w:pPr>
              <w:jc w:val="both"/>
              <w:rPr>
                <w:rFonts w:ascii="Verdana" w:hAnsi="Verdana"/>
                <w:i/>
                <w:iCs/>
                <w:sz w:val="14"/>
                <w:szCs w:val="14"/>
                <w:lang w:val="es-CO"/>
              </w:rPr>
            </w:pPr>
            <w:r w:rsidRPr="00E2177A">
              <w:rPr>
                <w:rFonts w:ascii="Verdana" w:hAnsi="Verdana"/>
                <w:i/>
                <w:iCs/>
                <w:sz w:val="14"/>
                <w:szCs w:val="14"/>
                <w:lang w:val="es-ES_tradnl"/>
              </w:rPr>
              <w:t>Bajo Cauca_Nechi</w:t>
            </w:r>
          </w:p>
        </w:tc>
        <w:tc>
          <w:tcPr>
            <w:tcW w:w="500" w:type="pct"/>
            <w:tcBorders>
              <w:top w:val="nil"/>
              <w:left w:val="nil"/>
              <w:bottom w:val="single" w:sz="8" w:space="0" w:color="auto"/>
              <w:right w:val="single" w:sz="8" w:space="0" w:color="auto"/>
            </w:tcBorders>
            <w:shd w:val="clear" w:color="auto" w:fill="auto"/>
            <w:vAlign w:val="center"/>
            <w:hideMark/>
          </w:tcPr>
          <w:p w14:paraId="2350A6FF" w14:textId="77777777" w:rsidR="0048516D" w:rsidRPr="00E2177A" w:rsidRDefault="0048516D" w:rsidP="0048516D">
            <w:pPr>
              <w:jc w:val="both"/>
              <w:rPr>
                <w:rFonts w:ascii="Verdana" w:hAnsi="Verdana"/>
                <w:i/>
                <w:iCs/>
                <w:sz w:val="14"/>
                <w:szCs w:val="14"/>
                <w:lang w:val="es-CO"/>
              </w:rPr>
            </w:pPr>
            <w:r w:rsidRPr="00E2177A">
              <w:rPr>
                <w:rFonts w:ascii="Verdana" w:hAnsi="Verdana"/>
                <w:i/>
                <w:iCs/>
                <w:sz w:val="14"/>
                <w:szCs w:val="14"/>
                <w:lang w:val="es-ES_tradnl"/>
              </w:rPr>
              <w:t>75.815,61</w:t>
            </w:r>
          </w:p>
        </w:tc>
        <w:tc>
          <w:tcPr>
            <w:tcW w:w="500" w:type="pct"/>
            <w:tcBorders>
              <w:top w:val="nil"/>
              <w:left w:val="nil"/>
              <w:bottom w:val="single" w:sz="8" w:space="0" w:color="auto"/>
              <w:right w:val="single" w:sz="8" w:space="0" w:color="auto"/>
            </w:tcBorders>
            <w:shd w:val="clear" w:color="auto" w:fill="auto"/>
            <w:vAlign w:val="center"/>
            <w:hideMark/>
          </w:tcPr>
          <w:p w14:paraId="68234CCA" w14:textId="77777777" w:rsidR="0048516D" w:rsidRPr="00E2177A" w:rsidRDefault="0048516D" w:rsidP="0048516D">
            <w:pPr>
              <w:jc w:val="both"/>
              <w:rPr>
                <w:rFonts w:ascii="Verdana" w:hAnsi="Verdana"/>
                <w:i/>
                <w:iCs/>
                <w:sz w:val="14"/>
                <w:szCs w:val="14"/>
                <w:lang w:val="es-CO"/>
              </w:rPr>
            </w:pPr>
            <w:r w:rsidRPr="00E2177A">
              <w:rPr>
                <w:rFonts w:ascii="Verdana" w:hAnsi="Verdana"/>
                <w:i/>
                <w:iCs/>
                <w:sz w:val="14"/>
                <w:szCs w:val="14"/>
                <w:lang w:val="es-ES_tradnl"/>
              </w:rPr>
              <w:t>75.815,61</w:t>
            </w:r>
          </w:p>
        </w:tc>
        <w:tc>
          <w:tcPr>
            <w:tcW w:w="500" w:type="pct"/>
            <w:tcBorders>
              <w:top w:val="nil"/>
              <w:left w:val="nil"/>
              <w:bottom w:val="single" w:sz="8" w:space="0" w:color="auto"/>
              <w:right w:val="single" w:sz="8" w:space="0" w:color="auto"/>
            </w:tcBorders>
            <w:shd w:val="clear" w:color="auto" w:fill="auto"/>
            <w:vAlign w:val="center"/>
            <w:hideMark/>
          </w:tcPr>
          <w:p w14:paraId="2D45DE84" w14:textId="77777777" w:rsidR="0048516D" w:rsidRPr="00E2177A" w:rsidRDefault="0048516D" w:rsidP="0048516D">
            <w:pPr>
              <w:jc w:val="both"/>
              <w:rPr>
                <w:rFonts w:ascii="Verdana" w:hAnsi="Verdana"/>
                <w:i/>
                <w:iCs/>
                <w:sz w:val="14"/>
                <w:szCs w:val="14"/>
                <w:lang w:val="es-CO"/>
              </w:rPr>
            </w:pPr>
            <w:r w:rsidRPr="00E2177A">
              <w:rPr>
                <w:rFonts w:ascii="Verdana" w:hAnsi="Verdana"/>
                <w:i/>
                <w:iCs/>
                <w:sz w:val="14"/>
                <w:szCs w:val="14"/>
                <w:lang w:val="es-ES_tradnl"/>
              </w:rPr>
              <w:t>0</w:t>
            </w:r>
          </w:p>
        </w:tc>
        <w:tc>
          <w:tcPr>
            <w:tcW w:w="435" w:type="pct"/>
            <w:tcBorders>
              <w:top w:val="nil"/>
              <w:left w:val="nil"/>
              <w:bottom w:val="single" w:sz="8" w:space="0" w:color="auto"/>
              <w:right w:val="single" w:sz="8" w:space="0" w:color="auto"/>
            </w:tcBorders>
            <w:shd w:val="clear" w:color="auto" w:fill="auto"/>
            <w:vAlign w:val="center"/>
            <w:hideMark/>
          </w:tcPr>
          <w:p w14:paraId="6C762E77" w14:textId="77777777" w:rsidR="0048516D" w:rsidRPr="00E2177A" w:rsidRDefault="0048516D" w:rsidP="0048516D">
            <w:pPr>
              <w:jc w:val="both"/>
              <w:rPr>
                <w:rFonts w:ascii="Verdana" w:hAnsi="Verdana"/>
                <w:i/>
                <w:iCs/>
                <w:sz w:val="14"/>
                <w:szCs w:val="14"/>
                <w:lang w:val="es-CO"/>
              </w:rPr>
            </w:pPr>
            <w:r w:rsidRPr="00E2177A">
              <w:rPr>
                <w:rFonts w:ascii="Verdana" w:hAnsi="Verdana"/>
                <w:i/>
                <w:iCs/>
                <w:sz w:val="14"/>
                <w:szCs w:val="14"/>
                <w:lang w:val="es-ES_tradnl"/>
              </w:rPr>
              <w:t>0</w:t>
            </w:r>
          </w:p>
        </w:tc>
        <w:tc>
          <w:tcPr>
            <w:tcW w:w="189" w:type="pct"/>
            <w:tcBorders>
              <w:top w:val="nil"/>
              <w:left w:val="nil"/>
              <w:bottom w:val="single" w:sz="8" w:space="0" w:color="auto"/>
              <w:right w:val="single" w:sz="8" w:space="0" w:color="auto"/>
            </w:tcBorders>
            <w:shd w:val="clear" w:color="auto" w:fill="auto"/>
            <w:vAlign w:val="center"/>
            <w:hideMark/>
          </w:tcPr>
          <w:p w14:paraId="0CE17422" w14:textId="77777777" w:rsidR="0048516D" w:rsidRPr="00E2177A" w:rsidRDefault="0048516D" w:rsidP="0048516D">
            <w:pPr>
              <w:jc w:val="both"/>
              <w:rPr>
                <w:rFonts w:ascii="Verdana" w:hAnsi="Verdana"/>
                <w:i/>
                <w:iCs/>
                <w:sz w:val="14"/>
                <w:szCs w:val="14"/>
                <w:lang w:val="es-CO"/>
              </w:rPr>
            </w:pPr>
            <w:r w:rsidRPr="00E2177A">
              <w:rPr>
                <w:rFonts w:ascii="Verdana" w:hAnsi="Verdana"/>
                <w:i/>
                <w:iCs/>
                <w:sz w:val="14"/>
                <w:szCs w:val="14"/>
                <w:lang w:val="es-ES_tradnl"/>
              </w:rPr>
              <w:t>x</w:t>
            </w:r>
          </w:p>
        </w:tc>
        <w:tc>
          <w:tcPr>
            <w:tcW w:w="230" w:type="pct"/>
            <w:tcBorders>
              <w:top w:val="nil"/>
              <w:left w:val="nil"/>
              <w:bottom w:val="single" w:sz="8" w:space="0" w:color="auto"/>
              <w:right w:val="single" w:sz="8" w:space="0" w:color="auto"/>
            </w:tcBorders>
            <w:shd w:val="clear" w:color="auto" w:fill="auto"/>
            <w:vAlign w:val="center"/>
            <w:hideMark/>
          </w:tcPr>
          <w:p w14:paraId="4030FB37" w14:textId="77777777" w:rsidR="0048516D" w:rsidRPr="00E2177A" w:rsidRDefault="0048516D" w:rsidP="0048516D">
            <w:pPr>
              <w:jc w:val="both"/>
              <w:rPr>
                <w:rFonts w:ascii="Verdana" w:hAnsi="Verdana"/>
                <w:i/>
                <w:iCs/>
                <w:sz w:val="14"/>
                <w:szCs w:val="14"/>
                <w:lang w:val="es-CO"/>
              </w:rPr>
            </w:pPr>
            <w:r w:rsidRPr="00E2177A">
              <w:rPr>
                <w:rFonts w:ascii="Verdana" w:hAnsi="Verdana"/>
                <w:i/>
                <w:iCs/>
                <w:sz w:val="14"/>
                <w:szCs w:val="14"/>
                <w:lang w:val="es-ES_tradnl"/>
              </w:rPr>
              <w:t> </w:t>
            </w:r>
          </w:p>
        </w:tc>
      </w:tr>
      <w:tr w:rsidR="0048516D" w:rsidRPr="0048516D" w14:paraId="48917299" w14:textId="77777777" w:rsidTr="00E2177A">
        <w:trPr>
          <w:trHeight w:val="300"/>
        </w:trPr>
        <w:tc>
          <w:tcPr>
            <w:tcW w:w="616" w:type="pct"/>
            <w:tcBorders>
              <w:top w:val="nil"/>
              <w:left w:val="single" w:sz="8" w:space="0" w:color="auto"/>
              <w:bottom w:val="single" w:sz="8" w:space="0" w:color="auto"/>
              <w:right w:val="single" w:sz="8" w:space="0" w:color="auto"/>
            </w:tcBorders>
            <w:shd w:val="clear" w:color="auto" w:fill="auto"/>
            <w:vAlign w:val="center"/>
            <w:hideMark/>
          </w:tcPr>
          <w:p w14:paraId="6A4B3DB5" w14:textId="77777777" w:rsidR="0048516D" w:rsidRPr="00E2177A" w:rsidRDefault="0048516D" w:rsidP="0048516D">
            <w:pPr>
              <w:jc w:val="both"/>
              <w:rPr>
                <w:rFonts w:ascii="Verdana" w:hAnsi="Verdana"/>
                <w:i/>
                <w:iCs/>
                <w:sz w:val="14"/>
                <w:szCs w:val="14"/>
                <w:lang w:val="es-CO"/>
              </w:rPr>
            </w:pPr>
            <w:r w:rsidRPr="00E2177A">
              <w:rPr>
                <w:rFonts w:ascii="Verdana" w:hAnsi="Verdana"/>
                <w:i/>
                <w:iCs/>
                <w:sz w:val="14"/>
                <w:szCs w:val="14"/>
                <w:lang w:val="es-ES_tradnl"/>
              </w:rPr>
              <w:t>Declaratoria</w:t>
            </w:r>
          </w:p>
        </w:tc>
        <w:tc>
          <w:tcPr>
            <w:tcW w:w="560" w:type="pct"/>
            <w:vMerge/>
            <w:tcBorders>
              <w:top w:val="nil"/>
              <w:left w:val="single" w:sz="8" w:space="0" w:color="auto"/>
              <w:bottom w:val="single" w:sz="8" w:space="0" w:color="000000"/>
              <w:right w:val="single" w:sz="8" w:space="0" w:color="auto"/>
            </w:tcBorders>
            <w:vAlign w:val="center"/>
            <w:hideMark/>
          </w:tcPr>
          <w:p w14:paraId="638B298F" w14:textId="77777777" w:rsidR="0048516D" w:rsidRPr="00E2177A" w:rsidRDefault="0048516D" w:rsidP="0048516D">
            <w:pPr>
              <w:jc w:val="both"/>
              <w:rPr>
                <w:rFonts w:ascii="Verdana" w:hAnsi="Verdana"/>
                <w:i/>
                <w:iCs/>
                <w:sz w:val="14"/>
                <w:szCs w:val="14"/>
                <w:lang w:val="es-CO"/>
              </w:rPr>
            </w:pPr>
          </w:p>
        </w:tc>
        <w:tc>
          <w:tcPr>
            <w:tcW w:w="399" w:type="pct"/>
            <w:tcBorders>
              <w:top w:val="nil"/>
              <w:left w:val="nil"/>
              <w:bottom w:val="single" w:sz="8" w:space="0" w:color="auto"/>
              <w:right w:val="single" w:sz="8" w:space="0" w:color="auto"/>
            </w:tcBorders>
            <w:shd w:val="clear" w:color="auto" w:fill="auto"/>
            <w:vAlign w:val="center"/>
            <w:hideMark/>
          </w:tcPr>
          <w:p w14:paraId="6CC646DC" w14:textId="77777777" w:rsidR="0048516D" w:rsidRPr="00E2177A" w:rsidRDefault="0048516D" w:rsidP="0048516D">
            <w:pPr>
              <w:jc w:val="both"/>
              <w:rPr>
                <w:rFonts w:ascii="Verdana" w:hAnsi="Verdana"/>
                <w:i/>
                <w:iCs/>
                <w:sz w:val="14"/>
                <w:szCs w:val="14"/>
                <w:lang w:val="es-CO"/>
              </w:rPr>
            </w:pPr>
            <w:r w:rsidRPr="00E2177A">
              <w:rPr>
                <w:rFonts w:ascii="Verdana" w:hAnsi="Verdana"/>
                <w:i/>
                <w:iCs/>
                <w:sz w:val="14"/>
                <w:szCs w:val="14"/>
                <w:lang w:val="es-ES_tradnl"/>
              </w:rPr>
              <w:t>11</w:t>
            </w:r>
          </w:p>
        </w:tc>
        <w:tc>
          <w:tcPr>
            <w:tcW w:w="541" w:type="pct"/>
            <w:tcBorders>
              <w:top w:val="nil"/>
              <w:left w:val="nil"/>
              <w:bottom w:val="single" w:sz="8" w:space="0" w:color="auto"/>
              <w:right w:val="single" w:sz="8" w:space="0" w:color="auto"/>
            </w:tcBorders>
            <w:shd w:val="clear" w:color="auto" w:fill="auto"/>
            <w:vAlign w:val="center"/>
            <w:hideMark/>
          </w:tcPr>
          <w:p w14:paraId="0D99660D" w14:textId="77777777" w:rsidR="0048516D" w:rsidRPr="00E2177A" w:rsidRDefault="0048516D" w:rsidP="0048516D">
            <w:pPr>
              <w:jc w:val="both"/>
              <w:rPr>
                <w:rFonts w:ascii="Verdana" w:hAnsi="Verdana"/>
                <w:i/>
                <w:iCs/>
                <w:sz w:val="14"/>
                <w:szCs w:val="14"/>
                <w:lang w:val="es-CO"/>
              </w:rPr>
            </w:pPr>
            <w:r w:rsidRPr="00E2177A">
              <w:rPr>
                <w:rFonts w:ascii="Verdana" w:hAnsi="Verdana"/>
                <w:i/>
                <w:iCs/>
                <w:sz w:val="14"/>
                <w:szCs w:val="14"/>
                <w:lang w:val="es-ES_tradnl"/>
              </w:rPr>
              <w:t>Corpocaldas</w:t>
            </w:r>
          </w:p>
        </w:tc>
        <w:tc>
          <w:tcPr>
            <w:tcW w:w="531" w:type="pct"/>
            <w:tcBorders>
              <w:top w:val="nil"/>
              <w:left w:val="nil"/>
              <w:bottom w:val="single" w:sz="8" w:space="0" w:color="auto"/>
              <w:right w:val="single" w:sz="8" w:space="0" w:color="auto"/>
            </w:tcBorders>
            <w:shd w:val="clear" w:color="auto" w:fill="auto"/>
            <w:vAlign w:val="center"/>
            <w:hideMark/>
          </w:tcPr>
          <w:p w14:paraId="50ECCB93" w14:textId="77777777" w:rsidR="0048516D" w:rsidRPr="00E2177A" w:rsidRDefault="0048516D" w:rsidP="0048516D">
            <w:pPr>
              <w:jc w:val="both"/>
              <w:rPr>
                <w:rFonts w:ascii="Verdana" w:hAnsi="Verdana"/>
                <w:i/>
                <w:iCs/>
                <w:sz w:val="14"/>
                <w:szCs w:val="14"/>
                <w:lang w:val="es-CO"/>
              </w:rPr>
            </w:pPr>
            <w:r w:rsidRPr="00E2177A">
              <w:rPr>
                <w:rFonts w:ascii="Verdana" w:hAnsi="Verdana"/>
                <w:i/>
                <w:iCs/>
                <w:sz w:val="14"/>
                <w:szCs w:val="14"/>
                <w:lang w:val="es-ES_tradnl"/>
              </w:rPr>
              <w:t>Área Corozal</w:t>
            </w:r>
          </w:p>
        </w:tc>
        <w:tc>
          <w:tcPr>
            <w:tcW w:w="500" w:type="pct"/>
            <w:tcBorders>
              <w:top w:val="nil"/>
              <w:left w:val="nil"/>
              <w:bottom w:val="single" w:sz="8" w:space="0" w:color="auto"/>
              <w:right w:val="single" w:sz="8" w:space="0" w:color="auto"/>
            </w:tcBorders>
            <w:shd w:val="clear" w:color="auto" w:fill="auto"/>
            <w:vAlign w:val="center"/>
            <w:hideMark/>
          </w:tcPr>
          <w:p w14:paraId="274AB1DA" w14:textId="77777777" w:rsidR="0048516D" w:rsidRPr="00E2177A" w:rsidRDefault="0048516D" w:rsidP="0048516D">
            <w:pPr>
              <w:jc w:val="both"/>
              <w:rPr>
                <w:rFonts w:ascii="Verdana" w:hAnsi="Verdana"/>
                <w:i/>
                <w:iCs/>
                <w:sz w:val="14"/>
                <w:szCs w:val="14"/>
                <w:lang w:val="es-CO"/>
              </w:rPr>
            </w:pPr>
            <w:r w:rsidRPr="00E2177A">
              <w:rPr>
                <w:rFonts w:ascii="Verdana" w:hAnsi="Verdana"/>
                <w:i/>
                <w:iCs/>
                <w:sz w:val="14"/>
                <w:szCs w:val="14"/>
                <w:lang w:val="es-ES_tradnl"/>
              </w:rPr>
              <w:t>1.913,32</w:t>
            </w:r>
          </w:p>
        </w:tc>
        <w:tc>
          <w:tcPr>
            <w:tcW w:w="500" w:type="pct"/>
            <w:tcBorders>
              <w:top w:val="nil"/>
              <w:left w:val="nil"/>
              <w:bottom w:val="single" w:sz="8" w:space="0" w:color="auto"/>
              <w:right w:val="single" w:sz="8" w:space="0" w:color="auto"/>
            </w:tcBorders>
            <w:shd w:val="clear" w:color="auto" w:fill="auto"/>
            <w:vAlign w:val="center"/>
            <w:hideMark/>
          </w:tcPr>
          <w:p w14:paraId="7795BDCD" w14:textId="77777777" w:rsidR="0048516D" w:rsidRPr="00E2177A" w:rsidRDefault="0048516D" w:rsidP="0048516D">
            <w:pPr>
              <w:jc w:val="both"/>
              <w:rPr>
                <w:rFonts w:ascii="Verdana" w:hAnsi="Verdana"/>
                <w:i/>
                <w:iCs/>
                <w:sz w:val="14"/>
                <w:szCs w:val="14"/>
                <w:lang w:val="es-CO"/>
              </w:rPr>
            </w:pPr>
            <w:r w:rsidRPr="00E2177A">
              <w:rPr>
                <w:rFonts w:ascii="Verdana" w:hAnsi="Verdana"/>
                <w:i/>
                <w:iCs/>
                <w:sz w:val="14"/>
                <w:szCs w:val="14"/>
                <w:lang w:val="es-ES_tradnl"/>
              </w:rPr>
              <w:t>1.938,40</w:t>
            </w:r>
          </w:p>
        </w:tc>
        <w:tc>
          <w:tcPr>
            <w:tcW w:w="500" w:type="pct"/>
            <w:tcBorders>
              <w:top w:val="nil"/>
              <w:left w:val="nil"/>
              <w:bottom w:val="single" w:sz="8" w:space="0" w:color="auto"/>
              <w:right w:val="single" w:sz="8" w:space="0" w:color="auto"/>
            </w:tcBorders>
            <w:shd w:val="clear" w:color="auto" w:fill="auto"/>
            <w:vAlign w:val="center"/>
            <w:hideMark/>
          </w:tcPr>
          <w:p w14:paraId="469F57DC" w14:textId="77777777" w:rsidR="0048516D" w:rsidRPr="00E2177A" w:rsidRDefault="0048516D" w:rsidP="0048516D">
            <w:pPr>
              <w:jc w:val="both"/>
              <w:rPr>
                <w:rFonts w:ascii="Verdana" w:hAnsi="Verdana"/>
                <w:i/>
                <w:iCs/>
                <w:sz w:val="14"/>
                <w:szCs w:val="14"/>
                <w:lang w:val="es-CO"/>
              </w:rPr>
            </w:pPr>
            <w:r w:rsidRPr="00E2177A">
              <w:rPr>
                <w:rFonts w:ascii="Verdana" w:hAnsi="Verdana"/>
                <w:i/>
                <w:iCs/>
                <w:sz w:val="14"/>
                <w:szCs w:val="14"/>
                <w:lang w:val="es-ES_tradnl"/>
              </w:rPr>
              <w:t>0</w:t>
            </w:r>
          </w:p>
        </w:tc>
        <w:tc>
          <w:tcPr>
            <w:tcW w:w="435" w:type="pct"/>
            <w:tcBorders>
              <w:top w:val="nil"/>
              <w:left w:val="nil"/>
              <w:bottom w:val="single" w:sz="8" w:space="0" w:color="auto"/>
              <w:right w:val="single" w:sz="8" w:space="0" w:color="auto"/>
            </w:tcBorders>
            <w:shd w:val="clear" w:color="auto" w:fill="auto"/>
            <w:vAlign w:val="center"/>
            <w:hideMark/>
          </w:tcPr>
          <w:p w14:paraId="69FA6C75" w14:textId="77777777" w:rsidR="0048516D" w:rsidRPr="00E2177A" w:rsidRDefault="0048516D" w:rsidP="0048516D">
            <w:pPr>
              <w:jc w:val="both"/>
              <w:rPr>
                <w:rFonts w:ascii="Verdana" w:hAnsi="Verdana"/>
                <w:i/>
                <w:iCs/>
                <w:sz w:val="14"/>
                <w:szCs w:val="14"/>
                <w:lang w:val="es-CO"/>
              </w:rPr>
            </w:pPr>
            <w:r w:rsidRPr="00E2177A">
              <w:rPr>
                <w:rFonts w:ascii="Verdana" w:hAnsi="Verdana"/>
                <w:i/>
                <w:iCs/>
                <w:sz w:val="14"/>
                <w:szCs w:val="14"/>
                <w:lang w:val="es-ES_tradnl"/>
              </w:rPr>
              <w:t>25,07</w:t>
            </w:r>
          </w:p>
        </w:tc>
        <w:tc>
          <w:tcPr>
            <w:tcW w:w="189" w:type="pct"/>
            <w:tcBorders>
              <w:top w:val="nil"/>
              <w:left w:val="nil"/>
              <w:bottom w:val="single" w:sz="8" w:space="0" w:color="auto"/>
              <w:right w:val="single" w:sz="8" w:space="0" w:color="auto"/>
            </w:tcBorders>
            <w:shd w:val="clear" w:color="auto" w:fill="auto"/>
            <w:vAlign w:val="center"/>
            <w:hideMark/>
          </w:tcPr>
          <w:p w14:paraId="471FC707" w14:textId="77777777" w:rsidR="0048516D" w:rsidRPr="00E2177A" w:rsidRDefault="0048516D" w:rsidP="0048516D">
            <w:pPr>
              <w:jc w:val="both"/>
              <w:rPr>
                <w:rFonts w:ascii="Verdana" w:hAnsi="Verdana"/>
                <w:i/>
                <w:iCs/>
                <w:sz w:val="14"/>
                <w:szCs w:val="14"/>
                <w:lang w:val="es-CO"/>
              </w:rPr>
            </w:pPr>
            <w:r w:rsidRPr="00E2177A">
              <w:rPr>
                <w:rFonts w:ascii="Verdana" w:hAnsi="Verdana"/>
                <w:i/>
                <w:iCs/>
                <w:sz w:val="14"/>
                <w:szCs w:val="14"/>
                <w:lang w:val="es-ES_tradnl"/>
              </w:rPr>
              <w:t> </w:t>
            </w:r>
          </w:p>
        </w:tc>
        <w:tc>
          <w:tcPr>
            <w:tcW w:w="230" w:type="pct"/>
            <w:tcBorders>
              <w:top w:val="nil"/>
              <w:left w:val="nil"/>
              <w:bottom w:val="single" w:sz="8" w:space="0" w:color="auto"/>
              <w:right w:val="single" w:sz="8" w:space="0" w:color="auto"/>
            </w:tcBorders>
            <w:shd w:val="clear" w:color="auto" w:fill="auto"/>
            <w:vAlign w:val="center"/>
            <w:hideMark/>
          </w:tcPr>
          <w:p w14:paraId="2923416B" w14:textId="77777777" w:rsidR="0048516D" w:rsidRPr="00E2177A" w:rsidRDefault="0048516D" w:rsidP="0048516D">
            <w:pPr>
              <w:jc w:val="both"/>
              <w:rPr>
                <w:rFonts w:ascii="Verdana" w:hAnsi="Verdana"/>
                <w:i/>
                <w:iCs/>
                <w:sz w:val="14"/>
                <w:szCs w:val="14"/>
                <w:lang w:val="es-CO"/>
              </w:rPr>
            </w:pPr>
            <w:r w:rsidRPr="00E2177A">
              <w:rPr>
                <w:rFonts w:ascii="Verdana" w:hAnsi="Verdana"/>
                <w:i/>
                <w:iCs/>
                <w:sz w:val="14"/>
                <w:szCs w:val="14"/>
                <w:lang w:val="es-ES_tradnl"/>
              </w:rPr>
              <w:t>x</w:t>
            </w:r>
          </w:p>
        </w:tc>
      </w:tr>
      <w:tr w:rsidR="0048516D" w:rsidRPr="0048516D" w14:paraId="4F38C1C6" w14:textId="77777777" w:rsidTr="00E2177A">
        <w:trPr>
          <w:trHeight w:val="540"/>
        </w:trPr>
        <w:tc>
          <w:tcPr>
            <w:tcW w:w="616" w:type="pct"/>
            <w:tcBorders>
              <w:top w:val="nil"/>
              <w:left w:val="single" w:sz="8" w:space="0" w:color="auto"/>
              <w:bottom w:val="single" w:sz="8" w:space="0" w:color="auto"/>
              <w:right w:val="single" w:sz="8" w:space="0" w:color="auto"/>
            </w:tcBorders>
            <w:shd w:val="clear" w:color="auto" w:fill="auto"/>
            <w:vAlign w:val="center"/>
            <w:hideMark/>
          </w:tcPr>
          <w:p w14:paraId="0EE6316D" w14:textId="77777777" w:rsidR="0048516D" w:rsidRPr="00E2177A" w:rsidRDefault="0048516D" w:rsidP="0048516D">
            <w:pPr>
              <w:jc w:val="both"/>
              <w:rPr>
                <w:rFonts w:ascii="Verdana" w:hAnsi="Verdana"/>
                <w:i/>
                <w:iCs/>
                <w:sz w:val="14"/>
                <w:szCs w:val="14"/>
                <w:lang w:val="es-CO"/>
              </w:rPr>
            </w:pPr>
            <w:r w:rsidRPr="00E2177A">
              <w:rPr>
                <w:rFonts w:ascii="Verdana" w:hAnsi="Verdana"/>
                <w:i/>
                <w:iCs/>
                <w:sz w:val="14"/>
                <w:szCs w:val="14"/>
                <w:lang w:val="es-ES_tradnl"/>
              </w:rPr>
              <w:lastRenderedPageBreak/>
              <w:t>Declaratoria</w:t>
            </w:r>
          </w:p>
        </w:tc>
        <w:tc>
          <w:tcPr>
            <w:tcW w:w="560" w:type="pct"/>
            <w:vMerge/>
            <w:tcBorders>
              <w:top w:val="nil"/>
              <w:left w:val="single" w:sz="8" w:space="0" w:color="auto"/>
              <w:bottom w:val="single" w:sz="8" w:space="0" w:color="000000"/>
              <w:right w:val="single" w:sz="8" w:space="0" w:color="auto"/>
            </w:tcBorders>
            <w:vAlign w:val="center"/>
            <w:hideMark/>
          </w:tcPr>
          <w:p w14:paraId="3002CDE8" w14:textId="77777777" w:rsidR="0048516D" w:rsidRPr="00E2177A" w:rsidRDefault="0048516D" w:rsidP="0048516D">
            <w:pPr>
              <w:jc w:val="both"/>
              <w:rPr>
                <w:rFonts w:ascii="Verdana" w:hAnsi="Verdana"/>
                <w:i/>
                <w:iCs/>
                <w:sz w:val="14"/>
                <w:szCs w:val="14"/>
                <w:lang w:val="es-CO"/>
              </w:rPr>
            </w:pPr>
          </w:p>
        </w:tc>
        <w:tc>
          <w:tcPr>
            <w:tcW w:w="399" w:type="pct"/>
            <w:tcBorders>
              <w:top w:val="nil"/>
              <w:left w:val="nil"/>
              <w:bottom w:val="single" w:sz="8" w:space="0" w:color="auto"/>
              <w:right w:val="single" w:sz="8" w:space="0" w:color="auto"/>
            </w:tcBorders>
            <w:shd w:val="clear" w:color="auto" w:fill="auto"/>
            <w:vAlign w:val="center"/>
            <w:hideMark/>
          </w:tcPr>
          <w:p w14:paraId="76A216AB" w14:textId="77777777" w:rsidR="0048516D" w:rsidRPr="00E2177A" w:rsidRDefault="0048516D" w:rsidP="0048516D">
            <w:pPr>
              <w:jc w:val="both"/>
              <w:rPr>
                <w:rFonts w:ascii="Verdana" w:hAnsi="Verdana"/>
                <w:i/>
                <w:iCs/>
                <w:sz w:val="14"/>
                <w:szCs w:val="14"/>
                <w:lang w:val="es-CO"/>
              </w:rPr>
            </w:pPr>
            <w:r w:rsidRPr="00E2177A">
              <w:rPr>
                <w:rFonts w:ascii="Verdana" w:hAnsi="Verdana"/>
                <w:i/>
                <w:iCs/>
                <w:sz w:val="14"/>
                <w:szCs w:val="14"/>
                <w:lang w:val="es-ES_tradnl"/>
              </w:rPr>
              <w:t>41</w:t>
            </w:r>
          </w:p>
        </w:tc>
        <w:tc>
          <w:tcPr>
            <w:tcW w:w="541" w:type="pct"/>
            <w:tcBorders>
              <w:top w:val="nil"/>
              <w:left w:val="nil"/>
              <w:bottom w:val="single" w:sz="8" w:space="0" w:color="auto"/>
              <w:right w:val="single" w:sz="8" w:space="0" w:color="auto"/>
            </w:tcBorders>
            <w:shd w:val="clear" w:color="auto" w:fill="auto"/>
            <w:vAlign w:val="center"/>
            <w:hideMark/>
          </w:tcPr>
          <w:p w14:paraId="434C92B6" w14:textId="77777777" w:rsidR="0048516D" w:rsidRPr="00E2177A" w:rsidRDefault="0048516D" w:rsidP="0048516D">
            <w:pPr>
              <w:jc w:val="both"/>
              <w:rPr>
                <w:rFonts w:ascii="Verdana" w:hAnsi="Verdana"/>
                <w:i/>
                <w:iCs/>
                <w:sz w:val="14"/>
                <w:szCs w:val="14"/>
                <w:lang w:val="es-CO"/>
              </w:rPr>
            </w:pPr>
            <w:r w:rsidRPr="00E2177A">
              <w:rPr>
                <w:rFonts w:ascii="Verdana" w:hAnsi="Verdana"/>
                <w:i/>
                <w:iCs/>
                <w:sz w:val="14"/>
                <w:szCs w:val="14"/>
                <w:lang w:val="es-ES_tradnl"/>
              </w:rPr>
              <w:t>Corpoguajira</w:t>
            </w:r>
          </w:p>
        </w:tc>
        <w:tc>
          <w:tcPr>
            <w:tcW w:w="531" w:type="pct"/>
            <w:tcBorders>
              <w:top w:val="nil"/>
              <w:left w:val="nil"/>
              <w:bottom w:val="single" w:sz="8" w:space="0" w:color="auto"/>
              <w:right w:val="single" w:sz="8" w:space="0" w:color="auto"/>
            </w:tcBorders>
            <w:shd w:val="clear" w:color="auto" w:fill="auto"/>
            <w:vAlign w:val="center"/>
            <w:hideMark/>
          </w:tcPr>
          <w:p w14:paraId="6BA51BDE" w14:textId="77777777" w:rsidR="0048516D" w:rsidRPr="00E2177A" w:rsidRDefault="0048516D" w:rsidP="0048516D">
            <w:pPr>
              <w:jc w:val="both"/>
              <w:rPr>
                <w:rFonts w:ascii="Verdana" w:hAnsi="Verdana"/>
                <w:i/>
                <w:iCs/>
                <w:sz w:val="14"/>
                <w:szCs w:val="14"/>
                <w:lang w:val="es-CO"/>
              </w:rPr>
            </w:pPr>
            <w:r w:rsidRPr="00E2177A">
              <w:rPr>
                <w:rFonts w:ascii="Verdana" w:hAnsi="Verdana"/>
                <w:i/>
                <w:iCs/>
                <w:sz w:val="14"/>
                <w:szCs w:val="14"/>
                <w:lang w:val="es-ES_tradnl"/>
              </w:rPr>
              <w:t>Bahía Honda - Hondita</w:t>
            </w:r>
          </w:p>
        </w:tc>
        <w:tc>
          <w:tcPr>
            <w:tcW w:w="500" w:type="pct"/>
            <w:tcBorders>
              <w:top w:val="nil"/>
              <w:left w:val="nil"/>
              <w:bottom w:val="single" w:sz="8" w:space="0" w:color="auto"/>
              <w:right w:val="single" w:sz="8" w:space="0" w:color="auto"/>
            </w:tcBorders>
            <w:shd w:val="clear" w:color="auto" w:fill="auto"/>
            <w:vAlign w:val="center"/>
            <w:hideMark/>
          </w:tcPr>
          <w:p w14:paraId="382B05FD" w14:textId="77777777" w:rsidR="0048516D" w:rsidRPr="00E2177A" w:rsidRDefault="0048516D" w:rsidP="0048516D">
            <w:pPr>
              <w:jc w:val="both"/>
              <w:rPr>
                <w:rFonts w:ascii="Verdana" w:hAnsi="Verdana"/>
                <w:i/>
                <w:iCs/>
                <w:sz w:val="14"/>
                <w:szCs w:val="14"/>
                <w:lang w:val="es-CO"/>
              </w:rPr>
            </w:pPr>
            <w:r w:rsidRPr="00E2177A">
              <w:rPr>
                <w:rFonts w:ascii="Verdana" w:hAnsi="Verdana"/>
                <w:i/>
                <w:iCs/>
                <w:sz w:val="14"/>
                <w:szCs w:val="14"/>
                <w:lang w:val="es-ES_tradnl"/>
              </w:rPr>
              <w:t>36.594,53</w:t>
            </w:r>
          </w:p>
        </w:tc>
        <w:tc>
          <w:tcPr>
            <w:tcW w:w="500" w:type="pct"/>
            <w:tcBorders>
              <w:top w:val="nil"/>
              <w:left w:val="nil"/>
              <w:bottom w:val="single" w:sz="8" w:space="0" w:color="auto"/>
              <w:right w:val="single" w:sz="8" w:space="0" w:color="auto"/>
            </w:tcBorders>
            <w:shd w:val="clear" w:color="auto" w:fill="auto"/>
            <w:vAlign w:val="center"/>
            <w:hideMark/>
          </w:tcPr>
          <w:p w14:paraId="65919BF1" w14:textId="77777777" w:rsidR="0048516D" w:rsidRPr="00E2177A" w:rsidRDefault="0048516D" w:rsidP="0048516D">
            <w:pPr>
              <w:jc w:val="both"/>
              <w:rPr>
                <w:rFonts w:ascii="Verdana" w:hAnsi="Verdana"/>
                <w:i/>
                <w:iCs/>
                <w:sz w:val="14"/>
                <w:szCs w:val="14"/>
                <w:lang w:val="es-CO"/>
              </w:rPr>
            </w:pPr>
            <w:r w:rsidRPr="00E2177A">
              <w:rPr>
                <w:rFonts w:ascii="Verdana" w:hAnsi="Verdana"/>
                <w:i/>
                <w:iCs/>
                <w:sz w:val="14"/>
                <w:szCs w:val="14"/>
                <w:lang w:val="es-ES_tradnl"/>
              </w:rPr>
              <w:t>36.594,53</w:t>
            </w:r>
          </w:p>
        </w:tc>
        <w:tc>
          <w:tcPr>
            <w:tcW w:w="500" w:type="pct"/>
            <w:tcBorders>
              <w:top w:val="nil"/>
              <w:left w:val="nil"/>
              <w:bottom w:val="single" w:sz="8" w:space="0" w:color="auto"/>
              <w:right w:val="single" w:sz="8" w:space="0" w:color="auto"/>
            </w:tcBorders>
            <w:shd w:val="clear" w:color="auto" w:fill="auto"/>
            <w:vAlign w:val="center"/>
            <w:hideMark/>
          </w:tcPr>
          <w:p w14:paraId="1E184F02" w14:textId="77777777" w:rsidR="0048516D" w:rsidRPr="00E2177A" w:rsidRDefault="0048516D" w:rsidP="0048516D">
            <w:pPr>
              <w:jc w:val="both"/>
              <w:rPr>
                <w:rFonts w:ascii="Verdana" w:hAnsi="Verdana"/>
                <w:i/>
                <w:iCs/>
                <w:sz w:val="14"/>
                <w:szCs w:val="14"/>
                <w:lang w:val="es-CO"/>
              </w:rPr>
            </w:pPr>
            <w:r w:rsidRPr="00E2177A">
              <w:rPr>
                <w:rFonts w:ascii="Verdana" w:hAnsi="Verdana"/>
                <w:i/>
                <w:iCs/>
                <w:sz w:val="14"/>
                <w:szCs w:val="14"/>
                <w:lang w:val="es-ES_tradnl"/>
              </w:rPr>
              <w:t>0</w:t>
            </w:r>
          </w:p>
        </w:tc>
        <w:tc>
          <w:tcPr>
            <w:tcW w:w="435" w:type="pct"/>
            <w:tcBorders>
              <w:top w:val="nil"/>
              <w:left w:val="nil"/>
              <w:bottom w:val="single" w:sz="8" w:space="0" w:color="auto"/>
              <w:right w:val="single" w:sz="8" w:space="0" w:color="auto"/>
            </w:tcBorders>
            <w:shd w:val="clear" w:color="auto" w:fill="auto"/>
            <w:vAlign w:val="center"/>
            <w:hideMark/>
          </w:tcPr>
          <w:p w14:paraId="259BCD21" w14:textId="77777777" w:rsidR="0048516D" w:rsidRPr="00E2177A" w:rsidRDefault="0048516D" w:rsidP="0048516D">
            <w:pPr>
              <w:jc w:val="both"/>
              <w:rPr>
                <w:rFonts w:ascii="Verdana" w:hAnsi="Verdana"/>
                <w:i/>
                <w:iCs/>
                <w:sz w:val="14"/>
                <w:szCs w:val="14"/>
                <w:lang w:val="es-CO"/>
              </w:rPr>
            </w:pPr>
            <w:r w:rsidRPr="00E2177A">
              <w:rPr>
                <w:rFonts w:ascii="Verdana" w:hAnsi="Verdana"/>
                <w:i/>
                <w:iCs/>
                <w:sz w:val="14"/>
                <w:szCs w:val="14"/>
                <w:lang w:val="es-ES_tradnl"/>
              </w:rPr>
              <w:t>0</w:t>
            </w:r>
          </w:p>
        </w:tc>
        <w:tc>
          <w:tcPr>
            <w:tcW w:w="189" w:type="pct"/>
            <w:tcBorders>
              <w:top w:val="nil"/>
              <w:left w:val="nil"/>
              <w:bottom w:val="single" w:sz="8" w:space="0" w:color="auto"/>
              <w:right w:val="single" w:sz="8" w:space="0" w:color="auto"/>
            </w:tcBorders>
            <w:shd w:val="clear" w:color="auto" w:fill="auto"/>
            <w:vAlign w:val="center"/>
            <w:hideMark/>
          </w:tcPr>
          <w:p w14:paraId="651936D0" w14:textId="77777777" w:rsidR="0048516D" w:rsidRPr="00E2177A" w:rsidRDefault="0048516D" w:rsidP="0048516D">
            <w:pPr>
              <w:jc w:val="both"/>
              <w:rPr>
                <w:rFonts w:ascii="Verdana" w:hAnsi="Verdana"/>
                <w:i/>
                <w:iCs/>
                <w:sz w:val="14"/>
                <w:szCs w:val="14"/>
                <w:lang w:val="es-CO"/>
              </w:rPr>
            </w:pPr>
            <w:r w:rsidRPr="00E2177A">
              <w:rPr>
                <w:rFonts w:ascii="Verdana" w:hAnsi="Verdana"/>
                <w:i/>
                <w:iCs/>
                <w:sz w:val="14"/>
                <w:szCs w:val="14"/>
                <w:lang w:val="es-ES_tradnl"/>
              </w:rPr>
              <w:t>x</w:t>
            </w:r>
          </w:p>
        </w:tc>
        <w:tc>
          <w:tcPr>
            <w:tcW w:w="230" w:type="pct"/>
            <w:tcBorders>
              <w:top w:val="nil"/>
              <w:left w:val="nil"/>
              <w:bottom w:val="single" w:sz="8" w:space="0" w:color="auto"/>
              <w:right w:val="single" w:sz="8" w:space="0" w:color="auto"/>
            </w:tcBorders>
            <w:shd w:val="clear" w:color="auto" w:fill="auto"/>
            <w:vAlign w:val="center"/>
            <w:hideMark/>
          </w:tcPr>
          <w:p w14:paraId="1358C2E0" w14:textId="77777777" w:rsidR="0048516D" w:rsidRPr="00E2177A" w:rsidRDefault="0048516D" w:rsidP="0048516D">
            <w:pPr>
              <w:jc w:val="both"/>
              <w:rPr>
                <w:rFonts w:ascii="Verdana" w:hAnsi="Verdana"/>
                <w:i/>
                <w:iCs/>
                <w:sz w:val="14"/>
                <w:szCs w:val="14"/>
                <w:lang w:val="es-CO"/>
              </w:rPr>
            </w:pPr>
            <w:r w:rsidRPr="00E2177A">
              <w:rPr>
                <w:rFonts w:ascii="Verdana" w:hAnsi="Verdana"/>
                <w:i/>
                <w:iCs/>
                <w:sz w:val="14"/>
                <w:szCs w:val="14"/>
                <w:lang w:val="es-ES_tradnl"/>
              </w:rPr>
              <w:t> </w:t>
            </w:r>
          </w:p>
        </w:tc>
      </w:tr>
      <w:tr w:rsidR="0048516D" w:rsidRPr="0048516D" w14:paraId="003B31E3" w14:textId="77777777" w:rsidTr="00E2177A">
        <w:trPr>
          <w:trHeight w:val="300"/>
        </w:trPr>
        <w:tc>
          <w:tcPr>
            <w:tcW w:w="616" w:type="pct"/>
            <w:tcBorders>
              <w:top w:val="nil"/>
              <w:left w:val="single" w:sz="8" w:space="0" w:color="auto"/>
              <w:bottom w:val="single" w:sz="8" w:space="0" w:color="auto"/>
              <w:right w:val="single" w:sz="8" w:space="0" w:color="auto"/>
            </w:tcBorders>
            <w:shd w:val="clear" w:color="auto" w:fill="auto"/>
            <w:vAlign w:val="center"/>
            <w:hideMark/>
          </w:tcPr>
          <w:p w14:paraId="4F6E9DD3" w14:textId="77777777" w:rsidR="0048516D" w:rsidRPr="00E2177A" w:rsidRDefault="0048516D" w:rsidP="0048516D">
            <w:pPr>
              <w:jc w:val="both"/>
              <w:rPr>
                <w:rFonts w:ascii="Verdana" w:hAnsi="Verdana"/>
                <w:i/>
                <w:iCs/>
                <w:sz w:val="14"/>
                <w:szCs w:val="14"/>
                <w:lang w:val="es-CO"/>
              </w:rPr>
            </w:pPr>
            <w:r w:rsidRPr="00E2177A">
              <w:rPr>
                <w:rFonts w:ascii="Verdana" w:hAnsi="Verdana"/>
                <w:i/>
                <w:iCs/>
                <w:sz w:val="14"/>
                <w:szCs w:val="14"/>
                <w:lang w:val="es-ES_tradnl"/>
              </w:rPr>
              <w:t>Declaratoria</w:t>
            </w:r>
          </w:p>
        </w:tc>
        <w:tc>
          <w:tcPr>
            <w:tcW w:w="560" w:type="pct"/>
            <w:vMerge/>
            <w:tcBorders>
              <w:top w:val="nil"/>
              <w:left w:val="single" w:sz="8" w:space="0" w:color="auto"/>
              <w:bottom w:val="single" w:sz="8" w:space="0" w:color="000000"/>
              <w:right w:val="single" w:sz="8" w:space="0" w:color="auto"/>
            </w:tcBorders>
            <w:vAlign w:val="center"/>
            <w:hideMark/>
          </w:tcPr>
          <w:p w14:paraId="61A979C6" w14:textId="77777777" w:rsidR="0048516D" w:rsidRPr="00E2177A" w:rsidRDefault="0048516D" w:rsidP="0048516D">
            <w:pPr>
              <w:jc w:val="both"/>
              <w:rPr>
                <w:rFonts w:ascii="Verdana" w:hAnsi="Verdana"/>
                <w:i/>
                <w:iCs/>
                <w:sz w:val="14"/>
                <w:szCs w:val="14"/>
                <w:lang w:val="es-CO"/>
              </w:rPr>
            </w:pPr>
          </w:p>
        </w:tc>
        <w:tc>
          <w:tcPr>
            <w:tcW w:w="399" w:type="pct"/>
            <w:tcBorders>
              <w:top w:val="nil"/>
              <w:left w:val="nil"/>
              <w:bottom w:val="single" w:sz="8" w:space="0" w:color="auto"/>
              <w:right w:val="single" w:sz="8" w:space="0" w:color="auto"/>
            </w:tcBorders>
            <w:shd w:val="clear" w:color="auto" w:fill="auto"/>
            <w:vAlign w:val="center"/>
            <w:hideMark/>
          </w:tcPr>
          <w:p w14:paraId="3DB17DC4" w14:textId="77777777" w:rsidR="0048516D" w:rsidRPr="00E2177A" w:rsidRDefault="0048516D" w:rsidP="0048516D">
            <w:pPr>
              <w:jc w:val="both"/>
              <w:rPr>
                <w:rFonts w:ascii="Verdana" w:hAnsi="Verdana"/>
                <w:i/>
                <w:iCs/>
                <w:sz w:val="14"/>
                <w:szCs w:val="14"/>
                <w:lang w:val="es-CO"/>
              </w:rPr>
            </w:pPr>
            <w:r w:rsidRPr="00E2177A">
              <w:rPr>
                <w:rFonts w:ascii="Verdana" w:hAnsi="Verdana"/>
                <w:i/>
                <w:iCs/>
                <w:sz w:val="14"/>
                <w:szCs w:val="14"/>
                <w:lang w:val="es-ES_tradnl"/>
              </w:rPr>
              <w:t>51</w:t>
            </w:r>
          </w:p>
        </w:tc>
        <w:tc>
          <w:tcPr>
            <w:tcW w:w="541" w:type="pct"/>
            <w:tcBorders>
              <w:top w:val="nil"/>
              <w:left w:val="nil"/>
              <w:bottom w:val="single" w:sz="8" w:space="0" w:color="auto"/>
              <w:right w:val="single" w:sz="8" w:space="0" w:color="auto"/>
            </w:tcBorders>
            <w:shd w:val="clear" w:color="auto" w:fill="auto"/>
            <w:vAlign w:val="center"/>
            <w:hideMark/>
          </w:tcPr>
          <w:p w14:paraId="5D32A410" w14:textId="77777777" w:rsidR="0048516D" w:rsidRPr="00E2177A" w:rsidRDefault="0048516D" w:rsidP="0048516D">
            <w:pPr>
              <w:jc w:val="both"/>
              <w:rPr>
                <w:rFonts w:ascii="Verdana" w:hAnsi="Verdana"/>
                <w:i/>
                <w:iCs/>
                <w:sz w:val="14"/>
                <w:szCs w:val="14"/>
                <w:lang w:val="es-CO"/>
              </w:rPr>
            </w:pPr>
            <w:r w:rsidRPr="00E2177A">
              <w:rPr>
                <w:rFonts w:ascii="Verdana" w:hAnsi="Verdana"/>
                <w:i/>
                <w:iCs/>
                <w:sz w:val="14"/>
                <w:szCs w:val="14"/>
                <w:lang w:val="es-ES_tradnl"/>
              </w:rPr>
              <w:t>Corponariño</w:t>
            </w:r>
          </w:p>
        </w:tc>
        <w:tc>
          <w:tcPr>
            <w:tcW w:w="531" w:type="pct"/>
            <w:tcBorders>
              <w:top w:val="nil"/>
              <w:left w:val="nil"/>
              <w:bottom w:val="single" w:sz="8" w:space="0" w:color="auto"/>
              <w:right w:val="single" w:sz="8" w:space="0" w:color="auto"/>
            </w:tcBorders>
            <w:shd w:val="clear" w:color="auto" w:fill="auto"/>
            <w:vAlign w:val="center"/>
            <w:hideMark/>
          </w:tcPr>
          <w:p w14:paraId="7ACCEE2C" w14:textId="77777777" w:rsidR="0048516D" w:rsidRPr="00E2177A" w:rsidRDefault="0048516D" w:rsidP="0048516D">
            <w:pPr>
              <w:jc w:val="both"/>
              <w:rPr>
                <w:rFonts w:ascii="Verdana" w:hAnsi="Verdana"/>
                <w:i/>
                <w:iCs/>
                <w:sz w:val="14"/>
                <w:szCs w:val="14"/>
                <w:lang w:val="es-CO"/>
              </w:rPr>
            </w:pPr>
            <w:r w:rsidRPr="00E2177A">
              <w:rPr>
                <w:rFonts w:ascii="Verdana" w:hAnsi="Verdana"/>
                <w:i/>
                <w:iCs/>
                <w:sz w:val="14"/>
                <w:szCs w:val="14"/>
                <w:lang w:val="es-ES_tradnl"/>
              </w:rPr>
              <w:t>Andino Pacífica</w:t>
            </w:r>
          </w:p>
        </w:tc>
        <w:tc>
          <w:tcPr>
            <w:tcW w:w="500" w:type="pct"/>
            <w:tcBorders>
              <w:top w:val="nil"/>
              <w:left w:val="nil"/>
              <w:bottom w:val="single" w:sz="8" w:space="0" w:color="auto"/>
              <w:right w:val="single" w:sz="8" w:space="0" w:color="auto"/>
            </w:tcBorders>
            <w:shd w:val="clear" w:color="auto" w:fill="auto"/>
            <w:vAlign w:val="center"/>
            <w:hideMark/>
          </w:tcPr>
          <w:p w14:paraId="22DA1190" w14:textId="77777777" w:rsidR="0048516D" w:rsidRPr="00E2177A" w:rsidRDefault="0048516D" w:rsidP="0048516D">
            <w:pPr>
              <w:jc w:val="both"/>
              <w:rPr>
                <w:rFonts w:ascii="Verdana" w:hAnsi="Verdana"/>
                <w:i/>
                <w:iCs/>
                <w:sz w:val="14"/>
                <w:szCs w:val="14"/>
                <w:lang w:val="es-CO"/>
              </w:rPr>
            </w:pPr>
            <w:r w:rsidRPr="00E2177A">
              <w:rPr>
                <w:rFonts w:ascii="Verdana" w:hAnsi="Verdana"/>
                <w:i/>
                <w:iCs/>
                <w:sz w:val="14"/>
                <w:szCs w:val="14"/>
                <w:lang w:val="es-ES_tradnl"/>
              </w:rPr>
              <w:t>19.469,03</w:t>
            </w:r>
          </w:p>
        </w:tc>
        <w:tc>
          <w:tcPr>
            <w:tcW w:w="500" w:type="pct"/>
            <w:tcBorders>
              <w:top w:val="nil"/>
              <w:left w:val="nil"/>
              <w:bottom w:val="single" w:sz="8" w:space="0" w:color="auto"/>
              <w:right w:val="single" w:sz="8" w:space="0" w:color="auto"/>
            </w:tcBorders>
            <w:shd w:val="clear" w:color="auto" w:fill="auto"/>
            <w:vAlign w:val="center"/>
            <w:hideMark/>
          </w:tcPr>
          <w:p w14:paraId="22E0734B" w14:textId="77777777" w:rsidR="0048516D" w:rsidRPr="00E2177A" w:rsidRDefault="0048516D" w:rsidP="0048516D">
            <w:pPr>
              <w:jc w:val="both"/>
              <w:rPr>
                <w:rFonts w:ascii="Verdana" w:hAnsi="Verdana"/>
                <w:i/>
                <w:iCs/>
                <w:sz w:val="14"/>
                <w:szCs w:val="14"/>
                <w:lang w:val="es-CO"/>
              </w:rPr>
            </w:pPr>
            <w:r w:rsidRPr="00E2177A">
              <w:rPr>
                <w:rFonts w:ascii="Verdana" w:hAnsi="Verdana"/>
                <w:i/>
                <w:iCs/>
                <w:sz w:val="14"/>
                <w:szCs w:val="14"/>
                <w:lang w:val="es-ES_tradnl"/>
              </w:rPr>
              <w:t>11.761,21</w:t>
            </w:r>
          </w:p>
        </w:tc>
        <w:tc>
          <w:tcPr>
            <w:tcW w:w="500" w:type="pct"/>
            <w:tcBorders>
              <w:top w:val="nil"/>
              <w:left w:val="nil"/>
              <w:bottom w:val="single" w:sz="8" w:space="0" w:color="auto"/>
              <w:right w:val="single" w:sz="8" w:space="0" w:color="auto"/>
            </w:tcBorders>
            <w:shd w:val="clear" w:color="auto" w:fill="auto"/>
            <w:vAlign w:val="center"/>
            <w:hideMark/>
          </w:tcPr>
          <w:p w14:paraId="17B3BDA5" w14:textId="77777777" w:rsidR="0048516D" w:rsidRPr="00E2177A" w:rsidRDefault="0048516D" w:rsidP="0048516D">
            <w:pPr>
              <w:jc w:val="both"/>
              <w:rPr>
                <w:rFonts w:ascii="Verdana" w:hAnsi="Verdana"/>
                <w:i/>
                <w:iCs/>
                <w:sz w:val="14"/>
                <w:szCs w:val="14"/>
                <w:lang w:val="es-CO"/>
              </w:rPr>
            </w:pPr>
            <w:r w:rsidRPr="00E2177A">
              <w:rPr>
                <w:rFonts w:ascii="Verdana" w:hAnsi="Verdana"/>
                <w:i/>
                <w:iCs/>
                <w:sz w:val="14"/>
                <w:szCs w:val="14"/>
                <w:lang w:val="es-ES_tradnl"/>
              </w:rPr>
              <w:t>7.707,82</w:t>
            </w:r>
          </w:p>
        </w:tc>
        <w:tc>
          <w:tcPr>
            <w:tcW w:w="435" w:type="pct"/>
            <w:tcBorders>
              <w:top w:val="nil"/>
              <w:left w:val="nil"/>
              <w:bottom w:val="single" w:sz="8" w:space="0" w:color="auto"/>
              <w:right w:val="single" w:sz="8" w:space="0" w:color="auto"/>
            </w:tcBorders>
            <w:shd w:val="clear" w:color="auto" w:fill="auto"/>
            <w:vAlign w:val="center"/>
            <w:hideMark/>
          </w:tcPr>
          <w:p w14:paraId="657F1BA9" w14:textId="77777777" w:rsidR="0048516D" w:rsidRPr="00E2177A" w:rsidRDefault="0048516D" w:rsidP="0048516D">
            <w:pPr>
              <w:jc w:val="both"/>
              <w:rPr>
                <w:rFonts w:ascii="Verdana" w:hAnsi="Verdana"/>
                <w:i/>
                <w:iCs/>
                <w:sz w:val="14"/>
                <w:szCs w:val="14"/>
                <w:lang w:val="es-CO"/>
              </w:rPr>
            </w:pPr>
            <w:r w:rsidRPr="00E2177A">
              <w:rPr>
                <w:rFonts w:ascii="Verdana" w:hAnsi="Verdana"/>
                <w:i/>
                <w:iCs/>
                <w:sz w:val="14"/>
                <w:szCs w:val="14"/>
                <w:lang w:val="es-ES_tradnl"/>
              </w:rPr>
              <w:t>0</w:t>
            </w:r>
          </w:p>
        </w:tc>
        <w:tc>
          <w:tcPr>
            <w:tcW w:w="189" w:type="pct"/>
            <w:tcBorders>
              <w:top w:val="nil"/>
              <w:left w:val="nil"/>
              <w:bottom w:val="single" w:sz="8" w:space="0" w:color="auto"/>
              <w:right w:val="single" w:sz="8" w:space="0" w:color="auto"/>
            </w:tcBorders>
            <w:shd w:val="clear" w:color="auto" w:fill="auto"/>
            <w:vAlign w:val="center"/>
            <w:hideMark/>
          </w:tcPr>
          <w:p w14:paraId="58550F7D" w14:textId="77777777" w:rsidR="0048516D" w:rsidRPr="00E2177A" w:rsidRDefault="0048516D" w:rsidP="0048516D">
            <w:pPr>
              <w:jc w:val="both"/>
              <w:rPr>
                <w:rFonts w:ascii="Verdana" w:hAnsi="Verdana"/>
                <w:i/>
                <w:iCs/>
                <w:sz w:val="14"/>
                <w:szCs w:val="14"/>
                <w:lang w:val="es-CO"/>
              </w:rPr>
            </w:pPr>
            <w:r w:rsidRPr="00E2177A">
              <w:rPr>
                <w:rFonts w:ascii="Verdana" w:hAnsi="Verdana"/>
                <w:i/>
                <w:iCs/>
                <w:sz w:val="14"/>
                <w:szCs w:val="14"/>
                <w:lang w:val="es-ES_tradnl"/>
              </w:rPr>
              <w:t> </w:t>
            </w:r>
          </w:p>
        </w:tc>
        <w:tc>
          <w:tcPr>
            <w:tcW w:w="230" w:type="pct"/>
            <w:tcBorders>
              <w:top w:val="nil"/>
              <w:left w:val="nil"/>
              <w:bottom w:val="single" w:sz="8" w:space="0" w:color="auto"/>
              <w:right w:val="single" w:sz="8" w:space="0" w:color="auto"/>
            </w:tcBorders>
            <w:shd w:val="clear" w:color="auto" w:fill="auto"/>
            <w:vAlign w:val="center"/>
            <w:hideMark/>
          </w:tcPr>
          <w:p w14:paraId="52401A3B" w14:textId="77777777" w:rsidR="0048516D" w:rsidRPr="00E2177A" w:rsidRDefault="0048516D" w:rsidP="0048516D">
            <w:pPr>
              <w:jc w:val="both"/>
              <w:rPr>
                <w:rFonts w:ascii="Verdana" w:hAnsi="Verdana"/>
                <w:i/>
                <w:iCs/>
                <w:sz w:val="14"/>
                <w:szCs w:val="14"/>
                <w:lang w:val="es-CO"/>
              </w:rPr>
            </w:pPr>
            <w:r w:rsidRPr="00E2177A">
              <w:rPr>
                <w:rFonts w:ascii="Verdana" w:hAnsi="Verdana"/>
                <w:i/>
                <w:iCs/>
                <w:sz w:val="14"/>
                <w:szCs w:val="14"/>
                <w:lang w:val="es-ES_tradnl"/>
              </w:rPr>
              <w:t>x</w:t>
            </w:r>
          </w:p>
        </w:tc>
      </w:tr>
      <w:tr w:rsidR="00E2177A" w:rsidRPr="00B966C6" w14:paraId="4EAF6417" w14:textId="77777777" w:rsidTr="00E2177A">
        <w:trPr>
          <w:trHeight w:val="540"/>
        </w:trPr>
        <w:tc>
          <w:tcPr>
            <w:tcW w:w="616" w:type="pct"/>
            <w:tcBorders>
              <w:top w:val="nil"/>
              <w:left w:val="single" w:sz="8" w:space="0" w:color="auto"/>
              <w:bottom w:val="single" w:sz="8" w:space="0" w:color="auto"/>
              <w:right w:val="nil"/>
            </w:tcBorders>
            <w:shd w:val="clear" w:color="000000" w:fill="BFBFBF"/>
            <w:vAlign w:val="center"/>
            <w:hideMark/>
          </w:tcPr>
          <w:p w14:paraId="79F58CE1" w14:textId="77777777" w:rsidR="0048516D" w:rsidRPr="00E2177A" w:rsidRDefault="0048516D" w:rsidP="0048516D">
            <w:pPr>
              <w:jc w:val="both"/>
              <w:rPr>
                <w:rFonts w:ascii="Verdana" w:hAnsi="Verdana"/>
                <w:b/>
                <w:bCs/>
                <w:i/>
                <w:iCs/>
                <w:sz w:val="14"/>
                <w:szCs w:val="14"/>
                <w:lang w:val="es-CO"/>
              </w:rPr>
            </w:pPr>
            <w:r w:rsidRPr="00E2177A">
              <w:rPr>
                <w:rFonts w:ascii="Verdana" w:hAnsi="Verdana"/>
                <w:b/>
                <w:bCs/>
                <w:i/>
                <w:iCs/>
                <w:sz w:val="14"/>
                <w:szCs w:val="14"/>
                <w:lang w:val="es-ES_tradnl"/>
              </w:rPr>
              <w:t>Subtotal fase declaratoria</w:t>
            </w:r>
          </w:p>
        </w:tc>
        <w:tc>
          <w:tcPr>
            <w:tcW w:w="560" w:type="pct"/>
            <w:tcBorders>
              <w:top w:val="nil"/>
              <w:left w:val="nil"/>
              <w:bottom w:val="single" w:sz="8" w:space="0" w:color="auto"/>
              <w:right w:val="nil"/>
            </w:tcBorders>
            <w:shd w:val="clear" w:color="000000" w:fill="BFBFBF"/>
            <w:vAlign w:val="center"/>
            <w:hideMark/>
          </w:tcPr>
          <w:p w14:paraId="5C2A9584" w14:textId="77777777" w:rsidR="0048516D" w:rsidRPr="00E2177A" w:rsidRDefault="0048516D" w:rsidP="0048516D">
            <w:pPr>
              <w:jc w:val="both"/>
              <w:rPr>
                <w:rFonts w:ascii="Verdana" w:hAnsi="Verdana"/>
                <w:b/>
                <w:bCs/>
                <w:i/>
                <w:iCs/>
                <w:sz w:val="14"/>
                <w:szCs w:val="14"/>
                <w:lang w:val="es-CO"/>
              </w:rPr>
            </w:pPr>
            <w:r w:rsidRPr="00E2177A">
              <w:rPr>
                <w:rFonts w:ascii="Verdana" w:hAnsi="Verdana"/>
                <w:b/>
                <w:bCs/>
                <w:i/>
                <w:iCs/>
                <w:sz w:val="14"/>
                <w:szCs w:val="14"/>
                <w:lang w:val="es-CO"/>
              </w:rPr>
              <w:t> </w:t>
            </w:r>
          </w:p>
        </w:tc>
        <w:tc>
          <w:tcPr>
            <w:tcW w:w="399" w:type="pct"/>
            <w:tcBorders>
              <w:top w:val="nil"/>
              <w:left w:val="nil"/>
              <w:bottom w:val="single" w:sz="8" w:space="0" w:color="auto"/>
              <w:right w:val="nil"/>
            </w:tcBorders>
            <w:shd w:val="clear" w:color="000000" w:fill="BFBFBF"/>
            <w:vAlign w:val="center"/>
            <w:hideMark/>
          </w:tcPr>
          <w:p w14:paraId="68B6C1E4" w14:textId="77777777" w:rsidR="0048516D" w:rsidRPr="00E2177A" w:rsidRDefault="0048516D" w:rsidP="0048516D">
            <w:pPr>
              <w:jc w:val="both"/>
              <w:rPr>
                <w:rFonts w:ascii="Verdana" w:hAnsi="Verdana"/>
                <w:b/>
                <w:bCs/>
                <w:i/>
                <w:iCs/>
                <w:sz w:val="14"/>
                <w:szCs w:val="14"/>
                <w:lang w:val="es-CO"/>
              </w:rPr>
            </w:pPr>
            <w:r w:rsidRPr="00E2177A">
              <w:rPr>
                <w:rFonts w:ascii="Verdana" w:hAnsi="Verdana"/>
                <w:b/>
                <w:bCs/>
                <w:i/>
                <w:iCs/>
                <w:sz w:val="14"/>
                <w:szCs w:val="14"/>
                <w:lang w:val="es-CO"/>
              </w:rPr>
              <w:t> </w:t>
            </w:r>
          </w:p>
        </w:tc>
        <w:tc>
          <w:tcPr>
            <w:tcW w:w="541" w:type="pct"/>
            <w:tcBorders>
              <w:top w:val="nil"/>
              <w:left w:val="nil"/>
              <w:bottom w:val="single" w:sz="8" w:space="0" w:color="auto"/>
              <w:right w:val="nil"/>
            </w:tcBorders>
            <w:shd w:val="clear" w:color="000000" w:fill="BFBFBF"/>
            <w:vAlign w:val="center"/>
            <w:hideMark/>
          </w:tcPr>
          <w:p w14:paraId="463938F8" w14:textId="77777777" w:rsidR="0048516D" w:rsidRPr="00E2177A" w:rsidRDefault="0048516D" w:rsidP="0048516D">
            <w:pPr>
              <w:jc w:val="both"/>
              <w:rPr>
                <w:rFonts w:ascii="Verdana" w:hAnsi="Verdana"/>
                <w:b/>
                <w:bCs/>
                <w:i/>
                <w:iCs/>
                <w:sz w:val="14"/>
                <w:szCs w:val="14"/>
                <w:lang w:val="es-CO"/>
              </w:rPr>
            </w:pPr>
            <w:r w:rsidRPr="00E2177A">
              <w:rPr>
                <w:rFonts w:ascii="Verdana" w:hAnsi="Verdana"/>
                <w:b/>
                <w:bCs/>
                <w:i/>
                <w:iCs/>
                <w:sz w:val="14"/>
                <w:szCs w:val="14"/>
                <w:lang w:val="es-CO"/>
              </w:rPr>
              <w:t> </w:t>
            </w:r>
          </w:p>
        </w:tc>
        <w:tc>
          <w:tcPr>
            <w:tcW w:w="531" w:type="pct"/>
            <w:tcBorders>
              <w:top w:val="nil"/>
              <w:left w:val="nil"/>
              <w:bottom w:val="single" w:sz="8" w:space="0" w:color="auto"/>
              <w:right w:val="single" w:sz="8" w:space="0" w:color="auto"/>
            </w:tcBorders>
            <w:shd w:val="clear" w:color="000000" w:fill="BFBFBF"/>
            <w:vAlign w:val="center"/>
            <w:hideMark/>
          </w:tcPr>
          <w:p w14:paraId="1C4B6693" w14:textId="77777777" w:rsidR="0048516D" w:rsidRPr="00E2177A" w:rsidRDefault="0048516D" w:rsidP="0048516D">
            <w:pPr>
              <w:jc w:val="both"/>
              <w:rPr>
                <w:rFonts w:ascii="Verdana" w:hAnsi="Verdana"/>
                <w:b/>
                <w:bCs/>
                <w:i/>
                <w:iCs/>
                <w:sz w:val="14"/>
                <w:szCs w:val="14"/>
                <w:lang w:val="es-CO"/>
              </w:rPr>
            </w:pPr>
            <w:r w:rsidRPr="00E2177A">
              <w:rPr>
                <w:rFonts w:ascii="Verdana" w:hAnsi="Verdana"/>
                <w:b/>
                <w:bCs/>
                <w:i/>
                <w:iCs/>
                <w:sz w:val="14"/>
                <w:szCs w:val="14"/>
                <w:lang w:val="es-CO"/>
              </w:rPr>
              <w:t> </w:t>
            </w:r>
          </w:p>
        </w:tc>
        <w:tc>
          <w:tcPr>
            <w:tcW w:w="500" w:type="pct"/>
            <w:tcBorders>
              <w:top w:val="nil"/>
              <w:left w:val="nil"/>
              <w:bottom w:val="single" w:sz="8" w:space="0" w:color="auto"/>
              <w:right w:val="single" w:sz="8" w:space="0" w:color="auto"/>
            </w:tcBorders>
            <w:shd w:val="clear" w:color="000000" w:fill="BFBFBF"/>
            <w:vAlign w:val="center"/>
            <w:hideMark/>
          </w:tcPr>
          <w:p w14:paraId="13AADF23" w14:textId="77777777" w:rsidR="0048516D" w:rsidRPr="00E2177A" w:rsidRDefault="0048516D" w:rsidP="0048516D">
            <w:pPr>
              <w:jc w:val="both"/>
              <w:rPr>
                <w:rFonts w:ascii="Verdana" w:hAnsi="Verdana"/>
                <w:b/>
                <w:bCs/>
                <w:i/>
                <w:iCs/>
                <w:sz w:val="14"/>
                <w:szCs w:val="14"/>
                <w:lang w:val="es-CO"/>
              </w:rPr>
            </w:pPr>
            <w:r w:rsidRPr="00E2177A">
              <w:rPr>
                <w:rFonts w:ascii="Verdana" w:hAnsi="Verdana"/>
                <w:b/>
                <w:bCs/>
                <w:i/>
                <w:iCs/>
                <w:sz w:val="14"/>
                <w:szCs w:val="14"/>
                <w:lang w:val="es-ES_tradnl"/>
              </w:rPr>
              <w:t>133.792,49</w:t>
            </w:r>
          </w:p>
        </w:tc>
        <w:tc>
          <w:tcPr>
            <w:tcW w:w="500" w:type="pct"/>
            <w:tcBorders>
              <w:top w:val="nil"/>
              <w:left w:val="nil"/>
              <w:bottom w:val="single" w:sz="8" w:space="0" w:color="auto"/>
              <w:right w:val="single" w:sz="8" w:space="0" w:color="auto"/>
            </w:tcBorders>
            <w:shd w:val="clear" w:color="000000" w:fill="BFBFBF"/>
            <w:vAlign w:val="center"/>
            <w:hideMark/>
          </w:tcPr>
          <w:p w14:paraId="1D3EEB01" w14:textId="77777777" w:rsidR="0048516D" w:rsidRPr="00E2177A" w:rsidRDefault="0048516D" w:rsidP="0048516D">
            <w:pPr>
              <w:jc w:val="both"/>
              <w:rPr>
                <w:rFonts w:ascii="Verdana" w:hAnsi="Verdana"/>
                <w:b/>
                <w:bCs/>
                <w:i/>
                <w:iCs/>
                <w:sz w:val="14"/>
                <w:szCs w:val="14"/>
                <w:lang w:val="es-CO"/>
              </w:rPr>
            </w:pPr>
            <w:r w:rsidRPr="00E2177A">
              <w:rPr>
                <w:rFonts w:ascii="Verdana" w:hAnsi="Verdana"/>
                <w:b/>
                <w:bCs/>
                <w:i/>
                <w:iCs/>
                <w:sz w:val="14"/>
                <w:szCs w:val="14"/>
                <w:lang w:val="es-ES_tradnl"/>
              </w:rPr>
              <w:t>126.109,75</w:t>
            </w:r>
          </w:p>
        </w:tc>
        <w:tc>
          <w:tcPr>
            <w:tcW w:w="500" w:type="pct"/>
            <w:tcBorders>
              <w:top w:val="nil"/>
              <w:left w:val="nil"/>
              <w:bottom w:val="single" w:sz="8" w:space="0" w:color="auto"/>
              <w:right w:val="single" w:sz="8" w:space="0" w:color="auto"/>
            </w:tcBorders>
            <w:shd w:val="clear" w:color="000000" w:fill="BFBFBF"/>
            <w:vAlign w:val="center"/>
            <w:hideMark/>
          </w:tcPr>
          <w:p w14:paraId="11CA3C10" w14:textId="77777777" w:rsidR="0048516D" w:rsidRPr="00E2177A" w:rsidRDefault="0048516D" w:rsidP="0048516D">
            <w:pPr>
              <w:jc w:val="both"/>
              <w:rPr>
                <w:rFonts w:ascii="Verdana" w:hAnsi="Verdana"/>
                <w:b/>
                <w:bCs/>
                <w:i/>
                <w:iCs/>
                <w:sz w:val="14"/>
                <w:szCs w:val="14"/>
                <w:lang w:val="es-CO"/>
              </w:rPr>
            </w:pPr>
            <w:r w:rsidRPr="00E2177A">
              <w:rPr>
                <w:rFonts w:ascii="Verdana" w:hAnsi="Verdana"/>
                <w:b/>
                <w:bCs/>
                <w:i/>
                <w:iCs/>
                <w:sz w:val="14"/>
                <w:szCs w:val="14"/>
                <w:lang w:val="es-ES_tradnl"/>
              </w:rPr>
              <w:t>7.707,82</w:t>
            </w:r>
          </w:p>
        </w:tc>
        <w:tc>
          <w:tcPr>
            <w:tcW w:w="435" w:type="pct"/>
            <w:tcBorders>
              <w:top w:val="nil"/>
              <w:left w:val="nil"/>
              <w:bottom w:val="single" w:sz="8" w:space="0" w:color="auto"/>
              <w:right w:val="single" w:sz="8" w:space="0" w:color="auto"/>
            </w:tcBorders>
            <w:shd w:val="clear" w:color="000000" w:fill="BFBFBF"/>
            <w:vAlign w:val="center"/>
            <w:hideMark/>
          </w:tcPr>
          <w:p w14:paraId="166EFC38" w14:textId="77777777" w:rsidR="0048516D" w:rsidRPr="00E2177A" w:rsidRDefault="0048516D" w:rsidP="0048516D">
            <w:pPr>
              <w:jc w:val="both"/>
              <w:rPr>
                <w:rFonts w:ascii="Verdana" w:hAnsi="Verdana"/>
                <w:b/>
                <w:bCs/>
                <w:i/>
                <w:iCs/>
                <w:sz w:val="14"/>
                <w:szCs w:val="14"/>
                <w:lang w:val="es-CO"/>
              </w:rPr>
            </w:pPr>
            <w:r w:rsidRPr="00E2177A">
              <w:rPr>
                <w:rFonts w:ascii="Verdana" w:hAnsi="Verdana"/>
                <w:b/>
                <w:bCs/>
                <w:i/>
                <w:iCs/>
                <w:sz w:val="14"/>
                <w:szCs w:val="14"/>
                <w:lang w:val="es-ES_tradnl"/>
              </w:rPr>
              <w:t>25,07</w:t>
            </w:r>
          </w:p>
        </w:tc>
        <w:tc>
          <w:tcPr>
            <w:tcW w:w="189" w:type="pct"/>
            <w:tcBorders>
              <w:top w:val="nil"/>
              <w:left w:val="nil"/>
              <w:bottom w:val="single" w:sz="8" w:space="0" w:color="auto"/>
              <w:right w:val="single" w:sz="8" w:space="0" w:color="auto"/>
            </w:tcBorders>
            <w:shd w:val="clear" w:color="000000" w:fill="BFBFBF"/>
            <w:vAlign w:val="center"/>
            <w:hideMark/>
          </w:tcPr>
          <w:p w14:paraId="3ACEB1FB" w14:textId="77777777" w:rsidR="0048516D" w:rsidRPr="00E2177A" w:rsidRDefault="0048516D" w:rsidP="0048516D">
            <w:pPr>
              <w:jc w:val="both"/>
              <w:rPr>
                <w:rFonts w:ascii="Verdana" w:hAnsi="Verdana"/>
                <w:i/>
                <w:iCs/>
                <w:sz w:val="14"/>
                <w:szCs w:val="14"/>
                <w:lang w:val="es-CO"/>
              </w:rPr>
            </w:pPr>
            <w:r w:rsidRPr="00E2177A">
              <w:rPr>
                <w:rFonts w:ascii="Verdana" w:hAnsi="Verdana"/>
                <w:i/>
                <w:iCs/>
                <w:sz w:val="14"/>
                <w:szCs w:val="14"/>
                <w:lang w:val="es-ES_tradnl"/>
              </w:rPr>
              <w:t> </w:t>
            </w:r>
          </w:p>
        </w:tc>
        <w:tc>
          <w:tcPr>
            <w:tcW w:w="230" w:type="pct"/>
            <w:tcBorders>
              <w:top w:val="nil"/>
              <w:left w:val="nil"/>
              <w:bottom w:val="single" w:sz="8" w:space="0" w:color="auto"/>
              <w:right w:val="single" w:sz="8" w:space="0" w:color="auto"/>
            </w:tcBorders>
            <w:shd w:val="clear" w:color="000000" w:fill="BFBFBF"/>
            <w:vAlign w:val="center"/>
            <w:hideMark/>
          </w:tcPr>
          <w:p w14:paraId="268EC885" w14:textId="77777777" w:rsidR="0048516D" w:rsidRPr="00E2177A" w:rsidRDefault="0048516D" w:rsidP="0048516D">
            <w:pPr>
              <w:jc w:val="both"/>
              <w:rPr>
                <w:rFonts w:ascii="Verdana" w:hAnsi="Verdana"/>
                <w:i/>
                <w:iCs/>
                <w:sz w:val="14"/>
                <w:szCs w:val="14"/>
                <w:lang w:val="es-CO"/>
              </w:rPr>
            </w:pPr>
            <w:r w:rsidRPr="00E2177A">
              <w:rPr>
                <w:rFonts w:ascii="Verdana" w:hAnsi="Verdana"/>
                <w:i/>
                <w:iCs/>
                <w:sz w:val="14"/>
                <w:szCs w:val="14"/>
                <w:lang w:val="es-ES_tradnl"/>
              </w:rPr>
              <w:t> </w:t>
            </w:r>
          </w:p>
        </w:tc>
      </w:tr>
      <w:tr w:rsidR="0048516D" w:rsidRPr="0048516D" w14:paraId="4813C8AB" w14:textId="77777777" w:rsidTr="00E2177A">
        <w:trPr>
          <w:trHeight w:val="804"/>
        </w:trPr>
        <w:tc>
          <w:tcPr>
            <w:tcW w:w="616" w:type="pct"/>
            <w:tcBorders>
              <w:top w:val="nil"/>
              <w:left w:val="single" w:sz="8" w:space="0" w:color="auto"/>
              <w:bottom w:val="single" w:sz="8" w:space="0" w:color="auto"/>
              <w:right w:val="single" w:sz="8" w:space="0" w:color="auto"/>
            </w:tcBorders>
            <w:shd w:val="clear" w:color="auto" w:fill="auto"/>
            <w:vAlign w:val="center"/>
            <w:hideMark/>
          </w:tcPr>
          <w:p w14:paraId="399FB506" w14:textId="77777777" w:rsidR="0048516D" w:rsidRPr="00E2177A" w:rsidRDefault="0048516D" w:rsidP="0048516D">
            <w:pPr>
              <w:jc w:val="both"/>
              <w:rPr>
                <w:rFonts w:ascii="Verdana" w:hAnsi="Verdana"/>
                <w:i/>
                <w:iCs/>
                <w:sz w:val="14"/>
                <w:szCs w:val="14"/>
                <w:lang w:val="es-CO"/>
              </w:rPr>
            </w:pPr>
            <w:r w:rsidRPr="00E2177A">
              <w:rPr>
                <w:rFonts w:ascii="Verdana" w:hAnsi="Verdana"/>
                <w:i/>
                <w:iCs/>
                <w:sz w:val="14"/>
                <w:szCs w:val="14"/>
                <w:lang w:val="es-ES_tradnl"/>
              </w:rPr>
              <w:t>Declaratoria</w:t>
            </w:r>
          </w:p>
        </w:tc>
        <w:tc>
          <w:tcPr>
            <w:tcW w:w="560" w:type="pct"/>
            <w:vMerge w:val="restart"/>
            <w:tcBorders>
              <w:top w:val="nil"/>
              <w:left w:val="single" w:sz="8" w:space="0" w:color="auto"/>
              <w:bottom w:val="single" w:sz="8" w:space="0" w:color="000000"/>
              <w:right w:val="single" w:sz="8" w:space="0" w:color="auto"/>
            </w:tcBorders>
            <w:shd w:val="clear" w:color="auto" w:fill="auto"/>
            <w:vAlign w:val="center"/>
            <w:hideMark/>
          </w:tcPr>
          <w:p w14:paraId="3EF08BE2" w14:textId="77777777" w:rsidR="0048516D" w:rsidRPr="00E2177A" w:rsidRDefault="0048516D" w:rsidP="0048516D">
            <w:pPr>
              <w:jc w:val="both"/>
              <w:rPr>
                <w:rFonts w:ascii="Verdana" w:hAnsi="Verdana"/>
                <w:b/>
                <w:bCs/>
                <w:i/>
                <w:iCs/>
                <w:sz w:val="14"/>
                <w:szCs w:val="14"/>
                <w:lang w:val="es-CO"/>
              </w:rPr>
            </w:pPr>
            <w:r w:rsidRPr="00E2177A">
              <w:rPr>
                <w:rFonts w:ascii="Verdana" w:hAnsi="Verdana"/>
                <w:b/>
                <w:bCs/>
                <w:i/>
                <w:iCs/>
                <w:sz w:val="14"/>
                <w:szCs w:val="14"/>
                <w:lang w:val="es-ES_tradnl"/>
              </w:rPr>
              <w:t>Declarada</w:t>
            </w:r>
          </w:p>
        </w:tc>
        <w:tc>
          <w:tcPr>
            <w:tcW w:w="399" w:type="pct"/>
            <w:tcBorders>
              <w:top w:val="nil"/>
              <w:left w:val="nil"/>
              <w:bottom w:val="single" w:sz="8" w:space="0" w:color="auto"/>
              <w:right w:val="single" w:sz="8" w:space="0" w:color="auto"/>
            </w:tcBorders>
            <w:shd w:val="clear" w:color="auto" w:fill="auto"/>
            <w:vAlign w:val="center"/>
            <w:hideMark/>
          </w:tcPr>
          <w:p w14:paraId="2D333BBD" w14:textId="77777777" w:rsidR="0048516D" w:rsidRPr="00E2177A" w:rsidRDefault="0048516D" w:rsidP="0048516D">
            <w:pPr>
              <w:jc w:val="both"/>
              <w:rPr>
                <w:rFonts w:ascii="Verdana" w:hAnsi="Verdana"/>
                <w:i/>
                <w:iCs/>
                <w:sz w:val="14"/>
                <w:szCs w:val="14"/>
                <w:lang w:val="es-CO"/>
              </w:rPr>
            </w:pPr>
            <w:r w:rsidRPr="00E2177A">
              <w:rPr>
                <w:rFonts w:ascii="Verdana" w:hAnsi="Verdana"/>
                <w:i/>
                <w:iCs/>
                <w:sz w:val="14"/>
                <w:szCs w:val="14"/>
                <w:lang w:val="es-ES_tradnl"/>
              </w:rPr>
              <w:t>46</w:t>
            </w:r>
          </w:p>
        </w:tc>
        <w:tc>
          <w:tcPr>
            <w:tcW w:w="541" w:type="pct"/>
            <w:tcBorders>
              <w:top w:val="nil"/>
              <w:left w:val="nil"/>
              <w:bottom w:val="single" w:sz="8" w:space="0" w:color="auto"/>
              <w:right w:val="single" w:sz="8" w:space="0" w:color="auto"/>
            </w:tcBorders>
            <w:shd w:val="clear" w:color="auto" w:fill="auto"/>
            <w:vAlign w:val="center"/>
            <w:hideMark/>
          </w:tcPr>
          <w:p w14:paraId="218784F3" w14:textId="77777777" w:rsidR="0048516D" w:rsidRPr="00E2177A" w:rsidRDefault="0048516D" w:rsidP="0048516D">
            <w:pPr>
              <w:jc w:val="both"/>
              <w:rPr>
                <w:rFonts w:ascii="Verdana" w:hAnsi="Verdana"/>
                <w:i/>
                <w:iCs/>
                <w:sz w:val="14"/>
                <w:szCs w:val="14"/>
                <w:lang w:val="es-CO"/>
              </w:rPr>
            </w:pPr>
            <w:r w:rsidRPr="00E2177A">
              <w:rPr>
                <w:rFonts w:ascii="Verdana" w:hAnsi="Verdana"/>
                <w:i/>
                <w:iCs/>
                <w:sz w:val="14"/>
                <w:szCs w:val="14"/>
                <w:lang w:val="es-ES_tradnl"/>
              </w:rPr>
              <w:t>CDMB</w:t>
            </w:r>
          </w:p>
        </w:tc>
        <w:tc>
          <w:tcPr>
            <w:tcW w:w="531" w:type="pct"/>
            <w:tcBorders>
              <w:top w:val="nil"/>
              <w:left w:val="nil"/>
              <w:bottom w:val="single" w:sz="8" w:space="0" w:color="auto"/>
              <w:right w:val="single" w:sz="8" w:space="0" w:color="auto"/>
            </w:tcBorders>
            <w:shd w:val="clear" w:color="auto" w:fill="auto"/>
            <w:vAlign w:val="center"/>
            <w:hideMark/>
          </w:tcPr>
          <w:p w14:paraId="67041619" w14:textId="77777777" w:rsidR="0048516D" w:rsidRPr="00E2177A" w:rsidRDefault="0048516D" w:rsidP="0048516D">
            <w:pPr>
              <w:jc w:val="both"/>
              <w:rPr>
                <w:rFonts w:ascii="Verdana" w:hAnsi="Verdana"/>
                <w:i/>
                <w:iCs/>
                <w:sz w:val="14"/>
                <w:szCs w:val="14"/>
                <w:lang w:val="es-CO"/>
              </w:rPr>
            </w:pPr>
            <w:r w:rsidRPr="00E2177A">
              <w:rPr>
                <w:rFonts w:ascii="Verdana" w:hAnsi="Verdana"/>
                <w:i/>
                <w:iCs/>
                <w:sz w:val="14"/>
                <w:szCs w:val="14"/>
                <w:lang w:val="es-ES_tradnl"/>
              </w:rPr>
              <w:t>Zona Árida Cañón Rio Chicamocha</w:t>
            </w:r>
          </w:p>
        </w:tc>
        <w:tc>
          <w:tcPr>
            <w:tcW w:w="500" w:type="pct"/>
            <w:tcBorders>
              <w:top w:val="nil"/>
              <w:left w:val="nil"/>
              <w:bottom w:val="single" w:sz="8" w:space="0" w:color="auto"/>
              <w:right w:val="single" w:sz="8" w:space="0" w:color="auto"/>
            </w:tcBorders>
            <w:shd w:val="clear" w:color="auto" w:fill="auto"/>
            <w:vAlign w:val="center"/>
            <w:hideMark/>
          </w:tcPr>
          <w:p w14:paraId="22D0A349" w14:textId="77777777" w:rsidR="0048516D" w:rsidRPr="00E2177A" w:rsidRDefault="0048516D" w:rsidP="0048516D">
            <w:pPr>
              <w:jc w:val="both"/>
              <w:rPr>
                <w:rFonts w:ascii="Verdana" w:hAnsi="Verdana"/>
                <w:i/>
                <w:iCs/>
                <w:sz w:val="14"/>
                <w:szCs w:val="14"/>
                <w:lang w:val="es-CO"/>
              </w:rPr>
            </w:pPr>
            <w:r w:rsidRPr="00E2177A">
              <w:rPr>
                <w:rFonts w:ascii="Verdana" w:hAnsi="Verdana"/>
                <w:i/>
                <w:iCs/>
                <w:sz w:val="14"/>
                <w:szCs w:val="14"/>
                <w:lang w:val="es-ES_tradnl"/>
              </w:rPr>
              <w:t>3.921,09</w:t>
            </w:r>
          </w:p>
        </w:tc>
        <w:tc>
          <w:tcPr>
            <w:tcW w:w="500" w:type="pct"/>
            <w:tcBorders>
              <w:top w:val="nil"/>
              <w:left w:val="nil"/>
              <w:bottom w:val="single" w:sz="8" w:space="0" w:color="auto"/>
              <w:right w:val="single" w:sz="8" w:space="0" w:color="auto"/>
            </w:tcBorders>
            <w:shd w:val="clear" w:color="auto" w:fill="auto"/>
            <w:vAlign w:val="center"/>
            <w:hideMark/>
          </w:tcPr>
          <w:p w14:paraId="3914F811" w14:textId="77777777" w:rsidR="0048516D" w:rsidRPr="00E2177A" w:rsidRDefault="0048516D" w:rsidP="0048516D">
            <w:pPr>
              <w:jc w:val="both"/>
              <w:rPr>
                <w:rFonts w:ascii="Verdana" w:hAnsi="Verdana"/>
                <w:i/>
                <w:iCs/>
                <w:sz w:val="14"/>
                <w:szCs w:val="14"/>
                <w:lang w:val="es-CO"/>
              </w:rPr>
            </w:pPr>
            <w:r w:rsidRPr="00E2177A">
              <w:rPr>
                <w:rFonts w:ascii="Verdana" w:hAnsi="Verdana"/>
                <w:i/>
                <w:iCs/>
                <w:sz w:val="14"/>
                <w:szCs w:val="14"/>
                <w:lang w:val="es-ES_tradnl"/>
              </w:rPr>
              <w:t>0</w:t>
            </w:r>
          </w:p>
        </w:tc>
        <w:tc>
          <w:tcPr>
            <w:tcW w:w="500" w:type="pct"/>
            <w:tcBorders>
              <w:top w:val="nil"/>
              <w:left w:val="nil"/>
              <w:bottom w:val="single" w:sz="8" w:space="0" w:color="auto"/>
              <w:right w:val="single" w:sz="8" w:space="0" w:color="auto"/>
            </w:tcBorders>
            <w:shd w:val="clear" w:color="auto" w:fill="auto"/>
            <w:vAlign w:val="center"/>
            <w:hideMark/>
          </w:tcPr>
          <w:p w14:paraId="747D8821" w14:textId="77777777" w:rsidR="0048516D" w:rsidRPr="00E2177A" w:rsidRDefault="0048516D" w:rsidP="0048516D">
            <w:pPr>
              <w:jc w:val="both"/>
              <w:rPr>
                <w:rFonts w:ascii="Verdana" w:hAnsi="Verdana"/>
                <w:i/>
                <w:iCs/>
                <w:sz w:val="14"/>
                <w:szCs w:val="14"/>
                <w:lang w:val="es-CO"/>
              </w:rPr>
            </w:pPr>
            <w:r w:rsidRPr="00E2177A">
              <w:rPr>
                <w:rFonts w:ascii="Verdana" w:hAnsi="Verdana"/>
                <w:i/>
                <w:iCs/>
                <w:sz w:val="14"/>
                <w:szCs w:val="14"/>
                <w:lang w:val="es-ES_tradnl"/>
              </w:rPr>
              <w:t>3.921,09</w:t>
            </w:r>
          </w:p>
        </w:tc>
        <w:tc>
          <w:tcPr>
            <w:tcW w:w="435" w:type="pct"/>
            <w:tcBorders>
              <w:top w:val="nil"/>
              <w:left w:val="nil"/>
              <w:bottom w:val="single" w:sz="8" w:space="0" w:color="auto"/>
              <w:right w:val="single" w:sz="8" w:space="0" w:color="auto"/>
            </w:tcBorders>
            <w:shd w:val="clear" w:color="auto" w:fill="auto"/>
            <w:vAlign w:val="center"/>
            <w:hideMark/>
          </w:tcPr>
          <w:p w14:paraId="0EDC3FAB" w14:textId="77777777" w:rsidR="0048516D" w:rsidRPr="00E2177A" w:rsidRDefault="0048516D" w:rsidP="0048516D">
            <w:pPr>
              <w:jc w:val="both"/>
              <w:rPr>
                <w:rFonts w:ascii="Verdana" w:hAnsi="Verdana"/>
                <w:i/>
                <w:iCs/>
                <w:sz w:val="14"/>
                <w:szCs w:val="14"/>
                <w:lang w:val="es-CO"/>
              </w:rPr>
            </w:pPr>
            <w:r w:rsidRPr="00E2177A">
              <w:rPr>
                <w:rFonts w:ascii="Verdana" w:hAnsi="Verdana"/>
                <w:i/>
                <w:iCs/>
                <w:sz w:val="14"/>
                <w:szCs w:val="14"/>
                <w:lang w:val="es-ES_tradnl"/>
              </w:rPr>
              <w:t>0</w:t>
            </w:r>
          </w:p>
        </w:tc>
        <w:tc>
          <w:tcPr>
            <w:tcW w:w="189" w:type="pct"/>
            <w:tcBorders>
              <w:top w:val="nil"/>
              <w:left w:val="nil"/>
              <w:bottom w:val="single" w:sz="8" w:space="0" w:color="auto"/>
              <w:right w:val="single" w:sz="8" w:space="0" w:color="auto"/>
            </w:tcBorders>
            <w:shd w:val="clear" w:color="auto" w:fill="auto"/>
            <w:vAlign w:val="center"/>
            <w:hideMark/>
          </w:tcPr>
          <w:p w14:paraId="32834954" w14:textId="77777777" w:rsidR="0048516D" w:rsidRPr="00E2177A" w:rsidRDefault="0048516D" w:rsidP="0048516D">
            <w:pPr>
              <w:jc w:val="both"/>
              <w:rPr>
                <w:rFonts w:ascii="Verdana" w:hAnsi="Verdana"/>
                <w:i/>
                <w:iCs/>
                <w:sz w:val="14"/>
                <w:szCs w:val="14"/>
                <w:lang w:val="es-CO"/>
              </w:rPr>
            </w:pPr>
            <w:r w:rsidRPr="00E2177A">
              <w:rPr>
                <w:rFonts w:ascii="Verdana" w:hAnsi="Verdana"/>
                <w:i/>
                <w:iCs/>
                <w:sz w:val="14"/>
                <w:szCs w:val="14"/>
                <w:lang w:val="es-ES_tradnl"/>
              </w:rPr>
              <w:t> </w:t>
            </w:r>
          </w:p>
        </w:tc>
        <w:tc>
          <w:tcPr>
            <w:tcW w:w="230" w:type="pct"/>
            <w:tcBorders>
              <w:top w:val="nil"/>
              <w:left w:val="nil"/>
              <w:bottom w:val="single" w:sz="8" w:space="0" w:color="auto"/>
              <w:right w:val="single" w:sz="8" w:space="0" w:color="auto"/>
            </w:tcBorders>
            <w:shd w:val="clear" w:color="auto" w:fill="auto"/>
            <w:vAlign w:val="center"/>
            <w:hideMark/>
          </w:tcPr>
          <w:p w14:paraId="71A0FCEB" w14:textId="77777777" w:rsidR="0048516D" w:rsidRPr="00E2177A" w:rsidRDefault="0048516D" w:rsidP="0048516D">
            <w:pPr>
              <w:jc w:val="both"/>
              <w:rPr>
                <w:rFonts w:ascii="Verdana" w:hAnsi="Verdana"/>
                <w:i/>
                <w:iCs/>
                <w:sz w:val="14"/>
                <w:szCs w:val="14"/>
                <w:lang w:val="es-CO"/>
              </w:rPr>
            </w:pPr>
            <w:r w:rsidRPr="00E2177A">
              <w:rPr>
                <w:rFonts w:ascii="Verdana" w:hAnsi="Verdana"/>
                <w:i/>
                <w:iCs/>
                <w:sz w:val="14"/>
                <w:szCs w:val="14"/>
                <w:lang w:val="es-ES_tradnl"/>
              </w:rPr>
              <w:t>x</w:t>
            </w:r>
          </w:p>
        </w:tc>
      </w:tr>
      <w:tr w:rsidR="0048516D" w:rsidRPr="0048516D" w14:paraId="3AC1541E" w14:textId="77777777" w:rsidTr="00E2177A">
        <w:trPr>
          <w:trHeight w:val="300"/>
        </w:trPr>
        <w:tc>
          <w:tcPr>
            <w:tcW w:w="616" w:type="pct"/>
            <w:tcBorders>
              <w:top w:val="nil"/>
              <w:left w:val="single" w:sz="8" w:space="0" w:color="auto"/>
              <w:bottom w:val="single" w:sz="8" w:space="0" w:color="auto"/>
              <w:right w:val="single" w:sz="8" w:space="0" w:color="auto"/>
            </w:tcBorders>
            <w:shd w:val="clear" w:color="auto" w:fill="auto"/>
            <w:vAlign w:val="center"/>
            <w:hideMark/>
          </w:tcPr>
          <w:p w14:paraId="3A06275B" w14:textId="77777777" w:rsidR="0048516D" w:rsidRPr="00E2177A" w:rsidRDefault="0048516D" w:rsidP="0048516D">
            <w:pPr>
              <w:jc w:val="both"/>
              <w:rPr>
                <w:rFonts w:ascii="Verdana" w:hAnsi="Verdana"/>
                <w:i/>
                <w:iCs/>
                <w:sz w:val="14"/>
                <w:szCs w:val="14"/>
                <w:lang w:val="es-CO"/>
              </w:rPr>
            </w:pPr>
            <w:r w:rsidRPr="00E2177A">
              <w:rPr>
                <w:rFonts w:ascii="Verdana" w:hAnsi="Verdana"/>
                <w:i/>
                <w:iCs/>
                <w:sz w:val="14"/>
                <w:szCs w:val="14"/>
                <w:lang w:val="es-ES_tradnl"/>
              </w:rPr>
              <w:t>Declaratoria</w:t>
            </w:r>
          </w:p>
        </w:tc>
        <w:tc>
          <w:tcPr>
            <w:tcW w:w="560" w:type="pct"/>
            <w:vMerge/>
            <w:tcBorders>
              <w:top w:val="nil"/>
              <w:left w:val="single" w:sz="8" w:space="0" w:color="auto"/>
              <w:bottom w:val="single" w:sz="8" w:space="0" w:color="000000"/>
              <w:right w:val="single" w:sz="8" w:space="0" w:color="auto"/>
            </w:tcBorders>
            <w:vAlign w:val="center"/>
            <w:hideMark/>
          </w:tcPr>
          <w:p w14:paraId="1920A2BB" w14:textId="77777777" w:rsidR="0048516D" w:rsidRPr="00E2177A" w:rsidRDefault="0048516D" w:rsidP="0048516D">
            <w:pPr>
              <w:jc w:val="both"/>
              <w:rPr>
                <w:rFonts w:ascii="Verdana" w:hAnsi="Verdana"/>
                <w:b/>
                <w:bCs/>
                <w:i/>
                <w:iCs/>
                <w:sz w:val="14"/>
                <w:szCs w:val="14"/>
                <w:lang w:val="es-CO"/>
              </w:rPr>
            </w:pPr>
          </w:p>
        </w:tc>
        <w:tc>
          <w:tcPr>
            <w:tcW w:w="399" w:type="pct"/>
            <w:tcBorders>
              <w:top w:val="nil"/>
              <w:left w:val="nil"/>
              <w:bottom w:val="single" w:sz="8" w:space="0" w:color="auto"/>
              <w:right w:val="single" w:sz="8" w:space="0" w:color="auto"/>
            </w:tcBorders>
            <w:shd w:val="clear" w:color="auto" w:fill="auto"/>
            <w:vAlign w:val="center"/>
            <w:hideMark/>
          </w:tcPr>
          <w:p w14:paraId="140F9D27" w14:textId="77777777" w:rsidR="0048516D" w:rsidRPr="00E2177A" w:rsidRDefault="0048516D" w:rsidP="0048516D">
            <w:pPr>
              <w:jc w:val="both"/>
              <w:rPr>
                <w:rFonts w:ascii="Verdana" w:hAnsi="Verdana"/>
                <w:i/>
                <w:iCs/>
                <w:sz w:val="14"/>
                <w:szCs w:val="14"/>
                <w:lang w:val="es-CO"/>
              </w:rPr>
            </w:pPr>
            <w:r w:rsidRPr="00E2177A">
              <w:rPr>
                <w:rFonts w:ascii="Verdana" w:hAnsi="Verdana"/>
                <w:i/>
                <w:iCs/>
                <w:sz w:val="14"/>
                <w:szCs w:val="14"/>
                <w:lang w:val="es-ES_tradnl"/>
              </w:rPr>
              <w:t>48a</w:t>
            </w:r>
          </w:p>
        </w:tc>
        <w:tc>
          <w:tcPr>
            <w:tcW w:w="541" w:type="pct"/>
            <w:tcBorders>
              <w:top w:val="nil"/>
              <w:left w:val="nil"/>
              <w:bottom w:val="single" w:sz="8" w:space="0" w:color="auto"/>
              <w:right w:val="single" w:sz="8" w:space="0" w:color="auto"/>
            </w:tcBorders>
            <w:shd w:val="clear" w:color="auto" w:fill="auto"/>
            <w:vAlign w:val="center"/>
            <w:hideMark/>
          </w:tcPr>
          <w:p w14:paraId="360CA401" w14:textId="77777777" w:rsidR="0048516D" w:rsidRPr="00E2177A" w:rsidRDefault="0048516D" w:rsidP="0048516D">
            <w:pPr>
              <w:jc w:val="both"/>
              <w:rPr>
                <w:rFonts w:ascii="Verdana" w:hAnsi="Verdana"/>
                <w:i/>
                <w:iCs/>
                <w:sz w:val="14"/>
                <w:szCs w:val="14"/>
                <w:lang w:val="es-CO"/>
              </w:rPr>
            </w:pPr>
            <w:r w:rsidRPr="00E2177A">
              <w:rPr>
                <w:rFonts w:ascii="Verdana" w:hAnsi="Verdana"/>
                <w:i/>
                <w:iCs/>
                <w:sz w:val="14"/>
                <w:szCs w:val="14"/>
                <w:lang w:val="es-ES_tradnl"/>
              </w:rPr>
              <w:t>CDMB</w:t>
            </w:r>
          </w:p>
        </w:tc>
        <w:tc>
          <w:tcPr>
            <w:tcW w:w="531" w:type="pct"/>
            <w:tcBorders>
              <w:top w:val="nil"/>
              <w:left w:val="nil"/>
              <w:bottom w:val="single" w:sz="8" w:space="0" w:color="auto"/>
              <w:right w:val="single" w:sz="8" w:space="0" w:color="auto"/>
            </w:tcBorders>
            <w:shd w:val="clear" w:color="auto" w:fill="auto"/>
            <w:vAlign w:val="center"/>
            <w:hideMark/>
          </w:tcPr>
          <w:p w14:paraId="1DFC951B" w14:textId="77777777" w:rsidR="0048516D" w:rsidRPr="00E2177A" w:rsidRDefault="0048516D" w:rsidP="0048516D">
            <w:pPr>
              <w:jc w:val="both"/>
              <w:rPr>
                <w:rFonts w:ascii="Verdana" w:hAnsi="Verdana"/>
                <w:i/>
                <w:iCs/>
                <w:sz w:val="14"/>
                <w:szCs w:val="14"/>
                <w:lang w:val="es-CO"/>
              </w:rPr>
            </w:pPr>
            <w:r w:rsidRPr="00E2177A">
              <w:rPr>
                <w:rFonts w:ascii="Verdana" w:hAnsi="Verdana"/>
                <w:i/>
                <w:iCs/>
                <w:sz w:val="14"/>
                <w:szCs w:val="14"/>
                <w:lang w:val="es-ES_tradnl"/>
              </w:rPr>
              <w:t>Bosques El Aburrido Honduras_ Sur</w:t>
            </w:r>
          </w:p>
        </w:tc>
        <w:tc>
          <w:tcPr>
            <w:tcW w:w="500" w:type="pct"/>
            <w:tcBorders>
              <w:top w:val="nil"/>
              <w:left w:val="nil"/>
              <w:bottom w:val="single" w:sz="8" w:space="0" w:color="auto"/>
              <w:right w:val="single" w:sz="8" w:space="0" w:color="auto"/>
            </w:tcBorders>
            <w:shd w:val="clear" w:color="auto" w:fill="auto"/>
            <w:vAlign w:val="center"/>
            <w:hideMark/>
          </w:tcPr>
          <w:p w14:paraId="7DF0DF02" w14:textId="77777777" w:rsidR="0048516D" w:rsidRPr="00E2177A" w:rsidRDefault="0048516D" w:rsidP="0048516D">
            <w:pPr>
              <w:jc w:val="both"/>
              <w:rPr>
                <w:rFonts w:ascii="Verdana" w:hAnsi="Verdana"/>
                <w:i/>
                <w:iCs/>
                <w:sz w:val="14"/>
                <w:szCs w:val="14"/>
                <w:lang w:val="es-CO"/>
              </w:rPr>
            </w:pPr>
            <w:r w:rsidRPr="00E2177A">
              <w:rPr>
                <w:rFonts w:ascii="Verdana" w:hAnsi="Verdana"/>
                <w:i/>
                <w:iCs/>
                <w:sz w:val="14"/>
                <w:szCs w:val="14"/>
                <w:lang w:val="es-ES_tradnl"/>
              </w:rPr>
              <w:t>1.102,35</w:t>
            </w:r>
          </w:p>
        </w:tc>
        <w:tc>
          <w:tcPr>
            <w:tcW w:w="500" w:type="pct"/>
            <w:tcBorders>
              <w:top w:val="nil"/>
              <w:left w:val="nil"/>
              <w:bottom w:val="single" w:sz="8" w:space="0" w:color="auto"/>
              <w:right w:val="single" w:sz="8" w:space="0" w:color="auto"/>
            </w:tcBorders>
            <w:shd w:val="clear" w:color="auto" w:fill="auto"/>
            <w:vAlign w:val="center"/>
            <w:hideMark/>
          </w:tcPr>
          <w:p w14:paraId="1CA84464" w14:textId="77777777" w:rsidR="0048516D" w:rsidRPr="00E2177A" w:rsidRDefault="0048516D" w:rsidP="0048516D">
            <w:pPr>
              <w:jc w:val="both"/>
              <w:rPr>
                <w:rFonts w:ascii="Verdana" w:hAnsi="Verdana"/>
                <w:i/>
                <w:iCs/>
                <w:sz w:val="14"/>
                <w:szCs w:val="14"/>
                <w:lang w:val="es-CO"/>
              </w:rPr>
            </w:pPr>
            <w:r w:rsidRPr="00E2177A">
              <w:rPr>
                <w:rFonts w:ascii="Verdana" w:hAnsi="Verdana"/>
                <w:i/>
                <w:iCs/>
                <w:sz w:val="14"/>
                <w:szCs w:val="14"/>
                <w:lang w:val="es-ES_tradnl"/>
              </w:rPr>
              <w:t>0</w:t>
            </w:r>
          </w:p>
        </w:tc>
        <w:tc>
          <w:tcPr>
            <w:tcW w:w="500" w:type="pct"/>
            <w:tcBorders>
              <w:top w:val="nil"/>
              <w:left w:val="nil"/>
              <w:bottom w:val="single" w:sz="8" w:space="0" w:color="auto"/>
              <w:right w:val="single" w:sz="8" w:space="0" w:color="auto"/>
            </w:tcBorders>
            <w:shd w:val="clear" w:color="auto" w:fill="auto"/>
            <w:vAlign w:val="center"/>
            <w:hideMark/>
          </w:tcPr>
          <w:p w14:paraId="7E54831F" w14:textId="77777777" w:rsidR="0048516D" w:rsidRPr="00E2177A" w:rsidRDefault="0048516D" w:rsidP="0048516D">
            <w:pPr>
              <w:jc w:val="both"/>
              <w:rPr>
                <w:rFonts w:ascii="Verdana" w:hAnsi="Verdana"/>
                <w:i/>
                <w:iCs/>
                <w:sz w:val="14"/>
                <w:szCs w:val="14"/>
                <w:lang w:val="es-CO"/>
              </w:rPr>
            </w:pPr>
            <w:r w:rsidRPr="00E2177A">
              <w:rPr>
                <w:rFonts w:ascii="Verdana" w:hAnsi="Verdana"/>
                <w:i/>
                <w:iCs/>
                <w:sz w:val="14"/>
                <w:szCs w:val="14"/>
                <w:lang w:val="es-ES_tradnl"/>
              </w:rPr>
              <w:t>1.102,35</w:t>
            </w:r>
          </w:p>
        </w:tc>
        <w:tc>
          <w:tcPr>
            <w:tcW w:w="435" w:type="pct"/>
            <w:tcBorders>
              <w:top w:val="nil"/>
              <w:left w:val="nil"/>
              <w:bottom w:val="single" w:sz="8" w:space="0" w:color="auto"/>
              <w:right w:val="single" w:sz="8" w:space="0" w:color="auto"/>
            </w:tcBorders>
            <w:shd w:val="clear" w:color="auto" w:fill="auto"/>
            <w:vAlign w:val="center"/>
            <w:hideMark/>
          </w:tcPr>
          <w:p w14:paraId="0B373174" w14:textId="77777777" w:rsidR="0048516D" w:rsidRPr="00E2177A" w:rsidRDefault="0048516D" w:rsidP="0048516D">
            <w:pPr>
              <w:jc w:val="both"/>
              <w:rPr>
                <w:rFonts w:ascii="Verdana" w:hAnsi="Verdana"/>
                <w:i/>
                <w:iCs/>
                <w:sz w:val="14"/>
                <w:szCs w:val="14"/>
                <w:lang w:val="es-CO"/>
              </w:rPr>
            </w:pPr>
            <w:r w:rsidRPr="00E2177A">
              <w:rPr>
                <w:rFonts w:ascii="Verdana" w:hAnsi="Verdana"/>
                <w:i/>
                <w:iCs/>
                <w:sz w:val="14"/>
                <w:szCs w:val="14"/>
                <w:lang w:val="es-ES_tradnl"/>
              </w:rPr>
              <w:t>0</w:t>
            </w:r>
          </w:p>
        </w:tc>
        <w:tc>
          <w:tcPr>
            <w:tcW w:w="189" w:type="pct"/>
            <w:tcBorders>
              <w:top w:val="nil"/>
              <w:left w:val="nil"/>
              <w:bottom w:val="single" w:sz="8" w:space="0" w:color="auto"/>
              <w:right w:val="single" w:sz="8" w:space="0" w:color="auto"/>
            </w:tcBorders>
            <w:shd w:val="clear" w:color="auto" w:fill="auto"/>
            <w:vAlign w:val="center"/>
            <w:hideMark/>
          </w:tcPr>
          <w:p w14:paraId="5F70E5E9" w14:textId="77777777" w:rsidR="0048516D" w:rsidRPr="00E2177A" w:rsidRDefault="0048516D" w:rsidP="0048516D">
            <w:pPr>
              <w:jc w:val="both"/>
              <w:rPr>
                <w:rFonts w:ascii="Verdana" w:hAnsi="Verdana"/>
                <w:i/>
                <w:iCs/>
                <w:sz w:val="14"/>
                <w:szCs w:val="14"/>
                <w:lang w:val="es-CO"/>
              </w:rPr>
            </w:pPr>
            <w:r w:rsidRPr="00E2177A">
              <w:rPr>
                <w:rFonts w:ascii="Verdana" w:hAnsi="Verdana"/>
                <w:i/>
                <w:iCs/>
                <w:sz w:val="14"/>
                <w:szCs w:val="14"/>
                <w:lang w:val="es-ES_tradnl"/>
              </w:rPr>
              <w:t> </w:t>
            </w:r>
          </w:p>
        </w:tc>
        <w:tc>
          <w:tcPr>
            <w:tcW w:w="230" w:type="pct"/>
            <w:tcBorders>
              <w:top w:val="nil"/>
              <w:left w:val="nil"/>
              <w:bottom w:val="single" w:sz="8" w:space="0" w:color="auto"/>
              <w:right w:val="single" w:sz="8" w:space="0" w:color="auto"/>
            </w:tcBorders>
            <w:shd w:val="clear" w:color="auto" w:fill="auto"/>
            <w:vAlign w:val="center"/>
            <w:hideMark/>
          </w:tcPr>
          <w:p w14:paraId="09311362" w14:textId="77777777" w:rsidR="0048516D" w:rsidRPr="00E2177A" w:rsidRDefault="0048516D" w:rsidP="0048516D">
            <w:pPr>
              <w:jc w:val="both"/>
              <w:rPr>
                <w:rFonts w:ascii="Verdana" w:hAnsi="Verdana"/>
                <w:i/>
                <w:iCs/>
                <w:sz w:val="14"/>
                <w:szCs w:val="14"/>
                <w:lang w:val="es-CO"/>
              </w:rPr>
            </w:pPr>
            <w:r w:rsidRPr="00E2177A">
              <w:rPr>
                <w:rFonts w:ascii="Verdana" w:hAnsi="Verdana"/>
                <w:i/>
                <w:iCs/>
                <w:sz w:val="14"/>
                <w:szCs w:val="14"/>
                <w:lang w:val="es-ES_tradnl"/>
              </w:rPr>
              <w:t>x</w:t>
            </w:r>
          </w:p>
        </w:tc>
      </w:tr>
      <w:tr w:rsidR="0048516D" w:rsidRPr="0048516D" w14:paraId="073189BF" w14:textId="77777777" w:rsidTr="00E2177A">
        <w:trPr>
          <w:trHeight w:val="804"/>
        </w:trPr>
        <w:tc>
          <w:tcPr>
            <w:tcW w:w="616" w:type="pct"/>
            <w:tcBorders>
              <w:top w:val="nil"/>
              <w:left w:val="single" w:sz="8" w:space="0" w:color="auto"/>
              <w:bottom w:val="single" w:sz="8" w:space="0" w:color="auto"/>
              <w:right w:val="single" w:sz="8" w:space="0" w:color="auto"/>
            </w:tcBorders>
            <w:shd w:val="clear" w:color="auto" w:fill="auto"/>
            <w:vAlign w:val="center"/>
            <w:hideMark/>
          </w:tcPr>
          <w:p w14:paraId="25C4E19C" w14:textId="77777777" w:rsidR="0048516D" w:rsidRPr="00E2177A" w:rsidRDefault="0048516D" w:rsidP="0048516D">
            <w:pPr>
              <w:jc w:val="both"/>
              <w:rPr>
                <w:rFonts w:ascii="Verdana" w:hAnsi="Verdana"/>
                <w:i/>
                <w:iCs/>
                <w:sz w:val="14"/>
                <w:szCs w:val="14"/>
                <w:lang w:val="es-CO"/>
              </w:rPr>
            </w:pPr>
            <w:r w:rsidRPr="00E2177A">
              <w:rPr>
                <w:rFonts w:ascii="Verdana" w:hAnsi="Verdana"/>
                <w:i/>
                <w:iCs/>
                <w:sz w:val="14"/>
                <w:szCs w:val="14"/>
                <w:lang w:val="es-ES_tradnl"/>
              </w:rPr>
              <w:t>Declaratoria</w:t>
            </w:r>
          </w:p>
        </w:tc>
        <w:tc>
          <w:tcPr>
            <w:tcW w:w="560" w:type="pct"/>
            <w:vMerge/>
            <w:tcBorders>
              <w:top w:val="nil"/>
              <w:left w:val="single" w:sz="8" w:space="0" w:color="auto"/>
              <w:bottom w:val="single" w:sz="8" w:space="0" w:color="000000"/>
              <w:right w:val="single" w:sz="8" w:space="0" w:color="auto"/>
            </w:tcBorders>
            <w:vAlign w:val="center"/>
            <w:hideMark/>
          </w:tcPr>
          <w:p w14:paraId="0D0FE7EE" w14:textId="77777777" w:rsidR="0048516D" w:rsidRPr="00E2177A" w:rsidRDefault="0048516D" w:rsidP="0048516D">
            <w:pPr>
              <w:jc w:val="both"/>
              <w:rPr>
                <w:rFonts w:ascii="Verdana" w:hAnsi="Verdana"/>
                <w:b/>
                <w:bCs/>
                <w:i/>
                <w:iCs/>
                <w:sz w:val="14"/>
                <w:szCs w:val="14"/>
                <w:lang w:val="es-CO"/>
              </w:rPr>
            </w:pPr>
          </w:p>
        </w:tc>
        <w:tc>
          <w:tcPr>
            <w:tcW w:w="399" w:type="pct"/>
            <w:tcBorders>
              <w:top w:val="nil"/>
              <w:left w:val="nil"/>
              <w:bottom w:val="single" w:sz="8" w:space="0" w:color="auto"/>
              <w:right w:val="single" w:sz="8" w:space="0" w:color="auto"/>
            </w:tcBorders>
            <w:shd w:val="clear" w:color="auto" w:fill="auto"/>
            <w:vAlign w:val="center"/>
            <w:hideMark/>
          </w:tcPr>
          <w:p w14:paraId="3641492A" w14:textId="77777777" w:rsidR="0048516D" w:rsidRPr="00E2177A" w:rsidRDefault="0048516D" w:rsidP="0048516D">
            <w:pPr>
              <w:jc w:val="both"/>
              <w:rPr>
                <w:rFonts w:ascii="Verdana" w:hAnsi="Verdana"/>
                <w:i/>
                <w:iCs/>
                <w:sz w:val="14"/>
                <w:szCs w:val="14"/>
                <w:lang w:val="es-CO"/>
              </w:rPr>
            </w:pPr>
            <w:r w:rsidRPr="00E2177A">
              <w:rPr>
                <w:rFonts w:ascii="Verdana" w:hAnsi="Verdana"/>
                <w:i/>
                <w:iCs/>
                <w:sz w:val="14"/>
                <w:szCs w:val="14"/>
                <w:lang w:val="es-ES_tradnl"/>
              </w:rPr>
              <w:t>48b</w:t>
            </w:r>
          </w:p>
        </w:tc>
        <w:tc>
          <w:tcPr>
            <w:tcW w:w="541" w:type="pct"/>
            <w:tcBorders>
              <w:top w:val="nil"/>
              <w:left w:val="nil"/>
              <w:bottom w:val="single" w:sz="8" w:space="0" w:color="auto"/>
              <w:right w:val="single" w:sz="8" w:space="0" w:color="auto"/>
            </w:tcBorders>
            <w:shd w:val="clear" w:color="auto" w:fill="auto"/>
            <w:vAlign w:val="center"/>
            <w:hideMark/>
          </w:tcPr>
          <w:p w14:paraId="01A0907A" w14:textId="77777777" w:rsidR="0048516D" w:rsidRPr="00E2177A" w:rsidRDefault="0048516D" w:rsidP="0048516D">
            <w:pPr>
              <w:jc w:val="both"/>
              <w:rPr>
                <w:rFonts w:ascii="Verdana" w:hAnsi="Verdana"/>
                <w:i/>
                <w:iCs/>
                <w:sz w:val="14"/>
                <w:szCs w:val="14"/>
                <w:lang w:val="es-CO"/>
              </w:rPr>
            </w:pPr>
            <w:r w:rsidRPr="00E2177A">
              <w:rPr>
                <w:rFonts w:ascii="Verdana" w:hAnsi="Verdana"/>
                <w:i/>
                <w:iCs/>
                <w:sz w:val="14"/>
                <w:szCs w:val="14"/>
                <w:lang w:val="es-ES_tradnl"/>
              </w:rPr>
              <w:t>CDMB</w:t>
            </w:r>
          </w:p>
        </w:tc>
        <w:tc>
          <w:tcPr>
            <w:tcW w:w="531" w:type="pct"/>
            <w:tcBorders>
              <w:top w:val="nil"/>
              <w:left w:val="nil"/>
              <w:bottom w:val="single" w:sz="8" w:space="0" w:color="auto"/>
              <w:right w:val="single" w:sz="8" w:space="0" w:color="auto"/>
            </w:tcBorders>
            <w:shd w:val="clear" w:color="auto" w:fill="auto"/>
            <w:vAlign w:val="center"/>
            <w:hideMark/>
          </w:tcPr>
          <w:p w14:paraId="07D33EFD" w14:textId="77777777" w:rsidR="0048516D" w:rsidRPr="00E2177A" w:rsidRDefault="0048516D" w:rsidP="0048516D">
            <w:pPr>
              <w:jc w:val="both"/>
              <w:rPr>
                <w:rFonts w:ascii="Verdana" w:hAnsi="Verdana"/>
                <w:i/>
                <w:iCs/>
                <w:sz w:val="14"/>
                <w:szCs w:val="14"/>
                <w:lang w:val="es-CO"/>
              </w:rPr>
            </w:pPr>
            <w:r w:rsidRPr="00E2177A">
              <w:rPr>
                <w:rFonts w:ascii="Verdana" w:hAnsi="Verdana"/>
                <w:i/>
                <w:iCs/>
                <w:sz w:val="14"/>
                <w:szCs w:val="14"/>
                <w:lang w:val="es-ES_tradnl"/>
              </w:rPr>
              <w:t>Bosques El Aburrido Honduras Norte</w:t>
            </w:r>
          </w:p>
        </w:tc>
        <w:tc>
          <w:tcPr>
            <w:tcW w:w="500" w:type="pct"/>
            <w:tcBorders>
              <w:top w:val="nil"/>
              <w:left w:val="nil"/>
              <w:bottom w:val="single" w:sz="8" w:space="0" w:color="auto"/>
              <w:right w:val="single" w:sz="8" w:space="0" w:color="auto"/>
            </w:tcBorders>
            <w:shd w:val="clear" w:color="auto" w:fill="auto"/>
            <w:vAlign w:val="center"/>
            <w:hideMark/>
          </w:tcPr>
          <w:p w14:paraId="4E2418E6" w14:textId="77777777" w:rsidR="0048516D" w:rsidRPr="00E2177A" w:rsidRDefault="0048516D" w:rsidP="0048516D">
            <w:pPr>
              <w:jc w:val="both"/>
              <w:rPr>
                <w:rFonts w:ascii="Verdana" w:hAnsi="Verdana"/>
                <w:i/>
                <w:iCs/>
                <w:sz w:val="14"/>
                <w:szCs w:val="14"/>
                <w:lang w:val="es-CO"/>
              </w:rPr>
            </w:pPr>
            <w:r w:rsidRPr="00E2177A">
              <w:rPr>
                <w:rFonts w:ascii="Verdana" w:hAnsi="Verdana"/>
                <w:i/>
                <w:iCs/>
                <w:sz w:val="14"/>
                <w:szCs w:val="14"/>
                <w:lang w:val="es-ES_tradnl"/>
              </w:rPr>
              <w:t>670,49</w:t>
            </w:r>
          </w:p>
        </w:tc>
        <w:tc>
          <w:tcPr>
            <w:tcW w:w="500" w:type="pct"/>
            <w:tcBorders>
              <w:top w:val="nil"/>
              <w:left w:val="nil"/>
              <w:bottom w:val="single" w:sz="8" w:space="0" w:color="auto"/>
              <w:right w:val="single" w:sz="8" w:space="0" w:color="auto"/>
            </w:tcBorders>
            <w:shd w:val="clear" w:color="auto" w:fill="auto"/>
            <w:vAlign w:val="center"/>
            <w:hideMark/>
          </w:tcPr>
          <w:p w14:paraId="59DBFC3E" w14:textId="77777777" w:rsidR="0048516D" w:rsidRPr="00E2177A" w:rsidRDefault="0048516D" w:rsidP="0048516D">
            <w:pPr>
              <w:jc w:val="both"/>
              <w:rPr>
                <w:rFonts w:ascii="Verdana" w:hAnsi="Verdana"/>
                <w:i/>
                <w:iCs/>
                <w:sz w:val="14"/>
                <w:szCs w:val="14"/>
                <w:lang w:val="es-CO"/>
              </w:rPr>
            </w:pPr>
            <w:r w:rsidRPr="00E2177A">
              <w:rPr>
                <w:rFonts w:ascii="Verdana" w:hAnsi="Verdana"/>
                <w:i/>
                <w:iCs/>
                <w:sz w:val="14"/>
                <w:szCs w:val="14"/>
                <w:lang w:val="es-ES_tradnl"/>
              </w:rPr>
              <w:t>0</w:t>
            </w:r>
          </w:p>
        </w:tc>
        <w:tc>
          <w:tcPr>
            <w:tcW w:w="500" w:type="pct"/>
            <w:tcBorders>
              <w:top w:val="nil"/>
              <w:left w:val="nil"/>
              <w:bottom w:val="single" w:sz="8" w:space="0" w:color="auto"/>
              <w:right w:val="single" w:sz="8" w:space="0" w:color="auto"/>
            </w:tcBorders>
            <w:shd w:val="clear" w:color="auto" w:fill="auto"/>
            <w:vAlign w:val="center"/>
            <w:hideMark/>
          </w:tcPr>
          <w:p w14:paraId="6768C005" w14:textId="77777777" w:rsidR="0048516D" w:rsidRPr="00E2177A" w:rsidRDefault="0048516D" w:rsidP="0048516D">
            <w:pPr>
              <w:jc w:val="both"/>
              <w:rPr>
                <w:rFonts w:ascii="Verdana" w:hAnsi="Verdana"/>
                <w:i/>
                <w:iCs/>
                <w:sz w:val="14"/>
                <w:szCs w:val="14"/>
                <w:lang w:val="es-CO"/>
              </w:rPr>
            </w:pPr>
            <w:r w:rsidRPr="00E2177A">
              <w:rPr>
                <w:rFonts w:ascii="Verdana" w:hAnsi="Verdana"/>
                <w:i/>
                <w:iCs/>
                <w:sz w:val="14"/>
                <w:szCs w:val="14"/>
                <w:lang w:val="es-ES_tradnl"/>
              </w:rPr>
              <w:t>670,49</w:t>
            </w:r>
          </w:p>
        </w:tc>
        <w:tc>
          <w:tcPr>
            <w:tcW w:w="435" w:type="pct"/>
            <w:tcBorders>
              <w:top w:val="nil"/>
              <w:left w:val="nil"/>
              <w:bottom w:val="single" w:sz="8" w:space="0" w:color="auto"/>
              <w:right w:val="single" w:sz="8" w:space="0" w:color="auto"/>
            </w:tcBorders>
            <w:shd w:val="clear" w:color="auto" w:fill="auto"/>
            <w:vAlign w:val="center"/>
            <w:hideMark/>
          </w:tcPr>
          <w:p w14:paraId="389B766E" w14:textId="77777777" w:rsidR="0048516D" w:rsidRPr="00E2177A" w:rsidRDefault="0048516D" w:rsidP="0048516D">
            <w:pPr>
              <w:jc w:val="both"/>
              <w:rPr>
                <w:rFonts w:ascii="Verdana" w:hAnsi="Verdana"/>
                <w:i/>
                <w:iCs/>
                <w:sz w:val="14"/>
                <w:szCs w:val="14"/>
                <w:lang w:val="es-CO"/>
              </w:rPr>
            </w:pPr>
            <w:r w:rsidRPr="00E2177A">
              <w:rPr>
                <w:rFonts w:ascii="Verdana" w:hAnsi="Verdana"/>
                <w:i/>
                <w:iCs/>
                <w:sz w:val="14"/>
                <w:szCs w:val="14"/>
                <w:lang w:val="es-ES_tradnl"/>
              </w:rPr>
              <w:t>0</w:t>
            </w:r>
          </w:p>
        </w:tc>
        <w:tc>
          <w:tcPr>
            <w:tcW w:w="189" w:type="pct"/>
            <w:tcBorders>
              <w:top w:val="nil"/>
              <w:left w:val="nil"/>
              <w:bottom w:val="single" w:sz="8" w:space="0" w:color="auto"/>
              <w:right w:val="single" w:sz="8" w:space="0" w:color="auto"/>
            </w:tcBorders>
            <w:shd w:val="clear" w:color="auto" w:fill="auto"/>
            <w:vAlign w:val="center"/>
            <w:hideMark/>
          </w:tcPr>
          <w:p w14:paraId="3F1B220B" w14:textId="77777777" w:rsidR="0048516D" w:rsidRPr="00E2177A" w:rsidRDefault="0048516D" w:rsidP="0048516D">
            <w:pPr>
              <w:jc w:val="both"/>
              <w:rPr>
                <w:rFonts w:ascii="Verdana" w:hAnsi="Verdana"/>
                <w:i/>
                <w:iCs/>
                <w:sz w:val="14"/>
                <w:szCs w:val="14"/>
                <w:lang w:val="es-CO"/>
              </w:rPr>
            </w:pPr>
            <w:r w:rsidRPr="00E2177A">
              <w:rPr>
                <w:rFonts w:ascii="Verdana" w:hAnsi="Verdana"/>
                <w:i/>
                <w:iCs/>
                <w:sz w:val="14"/>
                <w:szCs w:val="14"/>
                <w:lang w:val="es-ES_tradnl"/>
              </w:rPr>
              <w:t> </w:t>
            </w:r>
          </w:p>
        </w:tc>
        <w:tc>
          <w:tcPr>
            <w:tcW w:w="230" w:type="pct"/>
            <w:tcBorders>
              <w:top w:val="nil"/>
              <w:left w:val="nil"/>
              <w:bottom w:val="single" w:sz="8" w:space="0" w:color="auto"/>
              <w:right w:val="single" w:sz="8" w:space="0" w:color="auto"/>
            </w:tcBorders>
            <w:shd w:val="clear" w:color="auto" w:fill="auto"/>
            <w:vAlign w:val="center"/>
            <w:hideMark/>
          </w:tcPr>
          <w:p w14:paraId="0EF5CFCC" w14:textId="77777777" w:rsidR="0048516D" w:rsidRPr="00E2177A" w:rsidRDefault="0048516D" w:rsidP="0048516D">
            <w:pPr>
              <w:jc w:val="both"/>
              <w:rPr>
                <w:rFonts w:ascii="Verdana" w:hAnsi="Verdana"/>
                <w:i/>
                <w:iCs/>
                <w:sz w:val="14"/>
                <w:szCs w:val="14"/>
                <w:lang w:val="es-CO"/>
              </w:rPr>
            </w:pPr>
            <w:r w:rsidRPr="00E2177A">
              <w:rPr>
                <w:rFonts w:ascii="Verdana" w:hAnsi="Verdana"/>
                <w:i/>
                <w:iCs/>
                <w:sz w:val="14"/>
                <w:szCs w:val="14"/>
                <w:lang w:val="es-ES_tradnl"/>
              </w:rPr>
              <w:t>x</w:t>
            </w:r>
          </w:p>
        </w:tc>
      </w:tr>
      <w:tr w:rsidR="0048516D" w:rsidRPr="0048516D" w14:paraId="65491F7A" w14:textId="77777777" w:rsidTr="00E2177A">
        <w:trPr>
          <w:trHeight w:val="540"/>
        </w:trPr>
        <w:tc>
          <w:tcPr>
            <w:tcW w:w="616" w:type="pct"/>
            <w:tcBorders>
              <w:top w:val="nil"/>
              <w:left w:val="single" w:sz="8" w:space="0" w:color="auto"/>
              <w:bottom w:val="single" w:sz="8" w:space="0" w:color="auto"/>
              <w:right w:val="single" w:sz="8" w:space="0" w:color="auto"/>
            </w:tcBorders>
            <w:shd w:val="clear" w:color="auto" w:fill="auto"/>
            <w:vAlign w:val="center"/>
            <w:hideMark/>
          </w:tcPr>
          <w:p w14:paraId="127E268D" w14:textId="77777777" w:rsidR="0048516D" w:rsidRPr="00E2177A" w:rsidRDefault="0048516D" w:rsidP="0048516D">
            <w:pPr>
              <w:jc w:val="both"/>
              <w:rPr>
                <w:rFonts w:ascii="Verdana" w:hAnsi="Verdana"/>
                <w:i/>
                <w:iCs/>
                <w:sz w:val="14"/>
                <w:szCs w:val="14"/>
                <w:lang w:val="es-CO"/>
              </w:rPr>
            </w:pPr>
            <w:r w:rsidRPr="00E2177A">
              <w:rPr>
                <w:rFonts w:ascii="Verdana" w:hAnsi="Verdana"/>
                <w:i/>
                <w:iCs/>
                <w:sz w:val="14"/>
                <w:szCs w:val="14"/>
                <w:lang w:val="es-ES_tradnl"/>
              </w:rPr>
              <w:t>Declaratoria</w:t>
            </w:r>
          </w:p>
        </w:tc>
        <w:tc>
          <w:tcPr>
            <w:tcW w:w="560" w:type="pct"/>
            <w:vMerge/>
            <w:tcBorders>
              <w:top w:val="nil"/>
              <w:left w:val="single" w:sz="8" w:space="0" w:color="auto"/>
              <w:bottom w:val="single" w:sz="8" w:space="0" w:color="000000"/>
              <w:right w:val="single" w:sz="8" w:space="0" w:color="auto"/>
            </w:tcBorders>
            <w:vAlign w:val="center"/>
            <w:hideMark/>
          </w:tcPr>
          <w:p w14:paraId="0C99B19D" w14:textId="77777777" w:rsidR="0048516D" w:rsidRPr="00E2177A" w:rsidRDefault="0048516D" w:rsidP="0048516D">
            <w:pPr>
              <w:jc w:val="both"/>
              <w:rPr>
                <w:rFonts w:ascii="Verdana" w:hAnsi="Verdana"/>
                <w:b/>
                <w:bCs/>
                <w:i/>
                <w:iCs/>
                <w:sz w:val="14"/>
                <w:szCs w:val="14"/>
                <w:lang w:val="es-CO"/>
              </w:rPr>
            </w:pPr>
          </w:p>
        </w:tc>
        <w:tc>
          <w:tcPr>
            <w:tcW w:w="399" w:type="pct"/>
            <w:tcBorders>
              <w:top w:val="nil"/>
              <w:left w:val="nil"/>
              <w:bottom w:val="single" w:sz="8" w:space="0" w:color="auto"/>
              <w:right w:val="single" w:sz="8" w:space="0" w:color="auto"/>
            </w:tcBorders>
            <w:shd w:val="clear" w:color="auto" w:fill="auto"/>
            <w:vAlign w:val="center"/>
            <w:hideMark/>
          </w:tcPr>
          <w:p w14:paraId="7F3F84F6" w14:textId="77777777" w:rsidR="0048516D" w:rsidRPr="00E2177A" w:rsidRDefault="0048516D" w:rsidP="0048516D">
            <w:pPr>
              <w:jc w:val="both"/>
              <w:rPr>
                <w:rFonts w:ascii="Verdana" w:hAnsi="Verdana"/>
                <w:i/>
                <w:iCs/>
                <w:sz w:val="14"/>
                <w:szCs w:val="14"/>
                <w:lang w:val="es-CO"/>
              </w:rPr>
            </w:pPr>
            <w:r w:rsidRPr="00E2177A">
              <w:rPr>
                <w:rFonts w:ascii="Verdana" w:hAnsi="Verdana"/>
                <w:i/>
                <w:iCs/>
                <w:sz w:val="14"/>
                <w:szCs w:val="14"/>
                <w:lang w:val="es-ES_tradnl"/>
              </w:rPr>
              <w:t>15</w:t>
            </w:r>
          </w:p>
        </w:tc>
        <w:tc>
          <w:tcPr>
            <w:tcW w:w="541" w:type="pct"/>
            <w:tcBorders>
              <w:top w:val="nil"/>
              <w:left w:val="nil"/>
              <w:bottom w:val="single" w:sz="8" w:space="0" w:color="auto"/>
              <w:right w:val="single" w:sz="8" w:space="0" w:color="auto"/>
            </w:tcBorders>
            <w:shd w:val="clear" w:color="auto" w:fill="auto"/>
            <w:vAlign w:val="center"/>
            <w:hideMark/>
          </w:tcPr>
          <w:p w14:paraId="42DCC2A9" w14:textId="77777777" w:rsidR="0048516D" w:rsidRPr="00E2177A" w:rsidRDefault="0048516D" w:rsidP="0048516D">
            <w:pPr>
              <w:jc w:val="both"/>
              <w:rPr>
                <w:rFonts w:ascii="Verdana" w:hAnsi="Verdana"/>
                <w:i/>
                <w:iCs/>
                <w:sz w:val="14"/>
                <w:szCs w:val="14"/>
                <w:lang w:val="es-CO"/>
              </w:rPr>
            </w:pPr>
            <w:r w:rsidRPr="00E2177A">
              <w:rPr>
                <w:rFonts w:ascii="Verdana" w:hAnsi="Verdana"/>
                <w:i/>
                <w:iCs/>
                <w:sz w:val="14"/>
                <w:szCs w:val="14"/>
                <w:lang w:val="es-ES_tradnl"/>
              </w:rPr>
              <w:t>Corantioquia</w:t>
            </w:r>
          </w:p>
        </w:tc>
        <w:tc>
          <w:tcPr>
            <w:tcW w:w="531" w:type="pct"/>
            <w:tcBorders>
              <w:top w:val="nil"/>
              <w:left w:val="nil"/>
              <w:bottom w:val="single" w:sz="8" w:space="0" w:color="auto"/>
              <w:right w:val="single" w:sz="8" w:space="0" w:color="auto"/>
            </w:tcBorders>
            <w:shd w:val="clear" w:color="auto" w:fill="auto"/>
            <w:vAlign w:val="center"/>
            <w:hideMark/>
          </w:tcPr>
          <w:p w14:paraId="2A249973" w14:textId="77777777" w:rsidR="0048516D" w:rsidRPr="00E2177A" w:rsidRDefault="0048516D" w:rsidP="0048516D">
            <w:pPr>
              <w:jc w:val="both"/>
              <w:rPr>
                <w:rFonts w:ascii="Verdana" w:hAnsi="Verdana"/>
                <w:i/>
                <w:iCs/>
                <w:sz w:val="14"/>
                <w:szCs w:val="14"/>
                <w:lang w:val="es-CO"/>
              </w:rPr>
            </w:pPr>
            <w:r w:rsidRPr="00E2177A">
              <w:rPr>
                <w:rFonts w:ascii="Verdana" w:hAnsi="Verdana"/>
                <w:i/>
                <w:iCs/>
                <w:sz w:val="14"/>
                <w:szCs w:val="14"/>
                <w:lang w:val="es-ES_tradnl"/>
              </w:rPr>
              <w:t>Bosque seco tropical</w:t>
            </w:r>
          </w:p>
        </w:tc>
        <w:tc>
          <w:tcPr>
            <w:tcW w:w="500" w:type="pct"/>
            <w:tcBorders>
              <w:top w:val="nil"/>
              <w:left w:val="nil"/>
              <w:bottom w:val="single" w:sz="8" w:space="0" w:color="auto"/>
              <w:right w:val="single" w:sz="8" w:space="0" w:color="auto"/>
            </w:tcBorders>
            <w:shd w:val="clear" w:color="auto" w:fill="auto"/>
            <w:vAlign w:val="center"/>
            <w:hideMark/>
          </w:tcPr>
          <w:p w14:paraId="591F9243" w14:textId="77777777" w:rsidR="0048516D" w:rsidRPr="00E2177A" w:rsidRDefault="0048516D" w:rsidP="0048516D">
            <w:pPr>
              <w:jc w:val="both"/>
              <w:rPr>
                <w:rFonts w:ascii="Verdana" w:hAnsi="Verdana"/>
                <w:i/>
                <w:iCs/>
                <w:sz w:val="14"/>
                <w:szCs w:val="14"/>
                <w:lang w:val="es-CO"/>
              </w:rPr>
            </w:pPr>
            <w:r w:rsidRPr="00E2177A">
              <w:rPr>
                <w:rFonts w:ascii="Verdana" w:hAnsi="Verdana"/>
                <w:i/>
                <w:iCs/>
                <w:sz w:val="14"/>
                <w:szCs w:val="14"/>
                <w:lang w:val="es-ES_tradnl"/>
              </w:rPr>
              <w:t>70.567,28</w:t>
            </w:r>
          </w:p>
        </w:tc>
        <w:tc>
          <w:tcPr>
            <w:tcW w:w="500" w:type="pct"/>
            <w:tcBorders>
              <w:top w:val="nil"/>
              <w:left w:val="nil"/>
              <w:bottom w:val="single" w:sz="8" w:space="0" w:color="auto"/>
              <w:right w:val="single" w:sz="8" w:space="0" w:color="auto"/>
            </w:tcBorders>
            <w:shd w:val="clear" w:color="auto" w:fill="auto"/>
            <w:vAlign w:val="center"/>
            <w:hideMark/>
          </w:tcPr>
          <w:p w14:paraId="2B3B0B1A" w14:textId="77777777" w:rsidR="0048516D" w:rsidRPr="00E2177A" w:rsidRDefault="0048516D" w:rsidP="0048516D">
            <w:pPr>
              <w:jc w:val="both"/>
              <w:rPr>
                <w:rFonts w:ascii="Verdana" w:hAnsi="Verdana"/>
                <w:i/>
                <w:iCs/>
                <w:sz w:val="14"/>
                <w:szCs w:val="14"/>
                <w:lang w:val="es-CO"/>
              </w:rPr>
            </w:pPr>
            <w:r w:rsidRPr="00E2177A">
              <w:rPr>
                <w:rFonts w:ascii="Verdana" w:hAnsi="Verdana"/>
                <w:i/>
                <w:iCs/>
                <w:sz w:val="14"/>
                <w:szCs w:val="14"/>
                <w:lang w:val="es-ES_tradnl"/>
              </w:rPr>
              <w:t>0</w:t>
            </w:r>
          </w:p>
        </w:tc>
        <w:tc>
          <w:tcPr>
            <w:tcW w:w="500" w:type="pct"/>
            <w:tcBorders>
              <w:top w:val="nil"/>
              <w:left w:val="nil"/>
              <w:bottom w:val="single" w:sz="8" w:space="0" w:color="auto"/>
              <w:right w:val="single" w:sz="8" w:space="0" w:color="auto"/>
            </w:tcBorders>
            <w:shd w:val="clear" w:color="auto" w:fill="auto"/>
            <w:vAlign w:val="center"/>
            <w:hideMark/>
          </w:tcPr>
          <w:p w14:paraId="1325BA77" w14:textId="77777777" w:rsidR="0048516D" w:rsidRPr="00E2177A" w:rsidRDefault="0048516D" w:rsidP="0048516D">
            <w:pPr>
              <w:jc w:val="both"/>
              <w:rPr>
                <w:rFonts w:ascii="Verdana" w:hAnsi="Verdana"/>
                <w:i/>
                <w:iCs/>
                <w:sz w:val="14"/>
                <w:szCs w:val="14"/>
                <w:lang w:val="es-CO"/>
              </w:rPr>
            </w:pPr>
            <w:r w:rsidRPr="00E2177A">
              <w:rPr>
                <w:rFonts w:ascii="Verdana" w:hAnsi="Verdana"/>
                <w:i/>
                <w:iCs/>
                <w:sz w:val="14"/>
                <w:szCs w:val="14"/>
                <w:lang w:val="es-ES_tradnl"/>
              </w:rPr>
              <w:t>70.567,28</w:t>
            </w:r>
          </w:p>
        </w:tc>
        <w:tc>
          <w:tcPr>
            <w:tcW w:w="435" w:type="pct"/>
            <w:tcBorders>
              <w:top w:val="nil"/>
              <w:left w:val="nil"/>
              <w:bottom w:val="single" w:sz="8" w:space="0" w:color="auto"/>
              <w:right w:val="single" w:sz="8" w:space="0" w:color="auto"/>
            </w:tcBorders>
            <w:shd w:val="clear" w:color="auto" w:fill="auto"/>
            <w:vAlign w:val="center"/>
            <w:hideMark/>
          </w:tcPr>
          <w:p w14:paraId="296F2ECA" w14:textId="77777777" w:rsidR="0048516D" w:rsidRPr="00E2177A" w:rsidRDefault="0048516D" w:rsidP="0048516D">
            <w:pPr>
              <w:jc w:val="both"/>
              <w:rPr>
                <w:rFonts w:ascii="Verdana" w:hAnsi="Verdana"/>
                <w:i/>
                <w:iCs/>
                <w:sz w:val="14"/>
                <w:szCs w:val="14"/>
                <w:lang w:val="es-CO"/>
              </w:rPr>
            </w:pPr>
            <w:r w:rsidRPr="00E2177A">
              <w:rPr>
                <w:rFonts w:ascii="Verdana" w:hAnsi="Verdana"/>
                <w:i/>
                <w:iCs/>
                <w:sz w:val="14"/>
                <w:szCs w:val="14"/>
                <w:lang w:val="es-ES_tradnl"/>
              </w:rPr>
              <w:t>0</w:t>
            </w:r>
          </w:p>
        </w:tc>
        <w:tc>
          <w:tcPr>
            <w:tcW w:w="189" w:type="pct"/>
            <w:tcBorders>
              <w:top w:val="nil"/>
              <w:left w:val="nil"/>
              <w:bottom w:val="single" w:sz="8" w:space="0" w:color="auto"/>
              <w:right w:val="single" w:sz="8" w:space="0" w:color="auto"/>
            </w:tcBorders>
            <w:shd w:val="clear" w:color="auto" w:fill="auto"/>
            <w:vAlign w:val="center"/>
            <w:hideMark/>
          </w:tcPr>
          <w:p w14:paraId="2962C0C5" w14:textId="77777777" w:rsidR="0048516D" w:rsidRPr="00E2177A" w:rsidRDefault="0048516D" w:rsidP="0048516D">
            <w:pPr>
              <w:jc w:val="both"/>
              <w:rPr>
                <w:rFonts w:ascii="Verdana" w:hAnsi="Verdana"/>
                <w:i/>
                <w:iCs/>
                <w:sz w:val="14"/>
                <w:szCs w:val="14"/>
                <w:lang w:val="es-CO"/>
              </w:rPr>
            </w:pPr>
            <w:r w:rsidRPr="00E2177A">
              <w:rPr>
                <w:rFonts w:ascii="Verdana" w:hAnsi="Verdana"/>
                <w:i/>
                <w:iCs/>
                <w:sz w:val="14"/>
                <w:szCs w:val="14"/>
                <w:lang w:val="es-ES_tradnl"/>
              </w:rPr>
              <w:t>x</w:t>
            </w:r>
          </w:p>
        </w:tc>
        <w:tc>
          <w:tcPr>
            <w:tcW w:w="230" w:type="pct"/>
            <w:tcBorders>
              <w:top w:val="nil"/>
              <w:left w:val="nil"/>
              <w:bottom w:val="single" w:sz="8" w:space="0" w:color="auto"/>
              <w:right w:val="single" w:sz="8" w:space="0" w:color="auto"/>
            </w:tcBorders>
            <w:shd w:val="clear" w:color="auto" w:fill="auto"/>
            <w:vAlign w:val="center"/>
            <w:hideMark/>
          </w:tcPr>
          <w:p w14:paraId="4C8A00AF" w14:textId="77777777" w:rsidR="0048516D" w:rsidRPr="00E2177A" w:rsidRDefault="0048516D" w:rsidP="0048516D">
            <w:pPr>
              <w:jc w:val="both"/>
              <w:rPr>
                <w:rFonts w:ascii="Verdana" w:hAnsi="Verdana"/>
                <w:i/>
                <w:iCs/>
                <w:sz w:val="14"/>
                <w:szCs w:val="14"/>
                <w:lang w:val="es-CO"/>
              </w:rPr>
            </w:pPr>
            <w:r w:rsidRPr="00E2177A">
              <w:rPr>
                <w:rFonts w:ascii="Verdana" w:hAnsi="Verdana"/>
                <w:i/>
                <w:iCs/>
                <w:sz w:val="14"/>
                <w:szCs w:val="14"/>
                <w:lang w:val="es-ES_tradnl"/>
              </w:rPr>
              <w:t> </w:t>
            </w:r>
          </w:p>
        </w:tc>
      </w:tr>
      <w:tr w:rsidR="00E2177A" w:rsidRPr="00B966C6" w14:paraId="091C056B" w14:textId="77777777" w:rsidTr="00E2177A">
        <w:trPr>
          <w:trHeight w:val="540"/>
        </w:trPr>
        <w:tc>
          <w:tcPr>
            <w:tcW w:w="616" w:type="pct"/>
            <w:tcBorders>
              <w:top w:val="nil"/>
              <w:left w:val="single" w:sz="8" w:space="0" w:color="auto"/>
              <w:bottom w:val="single" w:sz="8" w:space="0" w:color="auto"/>
              <w:right w:val="nil"/>
            </w:tcBorders>
            <w:shd w:val="clear" w:color="000000" w:fill="BFBFBF"/>
            <w:vAlign w:val="center"/>
            <w:hideMark/>
          </w:tcPr>
          <w:p w14:paraId="4149665C" w14:textId="77777777" w:rsidR="0048516D" w:rsidRPr="00E2177A" w:rsidRDefault="0048516D" w:rsidP="0048516D">
            <w:pPr>
              <w:jc w:val="both"/>
              <w:rPr>
                <w:rFonts w:ascii="Verdana" w:hAnsi="Verdana"/>
                <w:b/>
                <w:bCs/>
                <w:i/>
                <w:iCs/>
                <w:sz w:val="14"/>
                <w:szCs w:val="14"/>
                <w:lang w:val="es-CO"/>
              </w:rPr>
            </w:pPr>
            <w:r w:rsidRPr="00E2177A">
              <w:rPr>
                <w:rFonts w:ascii="Verdana" w:hAnsi="Verdana"/>
                <w:b/>
                <w:bCs/>
                <w:i/>
                <w:iCs/>
                <w:sz w:val="14"/>
                <w:szCs w:val="14"/>
                <w:lang w:val="es-ES_tradnl"/>
              </w:rPr>
              <w:t>Subtotal declaradas</w:t>
            </w:r>
          </w:p>
        </w:tc>
        <w:tc>
          <w:tcPr>
            <w:tcW w:w="560" w:type="pct"/>
            <w:tcBorders>
              <w:top w:val="nil"/>
              <w:left w:val="nil"/>
              <w:bottom w:val="single" w:sz="8" w:space="0" w:color="auto"/>
              <w:right w:val="nil"/>
            </w:tcBorders>
            <w:shd w:val="clear" w:color="000000" w:fill="BFBFBF"/>
            <w:vAlign w:val="center"/>
            <w:hideMark/>
          </w:tcPr>
          <w:p w14:paraId="37E8A57F" w14:textId="77777777" w:rsidR="0048516D" w:rsidRPr="00E2177A" w:rsidRDefault="0048516D" w:rsidP="0048516D">
            <w:pPr>
              <w:jc w:val="both"/>
              <w:rPr>
                <w:rFonts w:ascii="Verdana" w:hAnsi="Verdana"/>
                <w:b/>
                <w:bCs/>
                <w:i/>
                <w:iCs/>
                <w:sz w:val="14"/>
                <w:szCs w:val="14"/>
                <w:lang w:val="es-CO"/>
              </w:rPr>
            </w:pPr>
            <w:r w:rsidRPr="00E2177A">
              <w:rPr>
                <w:rFonts w:ascii="Verdana" w:hAnsi="Verdana"/>
                <w:b/>
                <w:bCs/>
                <w:i/>
                <w:iCs/>
                <w:sz w:val="14"/>
                <w:szCs w:val="14"/>
                <w:lang w:val="es-CO"/>
              </w:rPr>
              <w:t> </w:t>
            </w:r>
          </w:p>
        </w:tc>
        <w:tc>
          <w:tcPr>
            <w:tcW w:w="399" w:type="pct"/>
            <w:tcBorders>
              <w:top w:val="nil"/>
              <w:left w:val="nil"/>
              <w:bottom w:val="single" w:sz="8" w:space="0" w:color="auto"/>
              <w:right w:val="nil"/>
            </w:tcBorders>
            <w:shd w:val="clear" w:color="000000" w:fill="BFBFBF"/>
            <w:vAlign w:val="center"/>
            <w:hideMark/>
          </w:tcPr>
          <w:p w14:paraId="7321DD50" w14:textId="77777777" w:rsidR="0048516D" w:rsidRPr="00E2177A" w:rsidRDefault="0048516D" w:rsidP="0048516D">
            <w:pPr>
              <w:jc w:val="both"/>
              <w:rPr>
                <w:rFonts w:ascii="Verdana" w:hAnsi="Verdana"/>
                <w:b/>
                <w:bCs/>
                <w:i/>
                <w:iCs/>
                <w:sz w:val="14"/>
                <w:szCs w:val="14"/>
                <w:lang w:val="es-CO"/>
              </w:rPr>
            </w:pPr>
            <w:r w:rsidRPr="00E2177A">
              <w:rPr>
                <w:rFonts w:ascii="Verdana" w:hAnsi="Verdana"/>
                <w:b/>
                <w:bCs/>
                <w:i/>
                <w:iCs/>
                <w:sz w:val="14"/>
                <w:szCs w:val="14"/>
                <w:lang w:val="es-CO"/>
              </w:rPr>
              <w:t> </w:t>
            </w:r>
          </w:p>
        </w:tc>
        <w:tc>
          <w:tcPr>
            <w:tcW w:w="541" w:type="pct"/>
            <w:tcBorders>
              <w:top w:val="nil"/>
              <w:left w:val="nil"/>
              <w:bottom w:val="single" w:sz="8" w:space="0" w:color="auto"/>
              <w:right w:val="nil"/>
            </w:tcBorders>
            <w:shd w:val="clear" w:color="000000" w:fill="BFBFBF"/>
            <w:vAlign w:val="center"/>
            <w:hideMark/>
          </w:tcPr>
          <w:p w14:paraId="753440A4" w14:textId="77777777" w:rsidR="0048516D" w:rsidRPr="00E2177A" w:rsidRDefault="0048516D" w:rsidP="0048516D">
            <w:pPr>
              <w:jc w:val="both"/>
              <w:rPr>
                <w:rFonts w:ascii="Verdana" w:hAnsi="Verdana"/>
                <w:b/>
                <w:bCs/>
                <w:i/>
                <w:iCs/>
                <w:sz w:val="14"/>
                <w:szCs w:val="14"/>
                <w:lang w:val="es-CO"/>
              </w:rPr>
            </w:pPr>
            <w:r w:rsidRPr="00E2177A">
              <w:rPr>
                <w:rFonts w:ascii="Verdana" w:hAnsi="Verdana"/>
                <w:b/>
                <w:bCs/>
                <w:i/>
                <w:iCs/>
                <w:sz w:val="14"/>
                <w:szCs w:val="14"/>
                <w:lang w:val="es-CO"/>
              </w:rPr>
              <w:t> </w:t>
            </w:r>
          </w:p>
        </w:tc>
        <w:tc>
          <w:tcPr>
            <w:tcW w:w="531" w:type="pct"/>
            <w:tcBorders>
              <w:top w:val="nil"/>
              <w:left w:val="nil"/>
              <w:bottom w:val="single" w:sz="8" w:space="0" w:color="auto"/>
              <w:right w:val="single" w:sz="8" w:space="0" w:color="auto"/>
            </w:tcBorders>
            <w:shd w:val="clear" w:color="000000" w:fill="BFBFBF"/>
            <w:vAlign w:val="center"/>
            <w:hideMark/>
          </w:tcPr>
          <w:p w14:paraId="70A0DA12" w14:textId="77777777" w:rsidR="0048516D" w:rsidRPr="00E2177A" w:rsidRDefault="0048516D" w:rsidP="0048516D">
            <w:pPr>
              <w:jc w:val="both"/>
              <w:rPr>
                <w:rFonts w:ascii="Verdana" w:hAnsi="Verdana"/>
                <w:b/>
                <w:bCs/>
                <w:i/>
                <w:iCs/>
                <w:sz w:val="14"/>
                <w:szCs w:val="14"/>
                <w:lang w:val="es-CO"/>
              </w:rPr>
            </w:pPr>
            <w:r w:rsidRPr="00E2177A">
              <w:rPr>
                <w:rFonts w:ascii="Verdana" w:hAnsi="Verdana"/>
                <w:b/>
                <w:bCs/>
                <w:i/>
                <w:iCs/>
                <w:sz w:val="14"/>
                <w:szCs w:val="14"/>
                <w:lang w:val="es-CO"/>
              </w:rPr>
              <w:t> </w:t>
            </w:r>
          </w:p>
        </w:tc>
        <w:tc>
          <w:tcPr>
            <w:tcW w:w="500" w:type="pct"/>
            <w:tcBorders>
              <w:top w:val="nil"/>
              <w:left w:val="nil"/>
              <w:bottom w:val="single" w:sz="8" w:space="0" w:color="auto"/>
              <w:right w:val="single" w:sz="8" w:space="0" w:color="auto"/>
            </w:tcBorders>
            <w:shd w:val="clear" w:color="000000" w:fill="BFBFBF"/>
            <w:vAlign w:val="center"/>
            <w:hideMark/>
          </w:tcPr>
          <w:p w14:paraId="65DAE68A" w14:textId="77777777" w:rsidR="0048516D" w:rsidRPr="00E2177A" w:rsidRDefault="0048516D" w:rsidP="0048516D">
            <w:pPr>
              <w:jc w:val="both"/>
              <w:rPr>
                <w:rFonts w:ascii="Verdana" w:hAnsi="Verdana"/>
                <w:b/>
                <w:bCs/>
                <w:i/>
                <w:iCs/>
                <w:sz w:val="14"/>
                <w:szCs w:val="14"/>
                <w:lang w:val="es-CO"/>
              </w:rPr>
            </w:pPr>
            <w:r w:rsidRPr="00E2177A">
              <w:rPr>
                <w:rFonts w:ascii="Verdana" w:hAnsi="Verdana"/>
                <w:b/>
                <w:bCs/>
                <w:i/>
                <w:iCs/>
                <w:sz w:val="14"/>
                <w:szCs w:val="14"/>
                <w:lang w:val="es-ES_tradnl"/>
              </w:rPr>
              <w:t>76.261,21</w:t>
            </w:r>
          </w:p>
        </w:tc>
        <w:tc>
          <w:tcPr>
            <w:tcW w:w="500" w:type="pct"/>
            <w:tcBorders>
              <w:top w:val="nil"/>
              <w:left w:val="nil"/>
              <w:bottom w:val="single" w:sz="8" w:space="0" w:color="auto"/>
              <w:right w:val="single" w:sz="8" w:space="0" w:color="auto"/>
            </w:tcBorders>
            <w:shd w:val="clear" w:color="000000" w:fill="BFBFBF"/>
            <w:vAlign w:val="center"/>
            <w:hideMark/>
          </w:tcPr>
          <w:p w14:paraId="19CB1BAB" w14:textId="77777777" w:rsidR="0048516D" w:rsidRPr="00E2177A" w:rsidRDefault="0048516D" w:rsidP="0048516D">
            <w:pPr>
              <w:jc w:val="both"/>
              <w:rPr>
                <w:rFonts w:ascii="Verdana" w:hAnsi="Verdana"/>
                <w:b/>
                <w:bCs/>
                <w:i/>
                <w:iCs/>
                <w:sz w:val="14"/>
                <w:szCs w:val="14"/>
                <w:lang w:val="es-CO"/>
              </w:rPr>
            </w:pPr>
            <w:r w:rsidRPr="00E2177A">
              <w:rPr>
                <w:rFonts w:ascii="Verdana" w:hAnsi="Verdana"/>
                <w:b/>
                <w:bCs/>
                <w:i/>
                <w:iCs/>
                <w:sz w:val="14"/>
                <w:szCs w:val="14"/>
                <w:lang w:val="es-ES_tradnl"/>
              </w:rPr>
              <w:t>0</w:t>
            </w:r>
          </w:p>
        </w:tc>
        <w:tc>
          <w:tcPr>
            <w:tcW w:w="500" w:type="pct"/>
            <w:tcBorders>
              <w:top w:val="nil"/>
              <w:left w:val="nil"/>
              <w:bottom w:val="single" w:sz="8" w:space="0" w:color="auto"/>
              <w:right w:val="single" w:sz="8" w:space="0" w:color="auto"/>
            </w:tcBorders>
            <w:shd w:val="clear" w:color="000000" w:fill="BFBFBF"/>
            <w:vAlign w:val="center"/>
            <w:hideMark/>
          </w:tcPr>
          <w:p w14:paraId="1FF1394D" w14:textId="77777777" w:rsidR="0048516D" w:rsidRPr="00E2177A" w:rsidRDefault="0048516D" w:rsidP="0048516D">
            <w:pPr>
              <w:jc w:val="both"/>
              <w:rPr>
                <w:rFonts w:ascii="Verdana" w:hAnsi="Verdana"/>
                <w:b/>
                <w:bCs/>
                <w:i/>
                <w:iCs/>
                <w:sz w:val="14"/>
                <w:szCs w:val="14"/>
                <w:lang w:val="es-CO"/>
              </w:rPr>
            </w:pPr>
            <w:r w:rsidRPr="00E2177A">
              <w:rPr>
                <w:rFonts w:ascii="Verdana" w:hAnsi="Verdana"/>
                <w:b/>
                <w:bCs/>
                <w:i/>
                <w:iCs/>
                <w:sz w:val="14"/>
                <w:szCs w:val="14"/>
                <w:lang w:val="es-ES_tradnl"/>
              </w:rPr>
              <w:t>76.261,21</w:t>
            </w:r>
          </w:p>
        </w:tc>
        <w:tc>
          <w:tcPr>
            <w:tcW w:w="435" w:type="pct"/>
            <w:tcBorders>
              <w:top w:val="nil"/>
              <w:left w:val="nil"/>
              <w:bottom w:val="single" w:sz="8" w:space="0" w:color="auto"/>
              <w:right w:val="single" w:sz="8" w:space="0" w:color="auto"/>
            </w:tcBorders>
            <w:shd w:val="clear" w:color="000000" w:fill="BFBFBF"/>
            <w:vAlign w:val="center"/>
            <w:hideMark/>
          </w:tcPr>
          <w:p w14:paraId="04301212" w14:textId="77777777" w:rsidR="0048516D" w:rsidRPr="00E2177A" w:rsidRDefault="0048516D" w:rsidP="0048516D">
            <w:pPr>
              <w:jc w:val="both"/>
              <w:rPr>
                <w:rFonts w:ascii="Verdana" w:hAnsi="Verdana"/>
                <w:b/>
                <w:bCs/>
                <w:i/>
                <w:iCs/>
                <w:sz w:val="14"/>
                <w:szCs w:val="14"/>
                <w:lang w:val="es-CO"/>
              </w:rPr>
            </w:pPr>
            <w:r w:rsidRPr="00E2177A">
              <w:rPr>
                <w:rFonts w:ascii="Verdana" w:hAnsi="Verdana"/>
                <w:b/>
                <w:bCs/>
                <w:i/>
                <w:iCs/>
                <w:sz w:val="14"/>
                <w:szCs w:val="14"/>
                <w:lang w:val="es-ES_tradnl"/>
              </w:rPr>
              <w:t>0</w:t>
            </w:r>
          </w:p>
        </w:tc>
        <w:tc>
          <w:tcPr>
            <w:tcW w:w="189" w:type="pct"/>
            <w:tcBorders>
              <w:top w:val="nil"/>
              <w:left w:val="nil"/>
              <w:bottom w:val="single" w:sz="8" w:space="0" w:color="auto"/>
              <w:right w:val="single" w:sz="8" w:space="0" w:color="auto"/>
            </w:tcBorders>
            <w:shd w:val="clear" w:color="000000" w:fill="BFBFBF"/>
            <w:vAlign w:val="center"/>
            <w:hideMark/>
          </w:tcPr>
          <w:p w14:paraId="433200E0" w14:textId="77777777" w:rsidR="0048516D" w:rsidRPr="00E2177A" w:rsidRDefault="0048516D" w:rsidP="0048516D">
            <w:pPr>
              <w:jc w:val="both"/>
              <w:rPr>
                <w:rFonts w:ascii="Verdana" w:hAnsi="Verdana"/>
                <w:i/>
                <w:iCs/>
                <w:sz w:val="14"/>
                <w:szCs w:val="14"/>
                <w:lang w:val="es-CO"/>
              </w:rPr>
            </w:pPr>
            <w:r w:rsidRPr="00E2177A">
              <w:rPr>
                <w:rFonts w:ascii="Verdana" w:hAnsi="Verdana"/>
                <w:i/>
                <w:iCs/>
                <w:sz w:val="14"/>
                <w:szCs w:val="14"/>
                <w:lang w:val="es-ES_tradnl"/>
              </w:rPr>
              <w:t> </w:t>
            </w:r>
          </w:p>
        </w:tc>
        <w:tc>
          <w:tcPr>
            <w:tcW w:w="230" w:type="pct"/>
            <w:tcBorders>
              <w:top w:val="nil"/>
              <w:left w:val="nil"/>
              <w:bottom w:val="single" w:sz="8" w:space="0" w:color="auto"/>
              <w:right w:val="single" w:sz="8" w:space="0" w:color="auto"/>
            </w:tcBorders>
            <w:shd w:val="clear" w:color="000000" w:fill="BFBFBF"/>
            <w:vAlign w:val="center"/>
            <w:hideMark/>
          </w:tcPr>
          <w:p w14:paraId="70585E06" w14:textId="77777777" w:rsidR="0048516D" w:rsidRPr="00E2177A" w:rsidRDefault="0048516D" w:rsidP="0048516D">
            <w:pPr>
              <w:jc w:val="both"/>
              <w:rPr>
                <w:rFonts w:ascii="Verdana" w:hAnsi="Verdana"/>
                <w:i/>
                <w:iCs/>
                <w:sz w:val="14"/>
                <w:szCs w:val="14"/>
                <w:lang w:val="es-CO"/>
              </w:rPr>
            </w:pPr>
            <w:r w:rsidRPr="00E2177A">
              <w:rPr>
                <w:rFonts w:ascii="Verdana" w:hAnsi="Verdana"/>
                <w:i/>
                <w:iCs/>
                <w:sz w:val="14"/>
                <w:szCs w:val="14"/>
                <w:lang w:val="es-ES_tradnl"/>
              </w:rPr>
              <w:t> </w:t>
            </w:r>
          </w:p>
        </w:tc>
      </w:tr>
      <w:tr w:rsidR="0048516D" w:rsidRPr="0048516D" w14:paraId="4B0C4D87" w14:textId="77777777" w:rsidTr="00E2177A">
        <w:trPr>
          <w:trHeight w:val="804"/>
        </w:trPr>
        <w:tc>
          <w:tcPr>
            <w:tcW w:w="616" w:type="pct"/>
            <w:tcBorders>
              <w:top w:val="nil"/>
              <w:left w:val="single" w:sz="8" w:space="0" w:color="auto"/>
              <w:bottom w:val="single" w:sz="8" w:space="0" w:color="auto"/>
              <w:right w:val="single" w:sz="8" w:space="0" w:color="auto"/>
            </w:tcBorders>
            <w:shd w:val="clear" w:color="auto" w:fill="auto"/>
            <w:vAlign w:val="center"/>
            <w:hideMark/>
          </w:tcPr>
          <w:p w14:paraId="13088974" w14:textId="77777777" w:rsidR="0048516D" w:rsidRPr="00E2177A" w:rsidRDefault="0048516D" w:rsidP="0048516D">
            <w:pPr>
              <w:jc w:val="both"/>
              <w:rPr>
                <w:rFonts w:ascii="Verdana" w:hAnsi="Verdana"/>
                <w:i/>
                <w:iCs/>
                <w:sz w:val="14"/>
                <w:szCs w:val="14"/>
                <w:lang w:val="es-CO"/>
              </w:rPr>
            </w:pPr>
            <w:r w:rsidRPr="00E2177A">
              <w:rPr>
                <w:rFonts w:ascii="Verdana" w:hAnsi="Verdana"/>
                <w:i/>
                <w:iCs/>
                <w:sz w:val="14"/>
                <w:szCs w:val="14"/>
                <w:lang w:val="es-ES_tradnl"/>
              </w:rPr>
              <w:t>Sin Información</w:t>
            </w:r>
          </w:p>
        </w:tc>
        <w:tc>
          <w:tcPr>
            <w:tcW w:w="560" w:type="pct"/>
            <w:vMerge w:val="restart"/>
            <w:tcBorders>
              <w:top w:val="nil"/>
              <w:left w:val="single" w:sz="8" w:space="0" w:color="auto"/>
              <w:bottom w:val="single" w:sz="8" w:space="0" w:color="000000"/>
              <w:right w:val="single" w:sz="8" w:space="0" w:color="auto"/>
            </w:tcBorders>
            <w:shd w:val="clear" w:color="auto" w:fill="auto"/>
            <w:vAlign w:val="center"/>
            <w:hideMark/>
          </w:tcPr>
          <w:p w14:paraId="498DE7BB" w14:textId="77777777" w:rsidR="0048516D" w:rsidRPr="00E2177A" w:rsidRDefault="0048516D" w:rsidP="0048516D">
            <w:pPr>
              <w:jc w:val="both"/>
              <w:rPr>
                <w:rFonts w:ascii="Verdana" w:hAnsi="Verdana"/>
                <w:b/>
                <w:bCs/>
                <w:i/>
                <w:iCs/>
                <w:sz w:val="14"/>
                <w:szCs w:val="14"/>
                <w:lang w:val="es-CO"/>
              </w:rPr>
            </w:pPr>
            <w:r w:rsidRPr="00E2177A">
              <w:rPr>
                <w:rFonts w:ascii="Verdana" w:hAnsi="Verdana"/>
                <w:b/>
                <w:bCs/>
                <w:i/>
                <w:iCs/>
                <w:sz w:val="14"/>
                <w:szCs w:val="14"/>
                <w:lang w:val="es-ES_tradnl"/>
              </w:rPr>
              <w:t>Liberada</w:t>
            </w:r>
          </w:p>
        </w:tc>
        <w:tc>
          <w:tcPr>
            <w:tcW w:w="399" w:type="pct"/>
            <w:tcBorders>
              <w:top w:val="nil"/>
              <w:left w:val="nil"/>
              <w:bottom w:val="single" w:sz="8" w:space="0" w:color="auto"/>
              <w:right w:val="single" w:sz="8" w:space="0" w:color="auto"/>
            </w:tcBorders>
            <w:shd w:val="clear" w:color="auto" w:fill="auto"/>
            <w:vAlign w:val="center"/>
            <w:hideMark/>
          </w:tcPr>
          <w:p w14:paraId="63FFBA70" w14:textId="77777777" w:rsidR="0048516D" w:rsidRPr="00E2177A" w:rsidRDefault="0048516D" w:rsidP="0048516D">
            <w:pPr>
              <w:jc w:val="both"/>
              <w:rPr>
                <w:rFonts w:ascii="Verdana" w:hAnsi="Verdana"/>
                <w:i/>
                <w:iCs/>
                <w:sz w:val="14"/>
                <w:szCs w:val="14"/>
                <w:lang w:val="es-CO"/>
              </w:rPr>
            </w:pPr>
            <w:r w:rsidRPr="00E2177A">
              <w:rPr>
                <w:rFonts w:ascii="Verdana" w:hAnsi="Verdana"/>
                <w:i/>
                <w:iCs/>
                <w:sz w:val="14"/>
                <w:szCs w:val="14"/>
                <w:lang w:val="es-ES_tradnl"/>
              </w:rPr>
              <w:t>24</w:t>
            </w:r>
          </w:p>
        </w:tc>
        <w:tc>
          <w:tcPr>
            <w:tcW w:w="541" w:type="pct"/>
            <w:tcBorders>
              <w:top w:val="nil"/>
              <w:left w:val="nil"/>
              <w:bottom w:val="single" w:sz="8" w:space="0" w:color="auto"/>
              <w:right w:val="single" w:sz="8" w:space="0" w:color="auto"/>
            </w:tcBorders>
            <w:shd w:val="clear" w:color="auto" w:fill="auto"/>
            <w:vAlign w:val="center"/>
            <w:hideMark/>
          </w:tcPr>
          <w:p w14:paraId="64A03BCB" w14:textId="77777777" w:rsidR="0048516D" w:rsidRPr="00E2177A" w:rsidRDefault="0048516D" w:rsidP="0048516D">
            <w:pPr>
              <w:jc w:val="both"/>
              <w:rPr>
                <w:rFonts w:ascii="Verdana" w:hAnsi="Verdana"/>
                <w:i/>
                <w:iCs/>
                <w:sz w:val="14"/>
                <w:szCs w:val="14"/>
                <w:lang w:val="es-CO"/>
              </w:rPr>
            </w:pPr>
            <w:r w:rsidRPr="00E2177A">
              <w:rPr>
                <w:rFonts w:ascii="Verdana" w:hAnsi="Verdana"/>
                <w:i/>
                <w:iCs/>
                <w:sz w:val="14"/>
                <w:szCs w:val="14"/>
                <w:lang w:val="es-ES_tradnl"/>
              </w:rPr>
              <w:t>Corponor</w:t>
            </w:r>
          </w:p>
        </w:tc>
        <w:tc>
          <w:tcPr>
            <w:tcW w:w="531" w:type="pct"/>
            <w:tcBorders>
              <w:top w:val="nil"/>
              <w:left w:val="nil"/>
              <w:bottom w:val="single" w:sz="8" w:space="0" w:color="auto"/>
              <w:right w:val="single" w:sz="8" w:space="0" w:color="auto"/>
            </w:tcBorders>
            <w:shd w:val="clear" w:color="auto" w:fill="auto"/>
            <w:vAlign w:val="center"/>
            <w:hideMark/>
          </w:tcPr>
          <w:p w14:paraId="7222C42B" w14:textId="77777777" w:rsidR="0048516D" w:rsidRPr="00E2177A" w:rsidRDefault="0048516D" w:rsidP="0048516D">
            <w:pPr>
              <w:jc w:val="both"/>
              <w:rPr>
                <w:rFonts w:ascii="Verdana" w:hAnsi="Verdana"/>
                <w:i/>
                <w:iCs/>
                <w:sz w:val="14"/>
                <w:szCs w:val="14"/>
                <w:lang w:val="es-CO"/>
              </w:rPr>
            </w:pPr>
            <w:r w:rsidRPr="00E2177A">
              <w:rPr>
                <w:rFonts w:ascii="Verdana" w:hAnsi="Verdana"/>
                <w:i/>
                <w:iCs/>
                <w:sz w:val="14"/>
                <w:szCs w:val="14"/>
                <w:lang w:val="es-ES_tradnl"/>
              </w:rPr>
              <w:t>Reserva Forestal Protectora Jurisdicciones</w:t>
            </w:r>
          </w:p>
        </w:tc>
        <w:tc>
          <w:tcPr>
            <w:tcW w:w="500" w:type="pct"/>
            <w:tcBorders>
              <w:top w:val="nil"/>
              <w:left w:val="nil"/>
              <w:bottom w:val="single" w:sz="8" w:space="0" w:color="auto"/>
              <w:right w:val="single" w:sz="8" w:space="0" w:color="auto"/>
            </w:tcBorders>
            <w:shd w:val="clear" w:color="auto" w:fill="auto"/>
            <w:vAlign w:val="center"/>
            <w:hideMark/>
          </w:tcPr>
          <w:p w14:paraId="3ACC9544" w14:textId="77777777" w:rsidR="0048516D" w:rsidRPr="00E2177A" w:rsidRDefault="0048516D" w:rsidP="0048516D">
            <w:pPr>
              <w:jc w:val="both"/>
              <w:rPr>
                <w:rFonts w:ascii="Verdana" w:hAnsi="Verdana"/>
                <w:i/>
                <w:iCs/>
                <w:sz w:val="14"/>
                <w:szCs w:val="14"/>
                <w:lang w:val="es-CO"/>
              </w:rPr>
            </w:pPr>
            <w:r w:rsidRPr="00E2177A">
              <w:rPr>
                <w:rFonts w:ascii="Verdana" w:hAnsi="Verdana"/>
                <w:i/>
                <w:iCs/>
                <w:sz w:val="14"/>
                <w:szCs w:val="14"/>
                <w:lang w:val="es-ES_tradnl"/>
              </w:rPr>
              <w:t>9.706,59</w:t>
            </w:r>
          </w:p>
        </w:tc>
        <w:tc>
          <w:tcPr>
            <w:tcW w:w="500" w:type="pct"/>
            <w:tcBorders>
              <w:top w:val="nil"/>
              <w:left w:val="nil"/>
              <w:bottom w:val="single" w:sz="8" w:space="0" w:color="auto"/>
              <w:right w:val="single" w:sz="8" w:space="0" w:color="auto"/>
            </w:tcBorders>
            <w:shd w:val="clear" w:color="auto" w:fill="auto"/>
            <w:vAlign w:val="center"/>
            <w:hideMark/>
          </w:tcPr>
          <w:p w14:paraId="55871E0E" w14:textId="77777777" w:rsidR="0048516D" w:rsidRPr="00E2177A" w:rsidRDefault="0048516D" w:rsidP="0048516D">
            <w:pPr>
              <w:jc w:val="both"/>
              <w:rPr>
                <w:rFonts w:ascii="Verdana" w:hAnsi="Verdana"/>
                <w:i/>
                <w:iCs/>
                <w:sz w:val="14"/>
                <w:szCs w:val="14"/>
                <w:lang w:val="es-CO"/>
              </w:rPr>
            </w:pPr>
            <w:r w:rsidRPr="00E2177A">
              <w:rPr>
                <w:rFonts w:ascii="Verdana" w:hAnsi="Verdana"/>
                <w:i/>
                <w:iCs/>
                <w:sz w:val="14"/>
                <w:szCs w:val="14"/>
                <w:lang w:val="es-ES_tradnl"/>
              </w:rPr>
              <w:t>0</w:t>
            </w:r>
          </w:p>
        </w:tc>
        <w:tc>
          <w:tcPr>
            <w:tcW w:w="500" w:type="pct"/>
            <w:tcBorders>
              <w:top w:val="nil"/>
              <w:left w:val="nil"/>
              <w:bottom w:val="single" w:sz="8" w:space="0" w:color="auto"/>
              <w:right w:val="single" w:sz="8" w:space="0" w:color="auto"/>
            </w:tcBorders>
            <w:shd w:val="clear" w:color="auto" w:fill="auto"/>
            <w:vAlign w:val="center"/>
            <w:hideMark/>
          </w:tcPr>
          <w:p w14:paraId="3B98DC72" w14:textId="77777777" w:rsidR="0048516D" w:rsidRPr="00E2177A" w:rsidRDefault="0048516D" w:rsidP="0048516D">
            <w:pPr>
              <w:jc w:val="both"/>
              <w:rPr>
                <w:rFonts w:ascii="Verdana" w:hAnsi="Verdana"/>
                <w:i/>
                <w:iCs/>
                <w:sz w:val="14"/>
                <w:szCs w:val="14"/>
                <w:lang w:val="es-CO"/>
              </w:rPr>
            </w:pPr>
            <w:r w:rsidRPr="00E2177A">
              <w:rPr>
                <w:rFonts w:ascii="Verdana" w:hAnsi="Verdana"/>
                <w:i/>
                <w:iCs/>
                <w:sz w:val="14"/>
                <w:szCs w:val="14"/>
                <w:lang w:val="es-ES_tradnl"/>
              </w:rPr>
              <w:t>9.706,59</w:t>
            </w:r>
          </w:p>
        </w:tc>
        <w:tc>
          <w:tcPr>
            <w:tcW w:w="435" w:type="pct"/>
            <w:tcBorders>
              <w:top w:val="nil"/>
              <w:left w:val="nil"/>
              <w:bottom w:val="single" w:sz="8" w:space="0" w:color="auto"/>
              <w:right w:val="single" w:sz="8" w:space="0" w:color="auto"/>
            </w:tcBorders>
            <w:shd w:val="clear" w:color="auto" w:fill="auto"/>
            <w:vAlign w:val="center"/>
            <w:hideMark/>
          </w:tcPr>
          <w:p w14:paraId="724DE7B0" w14:textId="77777777" w:rsidR="0048516D" w:rsidRPr="00E2177A" w:rsidRDefault="0048516D" w:rsidP="0048516D">
            <w:pPr>
              <w:jc w:val="both"/>
              <w:rPr>
                <w:rFonts w:ascii="Verdana" w:hAnsi="Verdana"/>
                <w:i/>
                <w:iCs/>
                <w:sz w:val="14"/>
                <w:szCs w:val="14"/>
                <w:lang w:val="es-CO"/>
              </w:rPr>
            </w:pPr>
            <w:r w:rsidRPr="00E2177A">
              <w:rPr>
                <w:rFonts w:ascii="Verdana" w:hAnsi="Verdana"/>
                <w:i/>
                <w:iCs/>
                <w:sz w:val="14"/>
                <w:szCs w:val="14"/>
                <w:lang w:val="es-ES_tradnl"/>
              </w:rPr>
              <w:t>0</w:t>
            </w:r>
          </w:p>
        </w:tc>
        <w:tc>
          <w:tcPr>
            <w:tcW w:w="189" w:type="pct"/>
            <w:tcBorders>
              <w:top w:val="nil"/>
              <w:left w:val="nil"/>
              <w:bottom w:val="single" w:sz="8" w:space="0" w:color="auto"/>
              <w:right w:val="single" w:sz="8" w:space="0" w:color="auto"/>
            </w:tcBorders>
            <w:shd w:val="clear" w:color="auto" w:fill="auto"/>
            <w:vAlign w:val="center"/>
            <w:hideMark/>
          </w:tcPr>
          <w:p w14:paraId="31BE48D1" w14:textId="77777777" w:rsidR="0048516D" w:rsidRPr="00E2177A" w:rsidRDefault="0048516D" w:rsidP="0048516D">
            <w:pPr>
              <w:jc w:val="both"/>
              <w:rPr>
                <w:rFonts w:ascii="Verdana" w:hAnsi="Verdana"/>
                <w:i/>
                <w:iCs/>
                <w:sz w:val="14"/>
                <w:szCs w:val="14"/>
                <w:lang w:val="es-CO"/>
              </w:rPr>
            </w:pPr>
            <w:r w:rsidRPr="00E2177A">
              <w:rPr>
                <w:rFonts w:ascii="Verdana" w:hAnsi="Verdana"/>
                <w:i/>
                <w:iCs/>
                <w:sz w:val="14"/>
                <w:szCs w:val="14"/>
                <w:lang w:val="es-ES_tradnl"/>
              </w:rPr>
              <w:t> </w:t>
            </w:r>
          </w:p>
        </w:tc>
        <w:tc>
          <w:tcPr>
            <w:tcW w:w="230" w:type="pct"/>
            <w:tcBorders>
              <w:top w:val="nil"/>
              <w:left w:val="nil"/>
              <w:bottom w:val="single" w:sz="8" w:space="0" w:color="auto"/>
              <w:right w:val="single" w:sz="8" w:space="0" w:color="auto"/>
            </w:tcBorders>
            <w:shd w:val="clear" w:color="auto" w:fill="auto"/>
            <w:vAlign w:val="center"/>
            <w:hideMark/>
          </w:tcPr>
          <w:p w14:paraId="6BFC59C2" w14:textId="77777777" w:rsidR="0048516D" w:rsidRPr="00E2177A" w:rsidRDefault="0048516D" w:rsidP="0048516D">
            <w:pPr>
              <w:jc w:val="both"/>
              <w:rPr>
                <w:rFonts w:ascii="Verdana" w:hAnsi="Verdana"/>
                <w:i/>
                <w:iCs/>
                <w:sz w:val="14"/>
                <w:szCs w:val="14"/>
                <w:lang w:val="es-CO"/>
              </w:rPr>
            </w:pPr>
            <w:r w:rsidRPr="00E2177A">
              <w:rPr>
                <w:rFonts w:ascii="Verdana" w:hAnsi="Verdana"/>
                <w:i/>
                <w:iCs/>
                <w:sz w:val="14"/>
                <w:szCs w:val="14"/>
                <w:lang w:val="es-ES_tradnl"/>
              </w:rPr>
              <w:t> </w:t>
            </w:r>
          </w:p>
        </w:tc>
      </w:tr>
      <w:tr w:rsidR="0048516D" w:rsidRPr="0048516D" w14:paraId="46D84ACC" w14:textId="77777777" w:rsidTr="00E2177A">
        <w:trPr>
          <w:trHeight w:val="300"/>
        </w:trPr>
        <w:tc>
          <w:tcPr>
            <w:tcW w:w="616" w:type="pct"/>
            <w:tcBorders>
              <w:top w:val="nil"/>
              <w:left w:val="single" w:sz="8" w:space="0" w:color="auto"/>
              <w:bottom w:val="single" w:sz="8" w:space="0" w:color="auto"/>
              <w:right w:val="single" w:sz="8" w:space="0" w:color="auto"/>
            </w:tcBorders>
            <w:shd w:val="clear" w:color="auto" w:fill="auto"/>
            <w:vAlign w:val="center"/>
            <w:hideMark/>
          </w:tcPr>
          <w:p w14:paraId="32071D2B" w14:textId="77777777" w:rsidR="0048516D" w:rsidRPr="00E2177A" w:rsidRDefault="0048516D" w:rsidP="0048516D">
            <w:pPr>
              <w:jc w:val="both"/>
              <w:rPr>
                <w:rFonts w:ascii="Verdana" w:hAnsi="Verdana"/>
                <w:i/>
                <w:iCs/>
                <w:sz w:val="14"/>
                <w:szCs w:val="14"/>
                <w:lang w:val="es-CO"/>
              </w:rPr>
            </w:pPr>
            <w:r w:rsidRPr="00E2177A">
              <w:rPr>
                <w:rFonts w:ascii="Verdana" w:hAnsi="Verdana"/>
                <w:i/>
                <w:iCs/>
                <w:sz w:val="14"/>
                <w:szCs w:val="14"/>
                <w:lang w:val="es-ES_tradnl"/>
              </w:rPr>
              <w:t>Sin Información</w:t>
            </w:r>
          </w:p>
        </w:tc>
        <w:tc>
          <w:tcPr>
            <w:tcW w:w="560" w:type="pct"/>
            <w:vMerge/>
            <w:tcBorders>
              <w:top w:val="nil"/>
              <w:left w:val="single" w:sz="8" w:space="0" w:color="auto"/>
              <w:bottom w:val="single" w:sz="8" w:space="0" w:color="000000"/>
              <w:right w:val="single" w:sz="8" w:space="0" w:color="auto"/>
            </w:tcBorders>
            <w:vAlign w:val="center"/>
            <w:hideMark/>
          </w:tcPr>
          <w:p w14:paraId="55F6CE64" w14:textId="77777777" w:rsidR="0048516D" w:rsidRPr="00E2177A" w:rsidRDefault="0048516D" w:rsidP="0048516D">
            <w:pPr>
              <w:jc w:val="both"/>
              <w:rPr>
                <w:rFonts w:ascii="Verdana" w:hAnsi="Verdana"/>
                <w:b/>
                <w:bCs/>
                <w:i/>
                <w:iCs/>
                <w:sz w:val="14"/>
                <w:szCs w:val="14"/>
                <w:lang w:val="es-CO"/>
              </w:rPr>
            </w:pPr>
          </w:p>
        </w:tc>
        <w:tc>
          <w:tcPr>
            <w:tcW w:w="399" w:type="pct"/>
            <w:tcBorders>
              <w:top w:val="nil"/>
              <w:left w:val="nil"/>
              <w:bottom w:val="single" w:sz="8" w:space="0" w:color="auto"/>
              <w:right w:val="single" w:sz="8" w:space="0" w:color="auto"/>
            </w:tcBorders>
            <w:shd w:val="clear" w:color="auto" w:fill="auto"/>
            <w:vAlign w:val="center"/>
            <w:hideMark/>
          </w:tcPr>
          <w:p w14:paraId="7858AF03" w14:textId="77777777" w:rsidR="0048516D" w:rsidRPr="00E2177A" w:rsidRDefault="0048516D" w:rsidP="0048516D">
            <w:pPr>
              <w:jc w:val="both"/>
              <w:rPr>
                <w:rFonts w:ascii="Verdana" w:hAnsi="Verdana"/>
                <w:i/>
                <w:iCs/>
                <w:sz w:val="14"/>
                <w:szCs w:val="14"/>
                <w:lang w:val="es-CO"/>
              </w:rPr>
            </w:pPr>
            <w:r w:rsidRPr="00E2177A">
              <w:rPr>
                <w:rFonts w:ascii="Verdana" w:hAnsi="Verdana"/>
                <w:i/>
                <w:iCs/>
                <w:sz w:val="14"/>
                <w:szCs w:val="14"/>
                <w:lang w:val="es-ES_tradnl"/>
              </w:rPr>
              <w:t>40</w:t>
            </w:r>
          </w:p>
        </w:tc>
        <w:tc>
          <w:tcPr>
            <w:tcW w:w="541" w:type="pct"/>
            <w:tcBorders>
              <w:top w:val="nil"/>
              <w:left w:val="nil"/>
              <w:bottom w:val="single" w:sz="8" w:space="0" w:color="auto"/>
              <w:right w:val="single" w:sz="8" w:space="0" w:color="auto"/>
            </w:tcBorders>
            <w:shd w:val="clear" w:color="auto" w:fill="auto"/>
            <w:vAlign w:val="center"/>
            <w:hideMark/>
          </w:tcPr>
          <w:p w14:paraId="7D3EFA60" w14:textId="77777777" w:rsidR="0048516D" w:rsidRPr="00E2177A" w:rsidRDefault="0048516D" w:rsidP="0048516D">
            <w:pPr>
              <w:jc w:val="both"/>
              <w:rPr>
                <w:rFonts w:ascii="Verdana" w:hAnsi="Verdana"/>
                <w:i/>
                <w:iCs/>
                <w:sz w:val="14"/>
                <w:szCs w:val="14"/>
                <w:lang w:val="es-CO"/>
              </w:rPr>
            </w:pPr>
            <w:r w:rsidRPr="00E2177A">
              <w:rPr>
                <w:rFonts w:ascii="Verdana" w:hAnsi="Verdana"/>
                <w:i/>
                <w:iCs/>
                <w:sz w:val="14"/>
                <w:szCs w:val="14"/>
                <w:lang w:val="es-ES_tradnl"/>
              </w:rPr>
              <w:t>Corponor</w:t>
            </w:r>
          </w:p>
        </w:tc>
        <w:tc>
          <w:tcPr>
            <w:tcW w:w="531" w:type="pct"/>
            <w:tcBorders>
              <w:top w:val="nil"/>
              <w:left w:val="nil"/>
              <w:bottom w:val="single" w:sz="8" w:space="0" w:color="auto"/>
              <w:right w:val="single" w:sz="8" w:space="0" w:color="auto"/>
            </w:tcBorders>
            <w:shd w:val="clear" w:color="auto" w:fill="auto"/>
            <w:vAlign w:val="center"/>
            <w:hideMark/>
          </w:tcPr>
          <w:p w14:paraId="7418317A" w14:textId="77777777" w:rsidR="0048516D" w:rsidRPr="00E2177A" w:rsidRDefault="0048516D" w:rsidP="0048516D">
            <w:pPr>
              <w:jc w:val="both"/>
              <w:rPr>
                <w:rFonts w:ascii="Verdana" w:hAnsi="Verdana"/>
                <w:i/>
                <w:iCs/>
                <w:sz w:val="14"/>
                <w:szCs w:val="14"/>
                <w:lang w:val="es-CO"/>
              </w:rPr>
            </w:pPr>
            <w:r w:rsidRPr="00E2177A">
              <w:rPr>
                <w:rFonts w:ascii="Verdana" w:hAnsi="Verdana"/>
                <w:i/>
                <w:iCs/>
                <w:sz w:val="14"/>
                <w:szCs w:val="14"/>
                <w:lang w:val="es-ES_tradnl"/>
              </w:rPr>
              <w:t>PNR Almorzadero este</w:t>
            </w:r>
          </w:p>
        </w:tc>
        <w:tc>
          <w:tcPr>
            <w:tcW w:w="500" w:type="pct"/>
            <w:tcBorders>
              <w:top w:val="nil"/>
              <w:left w:val="nil"/>
              <w:bottom w:val="single" w:sz="8" w:space="0" w:color="auto"/>
              <w:right w:val="single" w:sz="8" w:space="0" w:color="auto"/>
            </w:tcBorders>
            <w:shd w:val="clear" w:color="auto" w:fill="auto"/>
            <w:vAlign w:val="center"/>
            <w:hideMark/>
          </w:tcPr>
          <w:p w14:paraId="5F2F1838" w14:textId="77777777" w:rsidR="0048516D" w:rsidRPr="00E2177A" w:rsidRDefault="0048516D" w:rsidP="0048516D">
            <w:pPr>
              <w:jc w:val="both"/>
              <w:rPr>
                <w:rFonts w:ascii="Verdana" w:hAnsi="Verdana"/>
                <w:i/>
                <w:iCs/>
                <w:sz w:val="14"/>
                <w:szCs w:val="14"/>
                <w:lang w:val="es-CO"/>
              </w:rPr>
            </w:pPr>
            <w:r w:rsidRPr="00E2177A">
              <w:rPr>
                <w:rFonts w:ascii="Verdana" w:hAnsi="Verdana"/>
                <w:i/>
                <w:iCs/>
                <w:sz w:val="14"/>
                <w:szCs w:val="14"/>
                <w:lang w:val="es-ES_tradnl"/>
              </w:rPr>
              <w:t>31.296,12</w:t>
            </w:r>
          </w:p>
        </w:tc>
        <w:tc>
          <w:tcPr>
            <w:tcW w:w="500" w:type="pct"/>
            <w:tcBorders>
              <w:top w:val="nil"/>
              <w:left w:val="nil"/>
              <w:bottom w:val="single" w:sz="8" w:space="0" w:color="auto"/>
              <w:right w:val="single" w:sz="8" w:space="0" w:color="auto"/>
            </w:tcBorders>
            <w:shd w:val="clear" w:color="auto" w:fill="auto"/>
            <w:vAlign w:val="center"/>
            <w:hideMark/>
          </w:tcPr>
          <w:p w14:paraId="2CC102C6" w14:textId="77777777" w:rsidR="0048516D" w:rsidRPr="00E2177A" w:rsidRDefault="0048516D" w:rsidP="0048516D">
            <w:pPr>
              <w:jc w:val="both"/>
              <w:rPr>
                <w:rFonts w:ascii="Verdana" w:hAnsi="Verdana"/>
                <w:i/>
                <w:iCs/>
                <w:sz w:val="14"/>
                <w:szCs w:val="14"/>
                <w:lang w:val="es-CO"/>
              </w:rPr>
            </w:pPr>
            <w:r w:rsidRPr="00E2177A">
              <w:rPr>
                <w:rFonts w:ascii="Verdana" w:hAnsi="Verdana"/>
                <w:i/>
                <w:iCs/>
                <w:sz w:val="14"/>
                <w:szCs w:val="14"/>
                <w:lang w:val="es-ES_tradnl"/>
              </w:rPr>
              <w:t>0</w:t>
            </w:r>
          </w:p>
        </w:tc>
        <w:tc>
          <w:tcPr>
            <w:tcW w:w="500" w:type="pct"/>
            <w:tcBorders>
              <w:top w:val="nil"/>
              <w:left w:val="nil"/>
              <w:bottom w:val="single" w:sz="8" w:space="0" w:color="auto"/>
              <w:right w:val="single" w:sz="8" w:space="0" w:color="auto"/>
            </w:tcBorders>
            <w:shd w:val="clear" w:color="auto" w:fill="auto"/>
            <w:vAlign w:val="center"/>
            <w:hideMark/>
          </w:tcPr>
          <w:p w14:paraId="03942506" w14:textId="77777777" w:rsidR="0048516D" w:rsidRPr="00E2177A" w:rsidRDefault="0048516D" w:rsidP="0048516D">
            <w:pPr>
              <w:jc w:val="both"/>
              <w:rPr>
                <w:rFonts w:ascii="Verdana" w:hAnsi="Verdana"/>
                <w:i/>
                <w:iCs/>
                <w:sz w:val="14"/>
                <w:szCs w:val="14"/>
                <w:lang w:val="es-CO"/>
              </w:rPr>
            </w:pPr>
            <w:r w:rsidRPr="00E2177A">
              <w:rPr>
                <w:rFonts w:ascii="Verdana" w:hAnsi="Verdana"/>
                <w:i/>
                <w:iCs/>
                <w:sz w:val="14"/>
                <w:szCs w:val="14"/>
                <w:lang w:val="es-ES_tradnl"/>
              </w:rPr>
              <w:t>31.296,12</w:t>
            </w:r>
          </w:p>
        </w:tc>
        <w:tc>
          <w:tcPr>
            <w:tcW w:w="435" w:type="pct"/>
            <w:tcBorders>
              <w:top w:val="nil"/>
              <w:left w:val="nil"/>
              <w:bottom w:val="single" w:sz="8" w:space="0" w:color="auto"/>
              <w:right w:val="single" w:sz="8" w:space="0" w:color="auto"/>
            </w:tcBorders>
            <w:shd w:val="clear" w:color="auto" w:fill="auto"/>
            <w:vAlign w:val="center"/>
            <w:hideMark/>
          </w:tcPr>
          <w:p w14:paraId="655D0868" w14:textId="77777777" w:rsidR="0048516D" w:rsidRPr="00E2177A" w:rsidRDefault="0048516D" w:rsidP="0048516D">
            <w:pPr>
              <w:jc w:val="both"/>
              <w:rPr>
                <w:rFonts w:ascii="Verdana" w:hAnsi="Verdana"/>
                <w:i/>
                <w:iCs/>
                <w:sz w:val="14"/>
                <w:szCs w:val="14"/>
                <w:lang w:val="es-CO"/>
              </w:rPr>
            </w:pPr>
            <w:r w:rsidRPr="00E2177A">
              <w:rPr>
                <w:rFonts w:ascii="Verdana" w:hAnsi="Verdana"/>
                <w:i/>
                <w:iCs/>
                <w:sz w:val="14"/>
                <w:szCs w:val="14"/>
                <w:lang w:val="es-ES_tradnl"/>
              </w:rPr>
              <w:t>0</w:t>
            </w:r>
          </w:p>
        </w:tc>
        <w:tc>
          <w:tcPr>
            <w:tcW w:w="189" w:type="pct"/>
            <w:tcBorders>
              <w:top w:val="nil"/>
              <w:left w:val="nil"/>
              <w:bottom w:val="single" w:sz="8" w:space="0" w:color="auto"/>
              <w:right w:val="single" w:sz="8" w:space="0" w:color="auto"/>
            </w:tcBorders>
            <w:shd w:val="clear" w:color="auto" w:fill="auto"/>
            <w:vAlign w:val="center"/>
            <w:hideMark/>
          </w:tcPr>
          <w:p w14:paraId="3D186495" w14:textId="77777777" w:rsidR="0048516D" w:rsidRPr="00E2177A" w:rsidRDefault="0048516D" w:rsidP="0048516D">
            <w:pPr>
              <w:jc w:val="both"/>
              <w:rPr>
                <w:rFonts w:ascii="Verdana" w:hAnsi="Verdana"/>
                <w:i/>
                <w:iCs/>
                <w:sz w:val="14"/>
                <w:szCs w:val="14"/>
                <w:lang w:val="es-CO"/>
              </w:rPr>
            </w:pPr>
            <w:r w:rsidRPr="00E2177A">
              <w:rPr>
                <w:rFonts w:ascii="Verdana" w:hAnsi="Verdana"/>
                <w:i/>
                <w:iCs/>
                <w:sz w:val="14"/>
                <w:szCs w:val="14"/>
                <w:lang w:val="es-ES_tradnl"/>
              </w:rPr>
              <w:t> </w:t>
            </w:r>
          </w:p>
        </w:tc>
        <w:tc>
          <w:tcPr>
            <w:tcW w:w="230" w:type="pct"/>
            <w:tcBorders>
              <w:top w:val="nil"/>
              <w:left w:val="nil"/>
              <w:bottom w:val="single" w:sz="8" w:space="0" w:color="auto"/>
              <w:right w:val="single" w:sz="8" w:space="0" w:color="auto"/>
            </w:tcBorders>
            <w:shd w:val="clear" w:color="auto" w:fill="auto"/>
            <w:vAlign w:val="center"/>
            <w:hideMark/>
          </w:tcPr>
          <w:p w14:paraId="6BD78A0F" w14:textId="77777777" w:rsidR="0048516D" w:rsidRPr="00E2177A" w:rsidRDefault="0048516D" w:rsidP="0048516D">
            <w:pPr>
              <w:jc w:val="both"/>
              <w:rPr>
                <w:rFonts w:ascii="Verdana" w:hAnsi="Verdana"/>
                <w:i/>
                <w:iCs/>
                <w:sz w:val="14"/>
                <w:szCs w:val="14"/>
                <w:lang w:val="es-CO"/>
              </w:rPr>
            </w:pPr>
            <w:r w:rsidRPr="00E2177A">
              <w:rPr>
                <w:rFonts w:ascii="Verdana" w:hAnsi="Verdana"/>
                <w:i/>
                <w:iCs/>
                <w:sz w:val="14"/>
                <w:szCs w:val="14"/>
                <w:lang w:val="es-ES_tradnl"/>
              </w:rPr>
              <w:t> </w:t>
            </w:r>
          </w:p>
        </w:tc>
      </w:tr>
      <w:tr w:rsidR="00E2177A" w:rsidRPr="00B966C6" w14:paraId="3575F6AD" w14:textId="77777777" w:rsidTr="00E2177A">
        <w:trPr>
          <w:trHeight w:val="300"/>
        </w:trPr>
        <w:tc>
          <w:tcPr>
            <w:tcW w:w="616" w:type="pct"/>
            <w:tcBorders>
              <w:top w:val="nil"/>
              <w:left w:val="single" w:sz="8" w:space="0" w:color="auto"/>
              <w:bottom w:val="single" w:sz="8" w:space="0" w:color="auto"/>
              <w:right w:val="nil"/>
            </w:tcBorders>
            <w:shd w:val="clear" w:color="000000" w:fill="BFBFBF"/>
            <w:vAlign w:val="center"/>
            <w:hideMark/>
          </w:tcPr>
          <w:p w14:paraId="72BA5CEE" w14:textId="77777777" w:rsidR="0048516D" w:rsidRPr="00E2177A" w:rsidRDefault="0048516D" w:rsidP="0048516D">
            <w:pPr>
              <w:jc w:val="both"/>
              <w:rPr>
                <w:rFonts w:ascii="Verdana" w:hAnsi="Verdana"/>
                <w:b/>
                <w:bCs/>
                <w:i/>
                <w:iCs/>
                <w:sz w:val="14"/>
                <w:szCs w:val="14"/>
                <w:lang w:val="es-CO"/>
              </w:rPr>
            </w:pPr>
            <w:r w:rsidRPr="00E2177A">
              <w:rPr>
                <w:rFonts w:ascii="Verdana" w:hAnsi="Verdana"/>
                <w:b/>
                <w:bCs/>
                <w:i/>
                <w:iCs/>
                <w:sz w:val="14"/>
                <w:szCs w:val="14"/>
                <w:lang w:val="es-ES_tradnl"/>
              </w:rPr>
              <w:t>Subtotal liberado</w:t>
            </w:r>
          </w:p>
        </w:tc>
        <w:tc>
          <w:tcPr>
            <w:tcW w:w="560" w:type="pct"/>
            <w:tcBorders>
              <w:top w:val="nil"/>
              <w:left w:val="nil"/>
              <w:bottom w:val="single" w:sz="8" w:space="0" w:color="auto"/>
              <w:right w:val="nil"/>
            </w:tcBorders>
            <w:shd w:val="clear" w:color="000000" w:fill="BFBFBF"/>
            <w:vAlign w:val="center"/>
            <w:hideMark/>
          </w:tcPr>
          <w:p w14:paraId="728C1B15" w14:textId="77777777" w:rsidR="0048516D" w:rsidRPr="00E2177A" w:rsidRDefault="0048516D" w:rsidP="0048516D">
            <w:pPr>
              <w:jc w:val="both"/>
              <w:rPr>
                <w:rFonts w:ascii="Verdana" w:hAnsi="Verdana"/>
                <w:b/>
                <w:bCs/>
                <w:i/>
                <w:iCs/>
                <w:sz w:val="14"/>
                <w:szCs w:val="14"/>
                <w:lang w:val="es-CO"/>
              </w:rPr>
            </w:pPr>
            <w:r w:rsidRPr="00E2177A">
              <w:rPr>
                <w:rFonts w:ascii="Verdana" w:hAnsi="Verdana"/>
                <w:b/>
                <w:bCs/>
                <w:i/>
                <w:iCs/>
                <w:sz w:val="14"/>
                <w:szCs w:val="14"/>
                <w:lang w:val="es-CO"/>
              </w:rPr>
              <w:t> </w:t>
            </w:r>
          </w:p>
        </w:tc>
        <w:tc>
          <w:tcPr>
            <w:tcW w:w="399" w:type="pct"/>
            <w:tcBorders>
              <w:top w:val="nil"/>
              <w:left w:val="nil"/>
              <w:bottom w:val="single" w:sz="8" w:space="0" w:color="auto"/>
              <w:right w:val="nil"/>
            </w:tcBorders>
            <w:shd w:val="clear" w:color="000000" w:fill="BFBFBF"/>
            <w:vAlign w:val="center"/>
            <w:hideMark/>
          </w:tcPr>
          <w:p w14:paraId="03F7E1F4" w14:textId="77777777" w:rsidR="0048516D" w:rsidRPr="00E2177A" w:rsidRDefault="0048516D" w:rsidP="0048516D">
            <w:pPr>
              <w:jc w:val="both"/>
              <w:rPr>
                <w:rFonts w:ascii="Verdana" w:hAnsi="Verdana"/>
                <w:b/>
                <w:bCs/>
                <w:i/>
                <w:iCs/>
                <w:sz w:val="14"/>
                <w:szCs w:val="14"/>
                <w:lang w:val="es-CO"/>
              </w:rPr>
            </w:pPr>
            <w:r w:rsidRPr="00E2177A">
              <w:rPr>
                <w:rFonts w:ascii="Verdana" w:hAnsi="Verdana"/>
                <w:b/>
                <w:bCs/>
                <w:i/>
                <w:iCs/>
                <w:sz w:val="14"/>
                <w:szCs w:val="14"/>
                <w:lang w:val="es-CO"/>
              </w:rPr>
              <w:t> </w:t>
            </w:r>
          </w:p>
        </w:tc>
        <w:tc>
          <w:tcPr>
            <w:tcW w:w="541" w:type="pct"/>
            <w:tcBorders>
              <w:top w:val="nil"/>
              <w:left w:val="nil"/>
              <w:bottom w:val="single" w:sz="8" w:space="0" w:color="auto"/>
              <w:right w:val="nil"/>
            </w:tcBorders>
            <w:shd w:val="clear" w:color="000000" w:fill="BFBFBF"/>
            <w:vAlign w:val="center"/>
            <w:hideMark/>
          </w:tcPr>
          <w:p w14:paraId="57A401B7" w14:textId="77777777" w:rsidR="0048516D" w:rsidRPr="00E2177A" w:rsidRDefault="0048516D" w:rsidP="0048516D">
            <w:pPr>
              <w:jc w:val="both"/>
              <w:rPr>
                <w:rFonts w:ascii="Verdana" w:hAnsi="Verdana"/>
                <w:b/>
                <w:bCs/>
                <w:i/>
                <w:iCs/>
                <w:sz w:val="14"/>
                <w:szCs w:val="14"/>
                <w:lang w:val="es-CO"/>
              </w:rPr>
            </w:pPr>
            <w:r w:rsidRPr="00E2177A">
              <w:rPr>
                <w:rFonts w:ascii="Verdana" w:hAnsi="Verdana"/>
                <w:b/>
                <w:bCs/>
                <w:i/>
                <w:iCs/>
                <w:sz w:val="14"/>
                <w:szCs w:val="14"/>
                <w:lang w:val="es-CO"/>
              </w:rPr>
              <w:t> </w:t>
            </w:r>
          </w:p>
        </w:tc>
        <w:tc>
          <w:tcPr>
            <w:tcW w:w="531" w:type="pct"/>
            <w:tcBorders>
              <w:top w:val="nil"/>
              <w:left w:val="nil"/>
              <w:bottom w:val="single" w:sz="8" w:space="0" w:color="auto"/>
              <w:right w:val="single" w:sz="8" w:space="0" w:color="auto"/>
            </w:tcBorders>
            <w:shd w:val="clear" w:color="000000" w:fill="BFBFBF"/>
            <w:vAlign w:val="center"/>
            <w:hideMark/>
          </w:tcPr>
          <w:p w14:paraId="49E2AC89" w14:textId="77777777" w:rsidR="0048516D" w:rsidRPr="00E2177A" w:rsidRDefault="0048516D" w:rsidP="0048516D">
            <w:pPr>
              <w:jc w:val="both"/>
              <w:rPr>
                <w:rFonts w:ascii="Verdana" w:hAnsi="Verdana"/>
                <w:b/>
                <w:bCs/>
                <w:i/>
                <w:iCs/>
                <w:sz w:val="14"/>
                <w:szCs w:val="14"/>
                <w:lang w:val="es-CO"/>
              </w:rPr>
            </w:pPr>
            <w:r w:rsidRPr="00E2177A">
              <w:rPr>
                <w:rFonts w:ascii="Verdana" w:hAnsi="Verdana"/>
                <w:b/>
                <w:bCs/>
                <w:i/>
                <w:iCs/>
                <w:sz w:val="14"/>
                <w:szCs w:val="14"/>
                <w:lang w:val="es-CO"/>
              </w:rPr>
              <w:t> </w:t>
            </w:r>
          </w:p>
        </w:tc>
        <w:tc>
          <w:tcPr>
            <w:tcW w:w="500" w:type="pct"/>
            <w:tcBorders>
              <w:top w:val="nil"/>
              <w:left w:val="nil"/>
              <w:bottom w:val="single" w:sz="8" w:space="0" w:color="auto"/>
              <w:right w:val="single" w:sz="8" w:space="0" w:color="auto"/>
            </w:tcBorders>
            <w:shd w:val="clear" w:color="000000" w:fill="BFBFBF"/>
            <w:vAlign w:val="center"/>
            <w:hideMark/>
          </w:tcPr>
          <w:p w14:paraId="1801E28E" w14:textId="77777777" w:rsidR="0048516D" w:rsidRPr="00E2177A" w:rsidRDefault="0048516D" w:rsidP="0048516D">
            <w:pPr>
              <w:jc w:val="both"/>
              <w:rPr>
                <w:rFonts w:ascii="Verdana" w:hAnsi="Verdana"/>
                <w:b/>
                <w:bCs/>
                <w:i/>
                <w:iCs/>
                <w:sz w:val="14"/>
                <w:szCs w:val="14"/>
                <w:lang w:val="es-CO"/>
              </w:rPr>
            </w:pPr>
            <w:r w:rsidRPr="00E2177A">
              <w:rPr>
                <w:rFonts w:ascii="Verdana" w:hAnsi="Verdana"/>
                <w:b/>
                <w:bCs/>
                <w:i/>
                <w:iCs/>
                <w:sz w:val="14"/>
                <w:szCs w:val="14"/>
                <w:lang w:val="es-ES_tradnl"/>
              </w:rPr>
              <w:t>41.002,71</w:t>
            </w:r>
          </w:p>
        </w:tc>
        <w:tc>
          <w:tcPr>
            <w:tcW w:w="500" w:type="pct"/>
            <w:tcBorders>
              <w:top w:val="nil"/>
              <w:left w:val="nil"/>
              <w:bottom w:val="single" w:sz="8" w:space="0" w:color="auto"/>
              <w:right w:val="single" w:sz="8" w:space="0" w:color="auto"/>
            </w:tcBorders>
            <w:shd w:val="clear" w:color="000000" w:fill="BFBFBF"/>
            <w:vAlign w:val="center"/>
            <w:hideMark/>
          </w:tcPr>
          <w:p w14:paraId="1B5D32D0" w14:textId="77777777" w:rsidR="0048516D" w:rsidRPr="00E2177A" w:rsidRDefault="0048516D" w:rsidP="0048516D">
            <w:pPr>
              <w:jc w:val="both"/>
              <w:rPr>
                <w:rFonts w:ascii="Verdana" w:hAnsi="Verdana"/>
                <w:b/>
                <w:bCs/>
                <w:i/>
                <w:iCs/>
                <w:sz w:val="14"/>
                <w:szCs w:val="14"/>
                <w:lang w:val="es-CO"/>
              </w:rPr>
            </w:pPr>
            <w:r w:rsidRPr="00E2177A">
              <w:rPr>
                <w:rFonts w:ascii="Verdana" w:hAnsi="Verdana"/>
                <w:b/>
                <w:bCs/>
                <w:i/>
                <w:iCs/>
                <w:sz w:val="14"/>
                <w:szCs w:val="14"/>
                <w:lang w:val="es-ES_tradnl"/>
              </w:rPr>
              <w:t>0</w:t>
            </w:r>
          </w:p>
        </w:tc>
        <w:tc>
          <w:tcPr>
            <w:tcW w:w="500" w:type="pct"/>
            <w:tcBorders>
              <w:top w:val="nil"/>
              <w:left w:val="nil"/>
              <w:bottom w:val="single" w:sz="8" w:space="0" w:color="auto"/>
              <w:right w:val="single" w:sz="8" w:space="0" w:color="auto"/>
            </w:tcBorders>
            <w:shd w:val="clear" w:color="000000" w:fill="BFBFBF"/>
            <w:vAlign w:val="center"/>
            <w:hideMark/>
          </w:tcPr>
          <w:p w14:paraId="61730524" w14:textId="77777777" w:rsidR="0048516D" w:rsidRPr="00E2177A" w:rsidRDefault="0048516D" w:rsidP="0048516D">
            <w:pPr>
              <w:jc w:val="both"/>
              <w:rPr>
                <w:rFonts w:ascii="Verdana" w:hAnsi="Verdana"/>
                <w:b/>
                <w:bCs/>
                <w:i/>
                <w:iCs/>
                <w:sz w:val="14"/>
                <w:szCs w:val="14"/>
                <w:lang w:val="es-CO"/>
              </w:rPr>
            </w:pPr>
            <w:r w:rsidRPr="00E2177A">
              <w:rPr>
                <w:rFonts w:ascii="Verdana" w:hAnsi="Verdana"/>
                <w:b/>
                <w:bCs/>
                <w:i/>
                <w:iCs/>
                <w:sz w:val="14"/>
                <w:szCs w:val="14"/>
                <w:lang w:val="es-ES_tradnl"/>
              </w:rPr>
              <w:t>41.002,71</w:t>
            </w:r>
          </w:p>
        </w:tc>
        <w:tc>
          <w:tcPr>
            <w:tcW w:w="435" w:type="pct"/>
            <w:tcBorders>
              <w:top w:val="nil"/>
              <w:left w:val="nil"/>
              <w:bottom w:val="single" w:sz="8" w:space="0" w:color="auto"/>
              <w:right w:val="single" w:sz="8" w:space="0" w:color="auto"/>
            </w:tcBorders>
            <w:shd w:val="clear" w:color="000000" w:fill="BFBFBF"/>
            <w:vAlign w:val="center"/>
            <w:hideMark/>
          </w:tcPr>
          <w:p w14:paraId="14991D08" w14:textId="77777777" w:rsidR="0048516D" w:rsidRPr="00E2177A" w:rsidRDefault="0048516D" w:rsidP="0048516D">
            <w:pPr>
              <w:jc w:val="both"/>
              <w:rPr>
                <w:rFonts w:ascii="Verdana" w:hAnsi="Verdana"/>
                <w:b/>
                <w:bCs/>
                <w:i/>
                <w:iCs/>
                <w:sz w:val="14"/>
                <w:szCs w:val="14"/>
                <w:lang w:val="es-CO"/>
              </w:rPr>
            </w:pPr>
            <w:r w:rsidRPr="00E2177A">
              <w:rPr>
                <w:rFonts w:ascii="Verdana" w:hAnsi="Verdana"/>
                <w:b/>
                <w:bCs/>
                <w:i/>
                <w:iCs/>
                <w:sz w:val="14"/>
                <w:szCs w:val="14"/>
                <w:lang w:val="es-ES_tradnl"/>
              </w:rPr>
              <w:t>0</w:t>
            </w:r>
          </w:p>
        </w:tc>
        <w:tc>
          <w:tcPr>
            <w:tcW w:w="189" w:type="pct"/>
            <w:tcBorders>
              <w:top w:val="nil"/>
              <w:left w:val="nil"/>
              <w:bottom w:val="single" w:sz="8" w:space="0" w:color="auto"/>
              <w:right w:val="single" w:sz="8" w:space="0" w:color="auto"/>
            </w:tcBorders>
            <w:shd w:val="clear" w:color="000000" w:fill="BFBFBF"/>
            <w:vAlign w:val="center"/>
            <w:hideMark/>
          </w:tcPr>
          <w:p w14:paraId="50FB8569" w14:textId="77777777" w:rsidR="0048516D" w:rsidRPr="00E2177A" w:rsidRDefault="0048516D" w:rsidP="0048516D">
            <w:pPr>
              <w:jc w:val="both"/>
              <w:rPr>
                <w:rFonts w:ascii="Verdana" w:hAnsi="Verdana"/>
                <w:i/>
                <w:iCs/>
                <w:sz w:val="14"/>
                <w:szCs w:val="14"/>
                <w:lang w:val="es-CO"/>
              </w:rPr>
            </w:pPr>
            <w:r w:rsidRPr="00E2177A">
              <w:rPr>
                <w:rFonts w:ascii="Verdana" w:hAnsi="Verdana"/>
                <w:i/>
                <w:iCs/>
                <w:sz w:val="14"/>
                <w:szCs w:val="14"/>
                <w:lang w:val="es-ES_tradnl"/>
              </w:rPr>
              <w:t> </w:t>
            </w:r>
          </w:p>
        </w:tc>
        <w:tc>
          <w:tcPr>
            <w:tcW w:w="230" w:type="pct"/>
            <w:tcBorders>
              <w:top w:val="nil"/>
              <w:left w:val="nil"/>
              <w:bottom w:val="single" w:sz="8" w:space="0" w:color="auto"/>
              <w:right w:val="single" w:sz="8" w:space="0" w:color="auto"/>
            </w:tcBorders>
            <w:shd w:val="clear" w:color="000000" w:fill="BFBFBF"/>
            <w:vAlign w:val="center"/>
            <w:hideMark/>
          </w:tcPr>
          <w:p w14:paraId="5C39EE40" w14:textId="77777777" w:rsidR="0048516D" w:rsidRPr="00E2177A" w:rsidRDefault="0048516D" w:rsidP="0048516D">
            <w:pPr>
              <w:jc w:val="both"/>
              <w:rPr>
                <w:rFonts w:ascii="Verdana" w:hAnsi="Verdana"/>
                <w:i/>
                <w:iCs/>
                <w:sz w:val="14"/>
                <w:szCs w:val="14"/>
                <w:lang w:val="es-CO"/>
              </w:rPr>
            </w:pPr>
            <w:r w:rsidRPr="00E2177A">
              <w:rPr>
                <w:rFonts w:ascii="Verdana" w:hAnsi="Verdana"/>
                <w:i/>
                <w:iCs/>
                <w:sz w:val="14"/>
                <w:szCs w:val="14"/>
                <w:lang w:val="es-ES_tradnl"/>
              </w:rPr>
              <w:t> </w:t>
            </w:r>
          </w:p>
        </w:tc>
      </w:tr>
      <w:tr w:rsidR="0048516D" w:rsidRPr="0048516D" w14:paraId="5628BB4C" w14:textId="77777777" w:rsidTr="00E2177A">
        <w:trPr>
          <w:trHeight w:val="300"/>
        </w:trPr>
        <w:tc>
          <w:tcPr>
            <w:tcW w:w="3147" w:type="pct"/>
            <w:gridSpan w:val="6"/>
            <w:tcBorders>
              <w:top w:val="single" w:sz="8" w:space="0" w:color="auto"/>
              <w:left w:val="single" w:sz="8" w:space="0" w:color="auto"/>
              <w:bottom w:val="single" w:sz="8" w:space="0" w:color="auto"/>
              <w:right w:val="single" w:sz="8" w:space="0" w:color="000000"/>
            </w:tcBorders>
            <w:shd w:val="clear" w:color="000000" w:fill="BFBFBF"/>
            <w:vAlign w:val="center"/>
            <w:hideMark/>
          </w:tcPr>
          <w:p w14:paraId="09851422" w14:textId="77777777" w:rsidR="0048516D" w:rsidRPr="00E2177A" w:rsidRDefault="0048516D" w:rsidP="0048516D">
            <w:pPr>
              <w:jc w:val="both"/>
              <w:rPr>
                <w:rFonts w:ascii="Verdana" w:hAnsi="Verdana"/>
                <w:b/>
                <w:bCs/>
                <w:i/>
                <w:iCs/>
                <w:sz w:val="14"/>
                <w:szCs w:val="14"/>
                <w:lang w:val="es-CO"/>
              </w:rPr>
            </w:pPr>
            <w:r w:rsidRPr="00E2177A">
              <w:rPr>
                <w:rFonts w:ascii="Verdana" w:hAnsi="Verdana"/>
                <w:b/>
                <w:bCs/>
                <w:i/>
                <w:iCs/>
                <w:sz w:val="14"/>
                <w:szCs w:val="14"/>
                <w:lang w:val="es-ES_tradnl"/>
              </w:rPr>
              <w:t>Total área prorroga</w:t>
            </w:r>
          </w:p>
        </w:tc>
        <w:tc>
          <w:tcPr>
            <w:tcW w:w="500" w:type="pct"/>
            <w:tcBorders>
              <w:top w:val="nil"/>
              <w:left w:val="nil"/>
              <w:bottom w:val="single" w:sz="8" w:space="0" w:color="auto"/>
              <w:right w:val="single" w:sz="8" w:space="0" w:color="auto"/>
            </w:tcBorders>
            <w:shd w:val="clear" w:color="000000" w:fill="BFBFBF"/>
            <w:vAlign w:val="center"/>
            <w:hideMark/>
          </w:tcPr>
          <w:p w14:paraId="51620231" w14:textId="77777777" w:rsidR="0048516D" w:rsidRPr="00E2177A" w:rsidRDefault="0048516D" w:rsidP="0048516D">
            <w:pPr>
              <w:jc w:val="both"/>
              <w:rPr>
                <w:rFonts w:ascii="Verdana" w:hAnsi="Verdana"/>
                <w:b/>
                <w:bCs/>
                <w:i/>
                <w:iCs/>
                <w:sz w:val="14"/>
                <w:szCs w:val="14"/>
                <w:lang w:val="es-CO"/>
              </w:rPr>
            </w:pPr>
            <w:r w:rsidRPr="00E2177A">
              <w:rPr>
                <w:rFonts w:ascii="Verdana" w:hAnsi="Verdana"/>
                <w:b/>
                <w:bCs/>
                <w:i/>
                <w:iCs/>
                <w:sz w:val="14"/>
                <w:szCs w:val="14"/>
                <w:lang w:val="es-ES_tradnl"/>
              </w:rPr>
              <w:t>217.623,64</w:t>
            </w:r>
          </w:p>
        </w:tc>
        <w:tc>
          <w:tcPr>
            <w:tcW w:w="500" w:type="pct"/>
            <w:tcBorders>
              <w:top w:val="nil"/>
              <w:left w:val="nil"/>
              <w:bottom w:val="single" w:sz="8" w:space="0" w:color="auto"/>
              <w:right w:val="single" w:sz="8" w:space="0" w:color="auto"/>
            </w:tcBorders>
            <w:shd w:val="clear" w:color="000000" w:fill="BFBFBF"/>
            <w:vAlign w:val="center"/>
            <w:hideMark/>
          </w:tcPr>
          <w:p w14:paraId="37FAE13A" w14:textId="77777777" w:rsidR="0048516D" w:rsidRPr="00E2177A" w:rsidRDefault="0048516D" w:rsidP="0048516D">
            <w:pPr>
              <w:jc w:val="both"/>
              <w:rPr>
                <w:rFonts w:ascii="Verdana" w:hAnsi="Verdana"/>
                <w:i/>
                <w:iCs/>
                <w:sz w:val="14"/>
                <w:szCs w:val="14"/>
                <w:lang w:val="es-CO"/>
              </w:rPr>
            </w:pPr>
            <w:r w:rsidRPr="00E2177A">
              <w:rPr>
                <w:rFonts w:ascii="Verdana" w:hAnsi="Verdana"/>
                <w:i/>
                <w:iCs/>
                <w:sz w:val="14"/>
                <w:szCs w:val="14"/>
                <w:lang w:val="es-ES_tradnl"/>
              </w:rPr>
              <w:t> </w:t>
            </w:r>
          </w:p>
        </w:tc>
        <w:tc>
          <w:tcPr>
            <w:tcW w:w="435" w:type="pct"/>
            <w:tcBorders>
              <w:top w:val="nil"/>
              <w:left w:val="nil"/>
              <w:bottom w:val="single" w:sz="8" w:space="0" w:color="auto"/>
              <w:right w:val="single" w:sz="8" w:space="0" w:color="auto"/>
            </w:tcBorders>
            <w:shd w:val="clear" w:color="000000" w:fill="BFBFBF"/>
            <w:vAlign w:val="center"/>
            <w:hideMark/>
          </w:tcPr>
          <w:p w14:paraId="2E9F363A" w14:textId="77777777" w:rsidR="0048516D" w:rsidRPr="00E2177A" w:rsidRDefault="0048516D" w:rsidP="0048516D">
            <w:pPr>
              <w:jc w:val="both"/>
              <w:rPr>
                <w:rFonts w:ascii="Verdana" w:hAnsi="Verdana"/>
                <w:i/>
                <w:iCs/>
                <w:sz w:val="14"/>
                <w:szCs w:val="14"/>
                <w:lang w:val="es-CO"/>
              </w:rPr>
            </w:pPr>
            <w:r w:rsidRPr="00E2177A">
              <w:rPr>
                <w:rFonts w:ascii="Verdana" w:hAnsi="Verdana"/>
                <w:i/>
                <w:iCs/>
                <w:sz w:val="14"/>
                <w:szCs w:val="14"/>
                <w:lang w:val="es-ES_tradnl"/>
              </w:rPr>
              <w:t> </w:t>
            </w:r>
          </w:p>
        </w:tc>
        <w:tc>
          <w:tcPr>
            <w:tcW w:w="189" w:type="pct"/>
            <w:tcBorders>
              <w:top w:val="nil"/>
              <w:left w:val="nil"/>
              <w:bottom w:val="single" w:sz="8" w:space="0" w:color="auto"/>
              <w:right w:val="single" w:sz="8" w:space="0" w:color="auto"/>
            </w:tcBorders>
            <w:shd w:val="clear" w:color="000000" w:fill="BFBFBF"/>
            <w:vAlign w:val="center"/>
            <w:hideMark/>
          </w:tcPr>
          <w:p w14:paraId="2CF025D7" w14:textId="77777777" w:rsidR="0048516D" w:rsidRPr="00E2177A" w:rsidRDefault="0048516D" w:rsidP="0048516D">
            <w:pPr>
              <w:jc w:val="both"/>
              <w:rPr>
                <w:rFonts w:ascii="Verdana" w:hAnsi="Verdana"/>
                <w:i/>
                <w:iCs/>
                <w:sz w:val="14"/>
                <w:szCs w:val="14"/>
                <w:lang w:val="es-CO"/>
              </w:rPr>
            </w:pPr>
            <w:r w:rsidRPr="00E2177A">
              <w:rPr>
                <w:rFonts w:ascii="Verdana" w:hAnsi="Verdana"/>
                <w:i/>
                <w:iCs/>
                <w:sz w:val="14"/>
                <w:szCs w:val="14"/>
                <w:lang w:val="es-ES_tradnl"/>
              </w:rPr>
              <w:t> </w:t>
            </w:r>
          </w:p>
        </w:tc>
        <w:tc>
          <w:tcPr>
            <w:tcW w:w="230" w:type="pct"/>
            <w:tcBorders>
              <w:top w:val="nil"/>
              <w:left w:val="nil"/>
              <w:bottom w:val="single" w:sz="8" w:space="0" w:color="auto"/>
              <w:right w:val="single" w:sz="8" w:space="0" w:color="auto"/>
            </w:tcBorders>
            <w:shd w:val="clear" w:color="000000" w:fill="BFBFBF"/>
            <w:vAlign w:val="center"/>
            <w:hideMark/>
          </w:tcPr>
          <w:p w14:paraId="13E8699F" w14:textId="77777777" w:rsidR="0048516D" w:rsidRPr="00E2177A" w:rsidRDefault="0048516D" w:rsidP="0048516D">
            <w:pPr>
              <w:jc w:val="both"/>
              <w:rPr>
                <w:rFonts w:ascii="Verdana" w:hAnsi="Verdana"/>
                <w:i/>
                <w:iCs/>
                <w:sz w:val="14"/>
                <w:szCs w:val="14"/>
                <w:lang w:val="es-CO"/>
              </w:rPr>
            </w:pPr>
            <w:r w:rsidRPr="00E2177A">
              <w:rPr>
                <w:rFonts w:ascii="Verdana" w:hAnsi="Verdana"/>
                <w:i/>
                <w:iCs/>
                <w:sz w:val="14"/>
                <w:szCs w:val="14"/>
                <w:lang w:val="es-ES_tradnl"/>
              </w:rPr>
              <w:t> </w:t>
            </w:r>
          </w:p>
        </w:tc>
      </w:tr>
      <w:tr w:rsidR="0048516D" w:rsidRPr="0048516D" w14:paraId="6351E9A7" w14:textId="77777777" w:rsidTr="00E2177A">
        <w:trPr>
          <w:trHeight w:val="300"/>
        </w:trPr>
        <w:tc>
          <w:tcPr>
            <w:tcW w:w="3646" w:type="pct"/>
            <w:gridSpan w:val="7"/>
            <w:tcBorders>
              <w:top w:val="single" w:sz="8" w:space="0" w:color="auto"/>
              <w:left w:val="single" w:sz="8" w:space="0" w:color="auto"/>
              <w:bottom w:val="single" w:sz="8" w:space="0" w:color="auto"/>
              <w:right w:val="single" w:sz="8" w:space="0" w:color="000000"/>
            </w:tcBorders>
            <w:shd w:val="clear" w:color="000000" w:fill="BFBFBF"/>
            <w:vAlign w:val="center"/>
            <w:hideMark/>
          </w:tcPr>
          <w:p w14:paraId="73A637D6" w14:textId="77777777" w:rsidR="0048516D" w:rsidRPr="00E2177A" w:rsidRDefault="0048516D" w:rsidP="0048516D">
            <w:pPr>
              <w:jc w:val="both"/>
              <w:rPr>
                <w:rFonts w:ascii="Verdana" w:hAnsi="Verdana"/>
                <w:b/>
                <w:bCs/>
                <w:i/>
                <w:iCs/>
                <w:sz w:val="14"/>
                <w:szCs w:val="14"/>
                <w:lang w:val="es-CO"/>
              </w:rPr>
            </w:pPr>
            <w:r w:rsidRPr="00E2177A">
              <w:rPr>
                <w:rFonts w:ascii="Verdana" w:hAnsi="Verdana"/>
                <w:b/>
                <w:bCs/>
                <w:i/>
                <w:iCs/>
                <w:sz w:val="14"/>
                <w:szCs w:val="14"/>
                <w:lang w:val="es-ES_tradnl"/>
              </w:rPr>
              <w:t>Total área liberada</w:t>
            </w:r>
          </w:p>
        </w:tc>
        <w:tc>
          <w:tcPr>
            <w:tcW w:w="500" w:type="pct"/>
            <w:tcBorders>
              <w:top w:val="nil"/>
              <w:left w:val="nil"/>
              <w:bottom w:val="single" w:sz="8" w:space="0" w:color="auto"/>
              <w:right w:val="single" w:sz="8" w:space="0" w:color="auto"/>
            </w:tcBorders>
            <w:shd w:val="clear" w:color="000000" w:fill="BFBFBF"/>
            <w:vAlign w:val="center"/>
            <w:hideMark/>
          </w:tcPr>
          <w:p w14:paraId="4AB8F5CB" w14:textId="77777777" w:rsidR="0048516D" w:rsidRPr="00E2177A" w:rsidRDefault="0048516D" w:rsidP="0048516D">
            <w:pPr>
              <w:jc w:val="both"/>
              <w:rPr>
                <w:rFonts w:ascii="Verdana" w:hAnsi="Verdana"/>
                <w:b/>
                <w:bCs/>
                <w:i/>
                <w:iCs/>
                <w:sz w:val="14"/>
                <w:szCs w:val="14"/>
                <w:lang w:val="es-CO"/>
              </w:rPr>
            </w:pPr>
            <w:r w:rsidRPr="00E2177A">
              <w:rPr>
                <w:rFonts w:ascii="Verdana" w:hAnsi="Verdana"/>
                <w:b/>
                <w:bCs/>
                <w:i/>
                <w:iCs/>
                <w:sz w:val="14"/>
                <w:szCs w:val="14"/>
                <w:lang w:val="es-ES_tradnl"/>
              </w:rPr>
              <w:t>132.981,89</w:t>
            </w:r>
          </w:p>
        </w:tc>
        <w:tc>
          <w:tcPr>
            <w:tcW w:w="435" w:type="pct"/>
            <w:tcBorders>
              <w:top w:val="nil"/>
              <w:left w:val="nil"/>
              <w:bottom w:val="single" w:sz="8" w:space="0" w:color="auto"/>
              <w:right w:val="single" w:sz="8" w:space="0" w:color="auto"/>
            </w:tcBorders>
            <w:shd w:val="clear" w:color="000000" w:fill="BFBFBF"/>
            <w:vAlign w:val="center"/>
            <w:hideMark/>
          </w:tcPr>
          <w:p w14:paraId="34BA39B3" w14:textId="77777777" w:rsidR="0048516D" w:rsidRPr="00E2177A" w:rsidRDefault="0048516D" w:rsidP="0048516D">
            <w:pPr>
              <w:jc w:val="both"/>
              <w:rPr>
                <w:rFonts w:ascii="Verdana" w:hAnsi="Verdana"/>
                <w:i/>
                <w:iCs/>
                <w:sz w:val="14"/>
                <w:szCs w:val="14"/>
                <w:lang w:val="es-CO"/>
              </w:rPr>
            </w:pPr>
            <w:r w:rsidRPr="00E2177A">
              <w:rPr>
                <w:rFonts w:ascii="Verdana" w:hAnsi="Verdana"/>
                <w:i/>
                <w:iCs/>
                <w:sz w:val="14"/>
                <w:szCs w:val="14"/>
                <w:lang w:val="es-ES_tradnl"/>
              </w:rPr>
              <w:t> </w:t>
            </w:r>
          </w:p>
        </w:tc>
        <w:tc>
          <w:tcPr>
            <w:tcW w:w="189" w:type="pct"/>
            <w:tcBorders>
              <w:top w:val="nil"/>
              <w:left w:val="nil"/>
              <w:bottom w:val="single" w:sz="8" w:space="0" w:color="auto"/>
              <w:right w:val="single" w:sz="8" w:space="0" w:color="auto"/>
            </w:tcBorders>
            <w:shd w:val="clear" w:color="000000" w:fill="BFBFBF"/>
            <w:vAlign w:val="center"/>
            <w:hideMark/>
          </w:tcPr>
          <w:p w14:paraId="67445068" w14:textId="77777777" w:rsidR="0048516D" w:rsidRPr="00E2177A" w:rsidRDefault="0048516D" w:rsidP="0048516D">
            <w:pPr>
              <w:jc w:val="both"/>
              <w:rPr>
                <w:rFonts w:ascii="Verdana" w:hAnsi="Verdana"/>
                <w:i/>
                <w:iCs/>
                <w:sz w:val="14"/>
                <w:szCs w:val="14"/>
                <w:lang w:val="es-CO"/>
              </w:rPr>
            </w:pPr>
            <w:r w:rsidRPr="00E2177A">
              <w:rPr>
                <w:rFonts w:ascii="Verdana" w:hAnsi="Verdana"/>
                <w:i/>
                <w:iCs/>
                <w:sz w:val="14"/>
                <w:szCs w:val="14"/>
                <w:lang w:val="es-ES_tradnl"/>
              </w:rPr>
              <w:t> </w:t>
            </w:r>
          </w:p>
        </w:tc>
        <w:tc>
          <w:tcPr>
            <w:tcW w:w="230" w:type="pct"/>
            <w:tcBorders>
              <w:top w:val="nil"/>
              <w:left w:val="nil"/>
              <w:bottom w:val="single" w:sz="8" w:space="0" w:color="auto"/>
              <w:right w:val="single" w:sz="8" w:space="0" w:color="auto"/>
            </w:tcBorders>
            <w:shd w:val="clear" w:color="000000" w:fill="BFBFBF"/>
            <w:vAlign w:val="center"/>
            <w:hideMark/>
          </w:tcPr>
          <w:p w14:paraId="42CD9174" w14:textId="77777777" w:rsidR="0048516D" w:rsidRPr="00E2177A" w:rsidRDefault="0048516D" w:rsidP="0048516D">
            <w:pPr>
              <w:jc w:val="both"/>
              <w:rPr>
                <w:rFonts w:ascii="Verdana" w:hAnsi="Verdana"/>
                <w:b/>
                <w:bCs/>
                <w:i/>
                <w:iCs/>
                <w:sz w:val="14"/>
                <w:szCs w:val="14"/>
                <w:lang w:val="es-CO"/>
              </w:rPr>
            </w:pPr>
            <w:r w:rsidRPr="00E2177A">
              <w:rPr>
                <w:rFonts w:ascii="Verdana" w:hAnsi="Verdana"/>
                <w:b/>
                <w:bCs/>
                <w:i/>
                <w:iCs/>
                <w:sz w:val="14"/>
                <w:szCs w:val="14"/>
                <w:lang w:val="es-ES_tradnl"/>
              </w:rPr>
              <w:t> </w:t>
            </w:r>
          </w:p>
        </w:tc>
      </w:tr>
    </w:tbl>
    <w:p w14:paraId="587D95B1" w14:textId="77777777" w:rsidR="0048516D" w:rsidRPr="0048516D" w:rsidRDefault="0048516D" w:rsidP="0048516D">
      <w:pPr>
        <w:jc w:val="both"/>
        <w:rPr>
          <w:rFonts w:ascii="Verdana" w:hAnsi="Verdana"/>
          <w:i/>
          <w:iCs/>
          <w:sz w:val="16"/>
          <w:szCs w:val="16"/>
          <w:lang w:val="es-ES_tradnl"/>
        </w:rPr>
      </w:pPr>
      <w:r w:rsidRPr="0048516D">
        <w:rPr>
          <w:rFonts w:ascii="Verdana" w:hAnsi="Verdana"/>
          <w:b/>
          <w:bCs/>
          <w:i/>
          <w:iCs/>
          <w:sz w:val="16"/>
          <w:szCs w:val="16"/>
          <w:lang w:val="es-ES_tradnl"/>
        </w:rPr>
        <w:t>Nota:</w:t>
      </w:r>
      <w:r w:rsidRPr="0048516D">
        <w:rPr>
          <w:rFonts w:ascii="Verdana" w:hAnsi="Verdana"/>
          <w:i/>
          <w:iCs/>
          <w:sz w:val="16"/>
          <w:szCs w:val="16"/>
          <w:lang w:val="es-ES_tradnl"/>
        </w:rPr>
        <w:t xml:space="preserve"> Los anteriores datos, se calcularon de la siguiente forma: i) para los procesos que no surtieron modificaciones en sus polígonos, las áreas se tomaron último dato reportado en el shapefile, ii) para los procesos que presentaron modificación en el polígono, se tomó el último dato reportado en el shapefile (Cálculo en Magna Sirgas Origen </w:t>
      </w:r>
      <w:proofErr w:type="gramStart"/>
      <w:r w:rsidRPr="0048516D">
        <w:rPr>
          <w:rFonts w:ascii="Verdana" w:hAnsi="Verdana"/>
          <w:i/>
          <w:iCs/>
          <w:sz w:val="16"/>
          <w:szCs w:val="16"/>
          <w:lang w:val="es-ES_tradnl"/>
        </w:rPr>
        <w:t>Nacional)  por</w:t>
      </w:r>
      <w:proofErr w:type="gramEnd"/>
      <w:r w:rsidRPr="0048516D">
        <w:rPr>
          <w:rFonts w:ascii="Verdana" w:hAnsi="Verdana"/>
          <w:i/>
          <w:iCs/>
          <w:sz w:val="16"/>
          <w:szCs w:val="16"/>
          <w:lang w:val="es-ES_tradnl"/>
        </w:rPr>
        <w:t xml:space="preserve"> la Corporación atendiendo a los avances en el marco de la Ruta para la declaratoria de áreas protegidas.</w:t>
      </w:r>
    </w:p>
    <w:p w14:paraId="64E481F6" w14:textId="77777777" w:rsidR="0048516D" w:rsidRPr="0048516D" w:rsidRDefault="0048516D" w:rsidP="0048516D">
      <w:pPr>
        <w:jc w:val="both"/>
        <w:rPr>
          <w:rFonts w:ascii="Verdana" w:hAnsi="Verdana"/>
          <w:i/>
          <w:iCs/>
          <w:sz w:val="22"/>
          <w:szCs w:val="22"/>
          <w:lang w:val="es-ES_tradnl"/>
        </w:rPr>
      </w:pPr>
    </w:p>
    <w:p w14:paraId="2D5AB254" w14:textId="1496DF86" w:rsidR="0048516D" w:rsidRPr="0048516D" w:rsidRDefault="0048516D" w:rsidP="0048516D">
      <w:pPr>
        <w:jc w:val="both"/>
        <w:rPr>
          <w:rFonts w:ascii="Verdana" w:hAnsi="Verdana"/>
          <w:i/>
          <w:iCs/>
          <w:sz w:val="22"/>
          <w:szCs w:val="22"/>
          <w:lang w:val="es-ES_tradnl"/>
        </w:rPr>
      </w:pPr>
      <w:bookmarkStart w:id="5" w:name="_Hlk147387773"/>
      <w:bookmarkEnd w:id="4"/>
      <w:r w:rsidRPr="0048516D">
        <w:rPr>
          <w:rFonts w:ascii="Verdana" w:hAnsi="Verdana"/>
          <w:i/>
          <w:iCs/>
          <w:sz w:val="22"/>
          <w:szCs w:val="22"/>
          <w:lang w:val="es-ES_tradnl"/>
        </w:rPr>
        <w:t>Teniendo en cuenta lo expuesto en la tabla que antecede, se precisa que respecto a las áreas ya declaradas se tiene la siguiente información (</w:t>
      </w:r>
      <w:r w:rsidRPr="0048516D">
        <w:rPr>
          <w:rFonts w:ascii="Verdana" w:hAnsi="Verdana"/>
          <w:i/>
          <w:iCs/>
          <w:sz w:val="22"/>
          <w:szCs w:val="22"/>
          <w:lang w:val="es-ES_tradnl"/>
        </w:rPr>
        <w:fldChar w:fldCharType="begin"/>
      </w:r>
      <w:r w:rsidRPr="0048516D">
        <w:rPr>
          <w:rFonts w:ascii="Verdana" w:hAnsi="Verdana"/>
          <w:i/>
          <w:iCs/>
          <w:sz w:val="22"/>
          <w:szCs w:val="22"/>
          <w:lang w:val="es-ES_tradnl"/>
        </w:rPr>
        <w:instrText xml:space="preserve"> REF _Ref82430671 \h  \* MERGEFORMAT </w:instrText>
      </w:r>
      <w:r w:rsidRPr="0048516D">
        <w:rPr>
          <w:rFonts w:ascii="Verdana" w:hAnsi="Verdana"/>
          <w:i/>
          <w:iCs/>
          <w:sz w:val="22"/>
          <w:szCs w:val="22"/>
          <w:lang w:val="es-ES_tradnl"/>
        </w:rPr>
      </w:r>
      <w:r w:rsidRPr="0048516D">
        <w:rPr>
          <w:rFonts w:ascii="Verdana" w:hAnsi="Verdana"/>
          <w:i/>
          <w:iCs/>
          <w:sz w:val="22"/>
          <w:szCs w:val="22"/>
          <w:lang w:val="es-ES_tradnl"/>
        </w:rPr>
        <w:fldChar w:fldCharType="separate"/>
      </w:r>
      <w:r w:rsidR="001F2062" w:rsidRPr="0048516D">
        <w:rPr>
          <w:rFonts w:ascii="Verdana" w:hAnsi="Verdana"/>
          <w:i/>
          <w:iCs/>
          <w:sz w:val="22"/>
          <w:szCs w:val="22"/>
          <w:lang w:val="es-ES_tradnl"/>
        </w:rPr>
        <w:t xml:space="preserve">Tabla </w:t>
      </w:r>
      <w:r w:rsidR="001F2062">
        <w:rPr>
          <w:rFonts w:ascii="Verdana" w:hAnsi="Verdana"/>
          <w:i/>
          <w:iCs/>
          <w:sz w:val="22"/>
          <w:szCs w:val="22"/>
          <w:lang w:val="es-ES_tradnl"/>
        </w:rPr>
        <w:t>2</w:t>
      </w:r>
      <w:r w:rsidRPr="0048516D">
        <w:rPr>
          <w:rFonts w:ascii="Verdana" w:hAnsi="Verdana"/>
          <w:i/>
          <w:iCs/>
          <w:sz w:val="22"/>
          <w:szCs w:val="22"/>
          <w:lang w:val="es-ES_tradnl"/>
        </w:rPr>
        <w:fldChar w:fldCharType="end"/>
      </w:r>
      <w:r w:rsidRPr="0048516D">
        <w:rPr>
          <w:rFonts w:ascii="Verdana" w:hAnsi="Verdana"/>
          <w:i/>
          <w:iCs/>
          <w:sz w:val="22"/>
          <w:szCs w:val="22"/>
          <w:lang w:val="es-ES_tradnl"/>
        </w:rPr>
        <w:t>).</w:t>
      </w:r>
    </w:p>
    <w:p w14:paraId="0B7812F1" w14:textId="77777777" w:rsidR="0048516D" w:rsidRPr="0048516D" w:rsidRDefault="0048516D" w:rsidP="0048516D">
      <w:pPr>
        <w:jc w:val="both"/>
        <w:rPr>
          <w:rFonts w:ascii="Verdana" w:hAnsi="Verdana"/>
          <w:i/>
          <w:iCs/>
          <w:sz w:val="22"/>
          <w:szCs w:val="22"/>
          <w:lang w:val="es-ES_tradnl"/>
        </w:rPr>
      </w:pPr>
    </w:p>
    <w:p w14:paraId="187B5389" w14:textId="716A70A5" w:rsidR="0048516D" w:rsidRPr="0048516D" w:rsidRDefault="0048516D" w:rsidP="0048516D">
      <w:pPr>
        <w:jc w:val="center"/>
        <w:rPr>
          <w:rFonts w:ascii="Verdana" w:hAnsi="Verdana"/>
          <w:i/>
          <w:iCs/>
          <w:sz w:val="22"/>
          <w:szCs w:val="22"/>
          <w:lang w:val="es-ES_tradnl"/>
        </w:rPr>
      </w:pPr>
      <w:bookmarkStart w:id="6" w:name="_Ref82430671"/>
      <w:r w:rsidRPr="0048516D">
        <w:rPr>
          <w:rFonts w:ascii="Verdana" w:hAnsi="Verdana"/>
          <w:i/>
          <w:iCs/>
          <w:sz w:val="22"/>
          <w:szCs w:val="22"/>
          <w:lang w:val="es-ES_tradnl"/>
        </w:rPr>
        <w:t xml:space="preserve">Tabla </w:t>
      </w:r>
      <w:r w:rsidRPr="0048516D">
        <w:rPr>
          <w:rFonts w:ascii="Verdana" w:hAnsi="Verdana"/>
          <w:i/>
          <w:iCs/>
          <w:sz w:val="22"/>
          <w:szCs w:val="22"/>
          <w:lang w:val="es-ES_tradnl"/>
        </w:rPr>
        <w:fldChar w:fldCharType="begin"/>
      </w:r>
      <w:r w:rsidRPr="0048516D">
        <w:rPr>
          <w:rFonts w:ascii="Verdana" w:hAnsi="Verdana"/>
          <w:i/>
          <w:iCs/>
          <w:sz w:val="22"/>
          <w:szCs w:val="22"/>
          <w:lang w:val="es-ES_tradnl"/>
        </w:rPr>
        <w:instrText xml:space="preserve"> SEQ Tabla \* ARABIC </w:instrText>
      </w:r>
      <w:r w:rsidRPr="0048516D">
        <w:rPr>
          <w:rFonts w:ascii="Verdana" w:hAnsi="Verdana"/>
          <w:i/>
          <w:iCs/>
          <w:sz w:val="22"/>
          <w:szCs w:val="22"/>
          <w:lang w:val="es-ES_tradnl"/>
        </w:rPr>
        <w:fldChar w:fldCharType="separate"/>
      </w:r>
      <w:r w:rsidR="001F2062">
        <w:rPr>
          <w:rFonts w:ascii="Verdana" w:hAnsi="Verdana"/>
          <w:i/>
          <w:iCs/>
          <w:noProof/>
          <w:sz w:val="22"/>
          <w:szCs w:val="22"/>
          <w:lang w:val="es-ES_tradnl"/>
        </w:rPr>
        <w:t>2</w:t>
      </w:r>
      <w:r w:rsidRPr="0048516D">
        <w:rPr>
          <w:rFonts w:ascii="Verdana" w:hAnsi="Verdana"/>
          <w:i/>
          <w:iCs/>
          <w:sz w:val="22"/>
          <w:szCs w:val="22"/>
          <w:lang w:val="es-ES_tradnl"/>
        </w:rPr>
        <w:fldChar w:fldCharType="end"/>
      </w:r>
      <w:bookmarkEnd w:id="6"/>
      <w:r w:rsidRPr="0048516D">
        <w:rPr>
          <w:rFonts w:ascii="Verdana" w:hAnsi="Verdana"/>
          <w:i/>
          <w:iCs/>
          <w:sz w:val="22"/>
          <w:szCs w:val="22"/>
          <w:lang w:val="es-ES_tradnl"/>
        </w:rPr>
        <w:t>. Información de las áreas ya declaradas</w:t>
      </w:r>
    </w:p>
    <w:tbl>
      <w:tblPr>
        <w:tblW w:w="5000" w:type="pct"/>
        <w:jc w:val="center"/>
        <w:tblLook w:val="06A0" w:firstRow="1" w:lastRow="0" w:firstColumn="1" w:lastColumn="0" w:noHBand="1" w:noVBand="1"/>
      </w:tblPr>
      <w:tblGrid>
        <w:gridCol w:w="910"/>
        <w:gridCol w:w="1252"/>
        <w:gridCol w:w="2110"/>
        <w:gridCol w:w="2021"/>
        <w:gridCol w:w="1611"/>
        <w:gridCol w:w="1300"/>
      </w:tblGrid>
      <w:tr w:rsidR="00B966C6" w:rsidRPr="0048516D" w14:paraId="3D8641BF" w14:textId="77777777" w:rsidTr="00B92E27">
        <w:trPr>
          <w:trHeight w:val="300"/>
          <w:jc w:val="center"/>
        </w:trPr>
        <w:tc>
          <w:tcPr>
            <w:tcW w:w="461" w:type="pct"/>
            <w:tcBorders>
              <w:top w:val="single" w:sz="4" w:space="0" w:color="auto"/>
              <w:left w:val="single" w:sz="4" w:space="0" w:color="auto"/>
              <w:bottom w:val="single" w:sz="4" w:space="0" w:color="auto"/>
              <w:right w:val="single" w:sz="4" w:space="0" w:color="auto"/>
            </w:tcBorders>
            <w:shd w:val="clear" w:color="auto" w:fill="BFBFBF" w:themeFill="background1" w:themeFillShade="BF"/>
            <w:tcMar>
              <w:top w:w="15" w:type="dxa"/>
              <w:left w:w="15" w:type="dxa"/>
              <w:right w:w="15" w:type="dxa"/>
            </w:tcMar>
            <w:vAlign w:val="center"/>
          </w:tcPr>
          <w:p w14:paraId="4E407A26" w14:textId="77777777" w:rsidR="0048516D" w:rsidRPr="0048516D" w:rsidRDefault="0048516D" w:rsidP="0048516D">
            <w:pPr>
              <w:jc w:val="both"/>
              <w:rPr>
                <w:rFonts w:ascii="Verdana" w:hAnsi="Verdana"/>
                <w:b/>
                <w:bCs/>
                <w:i/>
                <w:iCs/>
                <w:sz w:val="18"/>
                <w:szCs w:val="18"/>
                <w:lang w:val="es-ES_tradnl"/>
              </w:rPr>
            </w:pPr>
            <w:r w:rsidRPr="0048516D">
              <w:rPr>
                <w:rFonts w:ascii="Verdana" w:hAnsi="Verdana"/>
                <w:b/>
                <w:bCs/>
                <w:i/>
                <w:iCs/>
                <w:sz w:val="18"/>
                <w:szCs w:val="18"/>
                <w:lang w:val="es-ES_tradnl"/>
              </w:rPr>
              <w:t>N° Polígono</w:t>
            </w:r>
          </w:p>
        </w:tc>
        <w:tc>
          <w:tcPr>
            <w:tcW w:w="514" w:type="pct"/>
            <w:tcBorders>
              <w:top w:val="single" w:sz="4" w:space="0" w:color="auto"/>
              <w:left w:val="single" w:sz="4" w:space="0" w:color="auto"/>
              <w:bottom w:val="single" w:sz="4" w:space="0" w:color="auto"/>
              <w:right w:val="single" w:sz="4" w:space="0" w:color="auto"/>
            </w:tcBorders>
            <w:shd w:val="clear" w:color="auto" w:fill="BFBFBF" w:themeFill="background1" w:themeFillShade="BF"/>
            <w:tcMar>
              <w:top w:w="15" w:type="dxa"/>
              <w:left w:w="15" w:type="dxa"/>
              <w:right w:w="15" w:type="dxa"/>
            </w:tcMar>
            <w:vAlign w:val="center"/>
          </w:tcPr>
          <w:p w14:paraId="1A9AD34E" w14:textId="77777777" w:rsidR="0048516D" w:rsidRPr="0048516D" w:rsidRDefault="0048516D" w:rsidP="0048516D">
            <w:pPr>
              <w:jc w:val="both"/>
              <w:rPr>
                <w:rFonts w:ascii="Verdana" w:hAnsi="Verdana"/>
                <w:i/>
                <w:iCs/>
                <w:sz w:val="18"/>
                <w:szCs w:val="18"/>
                <w:lang w:val="es-ES_tradnl"/>
              </w:rPr>
            </w:pPr>
            <w:r w:rsidRPr="0048516D">
              <w:rPr>
                <w:rFonts w:ascii="Verdana" w:hAnsi="Verdana"/>
                <w:b/>
                <w:bCs/>
                <w:i/>
                <w:iCs/>
                <w:sz w:val="18"/>
                <w:szCs w:val="18"/>
                <w:lang w:val="es-ES_tradnl"/>
              </w:rPr>
              <w:t>Corporación</w:t>
            </w:r>
          </w:p>
        </w:tc>
        <w:tc>
          <w:tcPr>
            <w:tcW w:w="1196" w:type="pct"/>
            <w:tcBorders>
              <w:top w:val="single" w:sz="4" w:space="0" w:color="auto"/>
              <w:left w:val="single" w:sz="4" w:space="0" w:color="auto"/>
              <w:bottom w:val="single" w:sz="4" w:space="0" w:color="auto"/>
              <w:right w:val="single" w:sz="4" w:space="0" w:color="auto"/>
            </w:tcBorders>
            <w:shd w:val="clear" w:color="auto" w:fill="BFBFBF" w:themeFill="background1" w:themeFillShade="BF"/>
            <w:tcMar>
              <w:top w:w="15" w:type="dxa"/>
              <w:left w:w="15" w:type="dxa"/>
              <w:right w:w="15" w:type="dxa"/>
            </w:tcMar>
            <w:vAlign w:val="center"/>
          </w:tcPr>
          <w:p w14:paraId="40A92676" w14:textId="77777777" w:rsidR="0048516D" w:rsidRPr="0048516D" w:rsidRDefault="0048516D" w:rsidP="0048516D">
            <w:pPr>
              <w:jc w:val="both"/>
              <w:rPr>
                <w:rFonts w:ascii="Verdana" w:hAnsi="Verdana"/>
                <w:i/>
                <w:iCs/>
                <w:sz w:val="18"/>
                <w:szCs w:val="18"/>
                <w:lang w:val="es-ES_tradnl"/>
              </w:rPr>
            </w:pPr>
            <w:r w:rsidRPr="0048516D">
              <w:rPr>
                <w:rFonts w:ascii="Verdana" w:hAnsi="Verdana"/>
                <w:b/>
                <w:bCs/>
                <w:i/>
                <w:iCs/>
                <w:sz w:val="18"/>
                <w:szCs w:val="18"/>
                <w:lang w:val="es-ES_tradnl"/>
              </w:rPr>
              <w:t>Nombre del área protegida</w:t>
            </w:r>
          </w:p>
        </w:tc>
        <w:tc>
          <w:tcPr>
            <w:tcW w:w="1148" w:type="pct"/>
            <w:tcBorders>
              <w:top w:val="single" w:sz="4" w:space="0" w:color="auto"/>
              <w:left w:val="single" w:sz="4" w:space="0" w:color="auto"/>
              <w:bottom w:val="single" w:sz="4" w:space="0" w:color="auto"/>
              <w:right w:val="single" w:sz="4" w:space="0" w:color="auto"/>
            </w:tcBorders>
            <w:shd w:val="clear" w:color="auto" w:fill="BFBFBF" w:themeFill="background1" w:themeFillShade="BF"/>
            <w:tcMar>
              <w:top w:w="15" w:type="dxa"/>
              <w:left w:w="15" w:type="dxa"/>
              <w:right w:w="15" w:type="dxa"/>
            </w:tcMar>
            <w:vAlign w:val="center"/>
          </w:tcPr>
          <w:p w14:paraId="34354F84" w14:textId="77777777" w:rsidR="0048516D" w:rsidRPr="0048516D" w:rsidRDefault="0048516D" w:rsidP="0048516D">
            <w:pPr>
              <w:jc w:val="both"/>
              <w:rPr>
                <w:rFonts w:ascii="Verdana" w:hAnsi="Verdana"/>
                <w:i/>
                <w:iCs/>
                <w:sz w:val="18"/>
                <w:szCs w:val="18"/>
                <w:lang w:val="es-ES_tradnl"/>
              </w:rPr>
            </w:pPr>
            <w:r w:rsidRPr="0048516D">
              <w:rPr>
                <w:rFonts w:ascii="Verdana" w:hAnsi="Verdana"/>
                <w:b/>
                <w:bCs/>
                <w:i/>
                <w:iCs/>
                <w:sz w:val="18"/>
                <w:szCs w:val="18"/>
                <w:lang w:val="es-ES_tradnl"/>
              </w:rPr>
              <w:t>Categoría</w:t>
            </w:r>
          </w:p>
        </w:tc>
        <w:tc>
          <w:tcPr>
            <w:tcW w:w="925" w:type="pct"/>
            <w:tcBorders>
              <w:top w:val="single" w:sz="4" w:space="0" w:color="auto"/>
              <w:left w:val="single" w:sz="4" w:space="0" w:color="auto"/>
              <w:bottom w:val="single" w:sz="4" w:space="0" w:color="auto"/>
              <w:right w:val="single" w:sz="4" w:space="0" w:color="auto"/>
            </w:tcBorders>
            <w:shd w:val="clear" w:color="auto" w:fill="BFBFBF" w:themeFill="background1" w:themeFillShade="BF"/>
            <w:tcMar>
              <w:top w:w="15" w:type="dxa"/>
              <w:left w:w="15" w:type="dxa"/>
              <w:right w:w="15" w:type="dxa"/>
            </w:tcMar>
            <w:vAlign w:val="center"/>
          </w:tcPr>
          <w:p w14:paraId="7C383BD6" w14:textId="77777777" w:rsidR="0048516D" w:rsidRPr="0048516D" w:rsidRDefault="0048516D" w:rsidP="0048516D">
            <w:pPr>
              <w:jc w:val="both"/>
              <w:rPr>
                <w:rFonts w:ascii="Verdana" w:hAnsi="Verdana"/>
                <w:i/>
                <w:iCs/>
                <w:sz w:val="18"/>
                <w:szCs w:val="18"/>
                <w:lang w:val="es-ES_tradnl"/>
              </w:rPr>
            </w:pPr>
            <w:r w:rsidRPr="0048516D">
              <w:rPr>
                <w:rFonts w:ascii="Verdana" w:hAnsi="Verdana"/>
                <w:b/>
                <w:bCs/>
                <w:i/>
                <w:iCs/>
                <w:sz w:val="18"/>
                <w:szCs w:val="18"/>
                <w:lang w:val="es-ES_tradnl"/>
              </w:rPr>
              <w:t>Información de declaratoria</w:t>
            </w:r>
          </w:p>
        </w:tc>
        <w:tc>
          <w:tcPr>
            <w:tcW w:w="756" w:type="pct"/>
            <w:tcBorders>
              <w:top w:val="single" w:sz="4" w:space="0" w:color="auto"/>
              <w:left w:val="single" w:sz="4" w:space="0" w:color="auto"/>
              <w:bottom w:val="single" w:sz="4" w:space="0" w:color="auto"/>
              <w:right w:val="single" w:sz="4" w:space="0" w:color="auto"/>
            </w:tcBorders>
            <w:shd w:val="clear" w:color="auto" w:fill="BFBFBF" w:themeFill="background1" w:themeFillShade="BF"/>
            <w:tcMar>
              <w:top w:w="15" w:type="dxa"/>
              <w:left w:w="15" w:type="dxa"/>
              <w:right w:w="15" w:type="dxa"/>
            </w:tcMar>
            <w:vAlign w:val="center"/>
          </w:tcPr>
          <w:p w14:paraId="145C8C7D" w14:textId="77777777" w:rsidR="0048516D" w:rsidRPr="0048516D" w:rsidRDefault="0048516D" w:rsidP="0048516D">
            <w:pPr>
              <w:jc w:val="both"/>
              <w:rPr>
                <w:rFonts w:ascii="Verdana" w:hAnsi="Verdana"/>
                <w:i/>
                <w:iCs/>
                <w:sz w:val="18"/>
                <w:szCs w:val="18"/>
                <w:lang w:val="es-ES_tradnl"/>
              </w:rPr>
            </w:pPr>
            <w:r w:rsidRPr="0048516D">
              <w:rPr>
                <w:rFonts w:ascii="Verdana" w:hAnsi="Verdana"/>
                <w:b/>
                <w:bCs/>
                <w:i/>
                <w:iCs/>
                <w:sz w:val="18"/>
                <w:szCs w:val="18"/>
                <w:lang w:val="es-ES_tradnl"/>
              </w:rPr>
              <w:t>Registrada en RUNAP</w:t>
            </w:r>
          </w:p>
        </w:tc>
      </w:tr>
      <w:tr w:rsidR="0048516D" w:rsidRPr="0048516D" w14:paraId="5E17F67B" w14:textId="77777777" w:rsidTr="00B92E27">
        <w:trPr>
          <w:trHeight w:val="300"/>
          <w:jc w:val="center"/>
        </w:trPr>
        <w:tc>
          <w:tcPr>
            <w:tcW w:w="461" w:type="pct"/>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629507EA" w14:textId="77777777" w:rsidR="0048516D" w:rsidRPr="0048516D" w:rsidRDefault="0048516D" w:rsidP="0048516D">
            <w:pPr>
              <w:jc w:val="both"/>
              <w:rPr>
                <w:rFonts w:ascii="Verdana" w:hAnsi="Verdana"/>
                <w:i/>
                <w:iCs/>
                <w:sz w:val="18"/>
                <w:szCs w:val="18"/>
                <w:lang w:val="es-ES_tradnl"/>
              </w:rPr>
            </w:pPr>
            <w:r w:rsidRPr="0048516D">
              <w:rPr>
                <w:rFonts w:ascii="Verdana" w:hAnsi="Verdana"/>
                <w:i/>
                <w:iCs/>
                <w:sz w:val="18"/>
                <w:szCs w:val="18"/>
                <w:lang w:val="es-ES_tradnl"/>
              </w:rPr>
              <w:t>46</w:t>
            </w:r>
          </w:p>
        </w:tc>
        <w:tc>
          <w:tcPr>
            <w:tcW w:w="514" w:type="pct"/>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0A5D7972" w14:textId="77777777" w:rsidR="0048516D" w:rsidRPr="0048516D" w:rsidRDefault="0048516D" w:rsidP="0048516D">
            <w:pPr>
              <w:jc w:val="both"/>
              <w:rPr>
                <w:rFonts w:ascii="Verdana" w:hAnsi="Verdana"/>
                <w:i/>
                <w:iCs/>
                <w:sz w:val="18"/>
                <w:szCs w:val="18"/>
                <w:lang w:val="es-ES_tradnl"/>
              </w:rPr>
            </w:pPr>
            <w:r w:rsidRPr="0048516D">
              <w:rPr>
                <w:rFonts w:ascii="Verdana" w:hAnsi="Verdana"/>
                <w:i/>
                <w:iCs/>
                <w:sz w:val="18"/>
                <w:szCs w:val="18"/>
                <w:lang w:val="es-ES_tradnl"/>
              </w:rPr>
              <w:t>CDMB</w:t>
            </w:r>
          </w:p>
        </w:tc>
        <w:tc>
          <w:tcPr>
            <w:tcW w:w="1196" w:type="pct"/>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3F08D14C" w14:textId="77777777" w:rsidR="0048516D" w:rsidRPr="0048516D" w:rsidRDefault="0048516D" w:rsidP="0048516D">
            <w:pPr>
              <w:jc w:val="both"/>
              <w:rPr>
                <w:rFonts w:ascii="Verdana" w:hAnsi="Verdana"/>
                <w:i/>
                <w:iCs/>
                <w:sz w:val="18"/>
                <w:szCs w:val="18"/>
                <w:lang w:val="es-ES_tradnl"/>
              </w:rPr>
            </w:pPr>
            <w:r w:rsidRPr="0048516D">
              <w:rPr>
                <w:rFonts w:ascii="Verdana" w:hAnsi="Verdana"/>
                <w:i/>
                <w:iCs/>
                <w:sz w:val="18"/>
                <w:szCs w:val="18"/>
                <w:lang w:val="es-ES_tradnl"/>
              </w:rPr>
              <w:t>Umpalá - Cañón Río Chicamocha</w:t>
            </w:r>
          </w:p>
        </w:tc>
        <w:tc>
          <w:tcPr>
            <w:tcW w:w="1148" w:type="pct"/>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50522401" w14:textId="77777777" w:rsidR="0048516D" w:rsidRPr="0048516D" w:rsidRDefault="0048516D" w:rsidP="0048516D">
            <w:pPr>
              <w:jc w:val="both"/>
              <w:rPr>
                <w:rFonts w:ascii="Verdana" w:hAnsi="Verdana"/>
                <w:i/>
                <w:iCs/>
                <w:sz w:val="18"/>
                <w:szCs w:val="18"/>
                <w:lang w:val="es-ES_tradnl"/>
              </w:rPr>
            </w:pPr>
            <w:r w:rsidRPr="0048516D">
              <w:rPr>
                <w:rFonts w:ascii="Verdana" w:hAnsi="Verdana"/>
                <w:i/>
                <w:iCs/>
                <w:sz w:val="18"/>
                <w:szCs w:val="18"/>
                <w:lang w:val="es-ES_tradnl"/>
              </w:rPr>
              <w:t>Distrito de Conservación de Suelos</w:t>
            </w:r>
          </w:p>
        </w:tc>
        <w:tc>
          <w:tcPr>
            <w:tcW w:w="925" w:type="pct"/>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7A3C1A91" w14:textId="77777777" w:rsidR="0048516D" w:rsidRPr="0048516D" w:rsidRDefault="0048516D" w:rsidP="0048516D">
            <w:pPr>
              <w:jc w:val="both"/>
              <w:rPr>
                <w:rFonts w:ascii="Verdana" w:hAnsi="Verdana"/>
                <w:i/>
                <w:iCs/>
                <w:sz w:val="18"/>
                <w:szCs w:val="18"/>
                <w:lang w:val="es-ES_tradnl"/>
              </w:rPr>
            </w:pPr>
            <w:r w:rsidRPr="0048516D">
              <w:rPr>
                <w:rFonts w:ascii="Verdana" w:hAnsi="Verdana"/>
                <w:i/>
                <w:iCs/>
                <w:sz w:val="18"/>
                <w:szCs w:val="18"/>
                <w:lang w:val="es-ES_tradnl"/>
              </w:rPr>
              <w:t>Acuerdo 1431 /2022</w:t>
            </w:r>
          </w:p>
        </w:tc>
        <w:tc>
          <w:tcPr>
            <w:tcW w:w="756" w:type="pct"/>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6ED43591" w14:textId="77777777" w:rsidR="0048516D" w:rsidRPr="0048516D" w:rsidRDefault="0048516D" w:rsidP="0048516D">
            <w:pPr>
              <w:jc w:val="both"/>
              <w:rPr>
                <w:rFonts w:ascii="Verdana" w:hAnsi="Verdana"/>
                <w:i/>
                <w:iCs/>
                <w:sz w:val="18"/>
                <w:szCs w:val="18"/>
                <w:lang w:val="es-ES_tradnl"/>
              </w:rPr>
            </w:pPr>
            <w:r w:rsidRPr="0048516D">
              <w:rPr>
                <w:rFonts w:ascii="Verdana" w:hAnsi="Verdana"/>
                <w:i/>
                <w:iCs/>
                <w:sz w:val="18"/>
                <w:szCs w:val="18"/>
                <w:lang w:val="es-ES_tradnl"/>
              </w:rPr>
              <w:t>SI</w:t>
            </w:r>
          </w:p>
        </w:tc>
      </w:tr>
      <w:tr w:rsidR="0048516D" w:rsidRPr="0048516D" w14:paraId="50CE638E" w14:textId="77777777" w:rsidTr="00B92E27">
        <w:trPr>
          <w:trHeight w:val="300"/>
          <w:jc w:val="center"/>
        </w:trPr>
        <w:tc>
          <w:tcPr>
            <w:tcW w:w="461" w:type="pct"/>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5857C1CC" w14:textId="77777777" w:rsidR="0048516D" w:rsidRPr="0048516D" w:rsidRDefault="0048516D" w:rsidP="0048516D">
            <w:pPr>
              <w:jc w:val="both"/>
              <w:rPr>
                <w:rFonts w:ascii="Verdana" w:hAnsi="Verdana"/>
                <w:i/>
                <w:iCs/>
                <w:sz w:val="18"/>
                <w:szCs w:val="18"/>
                <w:lang w:val="es-ES_tradnl"/>
              </w:rPr>
            </w:pPr>
            <w:r w:rsidRPr="0048516D">
              <w:rPr>
                <w:rFonts w:ascii="Verdana" w:hAnsi="Verdana"/>
                <w:i/>
                <w:iCs/>
                <w:sz w:val="18"/>
                <w:szCs w:val="18"/>
                <w:lang w:val="es-ES_tradnl"/>
              </w:rPr>
              <w:t>48a</w:t>
            </w:r>
          </w:p>
        </w:tc>
        <w:tc>
          <w:tcPr>
            <w:tcW w:w="514" w:type="pct"/>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39B28547" w14:textId="77777777" w:rsidR="0048516D" w:rsidRPr="0048516D" w:rsidRDefault="0048516D" w:rsidP="0048516D">
            <w:pPr>
              <w:jc w:val="both"/>
              <w:rPr>
                <w:rFonts w:ascii="Verdana" w:hAnsi="Verdana"/>
                <w:i/>
                <w:iCs/>
                <w:sz w:val="18"/>
                <w:szCs w:val="18"/>
                <w:lang w:val="es-ES_tradnl"/>
              </w:rPr>
            </w:pPr>
            <w:r w:rsidRPr="0048516D">
              <w:rPr>
                <w:rFonts w:ascii="Verdana" w:hAnsi="Verdana"/>
                <w:i/>
                <w:iCs/>
                <w:sz w:val="18"/>
                <w:szCs w:val="18"/>
                <w:lang w:val="es-ES_tradnl"/>
              </w:rPr>
              <w:t>CDMB</w:t>
            </w:r>
          </w:p>
        </w:tc>
        <w:tc>
          <w:tcPr>
            <w:tcW w:w="1196" w:type="pct"/>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10AFCA4A" w14:textId="77777777" w:rsidR="0048516D" w:rsidRPr="0048516D" w:rsidRDefault="0048516D" w:rsidP="0048516D">
            <w:pPr>
              <w:jc w:val="both"/>
              <w:rPr>
                <w:rFonts w:ascii="Verdana" w:hAnsi="Verdana"/>
                <w:i/>
                <w:iCs/>
                <w:sz w:val="18"/>
                <w:szCs w:val="18"/>
                <w:lang w:val="es-ES_tradnl"/>
              </w:rPr>
            </w:pPr>
            <w:r w:rsidRPr="0048516D">
              <w:rPr>
                <w:rFonts w:ascii="Verdana" w:hAnsi="Verdana"/>
                <w:i/>
                <w:iCs/>
                <w:sz w:val="18"/>
                <w:szCs w:val="18"/>
                <w:lang w:val="es-ES_tradnl"/>
              </w:rPr>
              <w:t>Honduras</w:t>
            </w:r>
          </w:p>
        </w:tc>
        <w:tc>
          <w:tcPr>
            <w:tcW w:w="1148" w:type="pct"/>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42F03606" w14:textId="77777777" w:rsidR="0048516D" w:rsidRPr="0048516D" w:rsidRDefault="0048516D" w:rsidP="0048516D">
            <w:pPr>
              <w:jc w:val="both"/>
              <w:rPr>
                <w:rFonts w:ascii="Verdana" w:hAnsi="Verdana"/>
                <w:i/>
                <w:iCs/>
                <w:sz w:val="18"/>
                <w:szCs w:val="18"/>
                <w:lang w:val="es-ES_tradnl"/>
              </w:rPr>
            </w:pPr>
            <w:r w:rsidRPr="0048516D">
              <w:rPr>
                <w:rFonts w:ascii="Verdana" w:hAnsi="Verdana"/>
                <w:i/>
                <w:iCs/>
                <w:sz w:val="18"/>
                <w:szCs w:val="18"/>
                <w:lang w:val="es-ES_tradnl"/>
              </w:rPr>
              <w:t>Distrito Regional de Manejo Integrado</w:t>
            </w:r>
          </w:p>
        </w:tc>
        <w:tc>
          <w:tcPr>
            <w:tcW w:w="925" w:type="pct"/>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1455666A" w14:textId="77777777" w:rsidR="0048516D" w:rsidRPr="0048516D" w:rsidRDefault="0048516D" w:rsidP="0048516D">
            <w:pPr>
              <w:jc w:val="both"/>
              <w:rPr>
                <w:rFonts w:ascii="Verdana" w:hAnsi="Verdana"/>
                <w:i/>
                <w:iCs/>
                <w:sz w:val="18"/>
                <w:szCs w:val="18"/>
                <w:lang w:val="es-ES_tradnl"/>
              </w:rPr>
            </w:pPr>
            <w:r w:rsidRPr="0048516D">
              <w:rPr>
                <w:rFonts w:ascii="Verdana" w:hAnsi="Verdana"/>
                <w:i/>
                <w:iCs/>
                <w:sz w:val="18"/>
                <w:szCs w:val="18"/>
                <w:lang w:val="es-ES_tradnl"/>
              </w:rPr>
              <w:t>Acuerdo 1420 /2021</w:t>
            </w:r>
          </w:p>
        </w:tc>
        <w:tc>
          <w:tcPr>
            <w:tcW w:w="756" w:type="pct"/>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2B46A901" w14:textId="77777777" w:rsidR="0048516D" w:rsidRPr="0048516D" w:rsidRDefault="0048516D" w:rsidP="0048516D">
            <w:pPr>
              <w:jc w:val="both"/>
              <w:rPr>
                <w:rFonts w:ascii="Verdana" w:hAnsi="Verdana"/>
                <w:i/>
                <w:iCs/>
                <w:sz w:val="18"/>
                <w:szCs w:val="18"/>
                <w:lang w:val="es-ES_tradnl"/>
              </w:rPr>
            </w:pPr>
            <w:r w:rsidRPr="0048516D">
              <w:rPr>
                <w:rFonts w:ascii="Verdana" w:hAnsi="Verdana"/>
                <w:i/>
                <w:iCs/>
                <w:sz w:val="18"/>
                <w:szCs w:val="18"/>
                <w:lang w:val="es-ES_tradnl"/>
              </w:rPr>
              <w:t>SI</w:t>
            </w:r>
          </w:p>
        </w:tc>
      </w:tr>
      <w:tr w:rsidR="0048516D" w:rsidRPr="0048516D" w14:paraId="26C0AA5E" w14:textId="77777777" w:rsidTr="00B92E27">
        <w:trPr>
          <w:trHeight w:val="300"/>
          <w:jc w:val="center"/>
        </w:trPr>
        <w:tc>
          <w:tcPr>
            <w:tcW w:w="461" w:type="pct"/>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18CE1069" w14:textId="77777777" w:rsidR="0048516D" w:rsidRPr="0048516D" w:rsidRDefault="0048516D" w:rsidP="0048516D">
            <w:pPr>
              <w:jc w:val="both"/>
              <w:rPr>
                <w:rFonts w:ascii="Verdana" w:hAnsi="Verdana"/>
                <w:i/>
                <w:iCs/>
                <w:sz w:val="18"/>
                <w:szCs w:val="18"/>
                <w:lang w:val="es-ES_tradnl"/>
              </w:rPr>
            </w:pPr>
            <w:r w:rsidRPr="0048516D">
              <w:rPr>
                <w:rFonts w:ascii="Verdana" w:hAnsi="Verdana"/>
                <w:i/>
                <w:iCs/>
                <w:sz w:val="18"/>
                <w:szCs w:val="18"/>
                <w:lang w:val="es-ES_tradnl"/>
              </w:rPr>
              <w:t>48b</w:t>
            </w:r>
          </w:p>
        </w:tc>
        <w:tc>
          <w:tcPr>
            <w:tcW w:w="514" w:type="pct"/>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34584D1C" w14:textId="77777777" w:rsidR="0048516D" w:rsidRPr="0048516D" w:rsidRDefault="0048516D" w:rsidP="0048516D">
            <w:pPr>
              <w:jc w:val="both"/>
              <w:rPr>
                <w:rFonts w:ascii="Verdana" w:hAnsi="Verdana"/>
                <w:i/>
                <w:iCs/>
                <w:sz w:val="18"/>
                <w:szCs w:val="18"/>
                <w:lang w:val="es-ES_tradnl"/>
              </w:rPr>
            </w:pPr>
            <w:r w:rsidRPr="0048516D">
              <w:rPr>
                <w:rFonts w:ascii="Verdana" w:hAnsi="Verdana"/>
                <w:i/>
                <w:iCs/>
                <w:sz w:val="18"/>
                <w:szCs w:val="18"/>
                <w:lang w:val="es-ES_tradnl"/>
              </w:rPr>
              <w:t>CDMB</w:t>
            </w:r>
          </w:p>
        </w:tc>
        <w:tc>
          <w:tcPr>
            <w:tcW w:w="1196" w:type="pct"/>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3A92F128" w14:textId="77777777" w:rsidR="0048516D" w:rsidRPr="0048516D" w:rsidRDefault="0048516D" w:rsidP="0048516D">
            <w:pPr>
              <w:jc w:val="both"/>
              <w:rPr>
                <w:rFonts w:ascii="Verdana" w:hAnsi="Verdana"/>
                <w:i/>
                <w:iCs/>
                <w:sz w:val="18"/>
                <w:szCs w:val="18"/>
                <w:lang w:val="es-ES_tradnl"/>
              </w:rPr>
            </w:pPr>
            <w:r w:rsidRPr="0048516D">
              <w:rPr>
                <w:rFonts w:ascii="Verdana" w:hAnsi="Verdana"/>
                <w:i/>
                <w:iCs/>
                <w:sz w:val="18"/>
                <w:szCs w:val="18"/>
                <w:lang w:val="es-ES_tradnl"/>
              </w:rPr>
              <w:t>El Aburrido</w:t>
            </w:r>
          </w:p>
        </w:tc>
        <w:tc>
          <w:tcPr>
            <w:tcW w:w="1148" w:type="pct"/>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323A5809" w14:textId="77777777" w:rsidR="0048516D" w:rsidRPr="0048516D" w:rsidRDefault="0048516D" w:rsidP="0048516D">
            <w:pPr>
              <w:jc w:val="both"/>
              <w:rPr>
                <w:rFonts w:ascii="Verdana" w:hAnsi="Verdana"/>
                <w:i/>
                <w:iCs/>
                <w:sz w:val="18"/>
                <w:szCs w:val="18"/>
                <w:lang w:val="es-ES_tradnl"/>
              </w:rPr>
            </w:pPr>
            <w:r w:rsidRPr="0048516D">
              <w:rPr>
                <w:rFonts w:ascii="Verdana" w:hAnsi="Verdana"/>
                <w:i/>
                <w:iCs/>
                <w:sz w:val="18"/>
                <w:szCs w:val="18"/>
                <w:lang w:val="es-ES_tradnl"/>
              </w:rPr>
              <w:t>Distrito Regional de Manejo Integrado</w:t>
            </w:r>
          </w:p>
        </w:tc>
        <w:tc>
          <w:tcPr>
            <w:tcW w:w="925" w:type="pct"/>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03501635" w14:textId="77777777" w:rsidR="0048516D" w:rsidRPr="0048516D" w:rsidRDefault="0048516D" w:rsidP="0048516D">
            <w:pPr>
              <w:jc w:val="both"/>
              <w:rPr>
                <w:rFonts w:ascii="Verdana" w:hAnsi="Verdana"/>
                <w:i/>
                <w:iCs/>
                <w:sz w:val="18"/>
                <w:szCs w:val="18"/>
                <w:lang w:val="es-ES_tradnl"/>
              </w:rPr>
            </w:pPr>
            <w:r w:rsidRPr="0048516D">
              <w:rPr>
                <w:rFonts w:ascii="Verdana" w:hAnsi="Verdana"/>
                <w:i/>
                <w:iCs/>
                <w:sz w:val="18"/>
                <w:szCs w:val="18"/>
                <w:lang w:val="es-ES_tradnl"/>
              </w:rPr>
              <w:t>Acuerdo 1421 /2021</w:t>
            </w:r>
          </w:p>
        </w:tc>
        <w:tc>
          <w:tcPr>
            <w:tcW w:w="756" w:type="pct"/>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3270A6ED" w14:textId="77777777" w:rsidR="0048516D" w:rsidRPr="0048516D" w:rsidRDefault="0048516D" w:rsidP="0048516D">
            <w:pPr>
              <w:jc w:val="both"/>
              <w:rPr>
                <w:rFonts w:ascii="Verdana" w:hAnsi="Verdana"/>
                <w:i/>
                <w:iCs/>
                <w:sz w:val="18"/>
                <w:szCs w:val="18"/>
                <w:lang w:val="es-ES_tradnl"/>
              </w:rPr>
            </w:pPr>
            <w:r w:rsidRPr="0048516D">
              <w:rPr>
                <w:rFonts w:ascii="Verdana" w:hAnsi="Verdana"/>
                <w:i/>
                <w:iCs/>
                <w:sz w:val="18"/>
                <w:szCs w:val="18"/>
                <w:lang w:val="es-ES_tradnl"/>
              </w:rPr>
              <w:t>SI</w:t>
            </w:r>
          </w:p>
        </w:tc>
      </w:tr>
      <w:tr w:rsidR="0048516D" w:rsidRPr="0048516D" w14:paraId="5CFF3888" w14:textId="77777777" w:rsidTr="00B92E27">
        <w:trPr>
          <w:trHeight w:val="300"/>
          <w:jc w:val="center"/>
        </w:trPr>
        <w:tc>
          <w:tcPr>
            <w:tcW w:w="461" w:type="pct"/>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4854A194" w14:textId="77777777" w:rsidR="0048516D" w:rsidRPr="0048516D" w:rsidRDefault="0048516D" w:rsidP="0048516D">
            <w:pPr>
              <w:jc w:val="both"/>
              <w:rPr>
                <w:rFonts w:ascii="Verdana" w:hAnsi="Verdana"/>
                <w:i/>
                <w:iCs/>
                <w:sz w:val="18"/>
                <w:szCs w:val="18"/>
                <w:lang w:val="es-ES_tradnl"/>
              </w:rPr>
            </w:pPr>
            <w:r w:rsidRPr="0048516D">
              <w:rPr>
                <w:rFonts w:ascii="Verdana" w:hAnsi="Verdana"/>
                <w:i/>
                <w:iCs/>
                <w:sz w:val="18"/>
                <w:szCs w:val="18"/>
                <w:lang w:val="es-ES_tradnl"/>
              </w:rPr>
              <w:t>15</w:t>
            </w:r>
          </w:p>
        </w:tc>
        <w:tc>
          <w:tcPr>
            <w:tcW w:w="514" w:type="pct"/>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71C784E7" w14:textId="77777777" w:rsidR="0048516D" w:rsidRPr="0048516D" w:rsidRDefault="0048516D" w:rsidP="0048516D">
            <w:pPr>
              <w:jc w:val="both"/>
              <w:rPr>
                <w:rFonts w:ascii="Verdana" w:hAnsi="Verdana"/>
                <w:i/>
                <w:iCs/>
                <w:sz w:val="18"/>
                <w:szCs w:val="18"/>
                <w:lang w:val="es-ES_tradnl"/>
              </w:rPr>
            </w:pPr>
            <w:r w:rsidRPr="0048516D">
              <w:rPr>
                <w:rFonts w:ascii="Verdana" w:hAnsi="Verdana"/>
                <w:i/>
                <w:iCs/>
                <w:sz w:val="18"/>
                <w:szCs w:val="18"/>
                <w:lang w:val="es-ES_tradnl"/>
              </w:rPr>
              <w:t>Corantioquia</w:t>
            </w:r>
          </w:p>
        </w:tc>
        <w:tc>
          <w:tcPr>
            <w:tcW w:w="1196" w:type="pct"/>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0E427F77" w14:textId="77777777" w:rsidR="0048516D" w:rsidRPr="0048516D" w:rsidRDefault="0048516D" w:rsidP="0048516D">
            <w:pPr>
              <w:jc w:val="both"/>
              <w:rPr>
                <w:rFonts w:ascii="Verdana" w:hAnsi="Verdana"/>
                <w:i/>
                <w:iCs/>
                <w:sz w:val="18"/>
                <w:szCs w:val="18"/>
                <w:lang w:val="es-ES_tradnl"/>
              </w:rPr>
            </w:pPr>
            <w:r w:rsidRPr="0048516D">
              <w:rPr>
                <w:rFonts w:ascii="Verdana" w:hAnsi="Verdana"/>
                <w:i/>
                <w:iCs/>
                <w:sz w:val="18"/>
                <w:szCs w:val="18"/>
                <w:lang w:val="es-ES_tradnl"/>
              </w:rPr>
              <w:t>Bosque Seco Del Occidente Antioqueño</w:t>
            </w:r>
          </w:p>
        </w:tc>
        <w:tc>
          <w:tcPr>
            <w:tcW w:w="1148" w:type="pct"/>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2820C14A" w14:textId="77777777" w:rsidR="0048516D" w:rsidRPr="0048516D" w:rsidRDefault="0048516D" w:rsidP="0048516D">
            <w:pPr>
              <w:jc w:val="both"/>
              <w:rPr>
                <w:rFonts w:ascii="Verdana" w:hAnsi="Verdana"/>
                <w:i/>
                <w:iCs/>
                <w:sz w:val="18"/>
                <w:szCs w:val="18"/>
                <w:lang w:val="es-ES_tradnl"/>
              </w:rPr>
            </w:pPr>
            <w:r w:rsidRPr="0048516D">
              <w:rPr>
                <w:rFonts w:ascii="Verdana" w:hAnsi="Verdana"/>
                <w:i/>
                <w:iCs/>
                <w:sz w:val="18"/>
                <w:szCs w:val="18"/>
                <w:lang w:val="es-ES_tradnl"/>
              </w:rPr>
              <w:t>Distrito Regional de Manejo Integrado</w:t>
            </w:r>
          </w:p>
        </w:tc>
        <w:tc>
          <w:tcPr>
            <w:tcW w:w="925" w:type="pct"/>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0BA3EB2F" w14:textId="77777777" w:rsidR="0048516D" w:rsidRPr="0048516D" w:rsidRDefault="0048516D" w:rsidP="0048516D">
            <w:pPr>
              <w:jc w:val="both"/>
              <w:rPr>
                <w:rFonts w:ascii="Verdana" w:hAnsi="Verdana"/>
                <w:i/>
                <w:iCs/>
                <w:sz w:val="18"/>
                <w:szCs w:val="18"/>
                <w:lang w:val="es-ES_tradnl"/>
              </w:rPr>
            </w:pPr>
            <w:r w:rsidRPr="0048516D">
              <w:rPr>
                <w:rFonts w:ascii="Verdana" w:hAnsi="Verdana"/>
                <w:i/>
                <w:iCs/>
                <w:sz w:val="18"/>
                <w:szCs w:val="18"/>
                <w:lang w:val="es-ES_tradnl"/>
              </w:rPr>
              <w:t>Acuerdo 626 /2021</w:t>
            </w:r>
          </w:p>
        </w:tc>
        <w:tc>
          <w:tcPr>
            <w:tcW w:w="756" w:type="pct"/>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2A821F80" w14:textId="77777777" w:rsidR="0048516D" w:rsidRPr="0048516D" w:rsidRDefault="0048516D" w:rsidP="0048516D">
            <w:pPr>
              <w:jc w:val="both"/>
              <w:rPr>
                <w:rFonts w:ascii="Verdana" w:hAnsi="Verdana"/>
                <w:i/>
                <w:iCs/>
                <w:sz w:val="18"/>
                <w:szCs w:val="18"/>
                <w:lang w:val="es-ES_tradnl"/>
              </w:rPr>
            </w:pPr>
            <w:r w:rsidRPr="0048516D">
              <w:rPr>
                <w:rFonts w:ascii="Verdana" w:hAnsi="Verdana"/>
                <w:i/>
                <w:iCs/>
                <w:sz w:val="18"/>
                <w:szCs w:val="18"/>
                <w:lang w:val="es-ES_tradnl"/>
              </w:rPr>
              <w:t>SI</w:t>
            </w:r>
          </w:p>
        </w:tc>
      </w:tr>
    </w:tbl>
    <w:p w14:paraId="46289ABD" w14:textId="77777777" w:rsidR="0048516D" w:rsidRPr="0048516D" w:rsidRDefault="0048516D" w:rsidP="0048516D">
      <w:pPr>
        <w:jc w:val="both"/>
        <w:rPr>
          <w:rFonts w:ascii="Verdana" w:hAnsi="Verdana"/>
          <w:i/>
          <w:iCs/>
          <w:sz w:val="22"/>
          <w:szCs w:val="22"/>
          <w:lang w:val="es-ES_tradnl"/>
        </w:rPr>
      </w:pPr>
    </w:p>
    <w:p w14:paraId="1EC51CA1" w14:textId="77777777" w:rsidR="0048516D" w:rsidRPr="0048516D" w:rsidRDefault="0048516D" w:rsidP="0048516D">
      <w:pPr>
        <w:jc w:val="both"/>
        <w:rPr>
          <w:rFonts w:ascii="Verdana" w:hAnsi="Verdana"/>
          <w:i/>
          <w:iCs/>
          <w:sz w:val="22"/>
          <w:szCs w:val="22"/>
          <w:lang w:val="es-CO"/>
        </w:rPr>
      </w:pPr>
      <w:r w:rsidRPr="0048516D">
        <w:rPr>
          <w:rFonts w:ascii="Verdana" w:hAnsi="Verdana"/>
          <w:i/>
          <w:iCs/>
          <w:sz w:val="22"/>
          <w:szCs w:val="22"/>
          <w:lang w:val="es-CO"/>
        </w:rPr>
        <w:t xml:space="preserve">De manera más ilustrativa, a continuación, se presenta una comparación del comportamiento de los procesos de declaratoria, evidenciándose cuales continúan adelantando la ruta de declaratoria, cuales culminaron y declararon áreas protegidas. Es relevante señalar que, si bien algunos procesos se mantienen en la misma fase entre 2021 y 2023, esto no debe interpretarse como un estancamiento en el proceso, puesto que tal como lo señala la Resolución 1125 de 2015, estas </w:t>
      </w:r>
      <w:r w:rsidRPr="0048516D">
        <w:rPr>
          <w:rFonts w:ascii="Verdana" w:hAnsi="Verdana"/>
          <w:i/>
          <w:iCs/>
          <w:sz w:val="22"/>
          <w:szCs w:val="22"/>
          <w:lang w:val="es-CO"/>
        </w:rPr>
        <w:lastRenderedPageBreak/>
        <w:t>fases contienen varios componentes que pueden iniciarse en cualquier momento, pueden llevarse a cabo de manera paralela o incluso en algunos casos pueden obviarse algunos, de no considerarse necesarios en el desarrollo de la ruta.</w:t>
      </w:r>
    </w:p>
    <w:bookmarkEnd w:id="5"/>
    <w:p w14:paraId="7E7A4FDC" w14:textId="77777777" w:rsidR="00E461AA" w:rsidRPr="00B966C6" w:rsidRDefault="00E461AA" w:rsidP="00E461AA">
      <w:pPr>
        <w:jc w:val="both"/>
        <w:rPr>
          <w:rFonts w:ascii="Verdana" w:hAnsi="Verdana"/>
          <w:i/>
          <w:iCs/>
          <w:sz w:val="22"/>
          <w:szCs w:val="22"/>
          <w:lang w:val="es-ES_tradnl"/>
        </w:rPr>
      </w:pPr>
      <w:r w:rsidRPr="00B966C6">
        <w:rPr>
          <w:rFonts w:ascii="Verdana" w:hAnsi="Verdana"/>
          <w:i/>
          <w:iCs/>
          <w:sz w:val="22"/>
          <w:szCs w:val="22"/>
          <w:lang w:val="es-ES_tradnl"/>
        </w:rPr>
        <w:t>Se resalta que de las 9 áreas que aún se encuentran en proceso de implementación de la ruta, cinco (5) de ellas y como resultado efectivamente de la aplicación de esta, han sufrido un ajuste ya sea en su extensión, en su diseño o en ambas.</w:t>
      </w:r>
    </w:p>
    <w:p w14:paraId="3556AEB9" w14:textId="77777777" w:rsidR="00E461AA" w:rsidRPr="00B966C6" w:rsidRDefault="00E461AA" w:rsidP="00E461AA">
      <w:pPr>
        <w:jc w:val="both"/>
        <w:rPr>
          <w:rFonts w:ascii="Verdana" w:hAnsi="Verdana"/>
          <w:i/>
          <w:iCs/>
          <w:sz w:val="22"/>
          <w:szCs w:val="22"/>
          <w:lang w:val="es-ES_tradnl"/>
        </w:rPr>
      </w:pPr>
    </w:p>
    <w:p w14:paraId="4AF1B3DA" w14:textId="0B6D7878" w:rsidR="0048516D" w:rsidRPr="00B966C6" w:rsidRDefault="0048516D" w:rsidP="00E461AA">
      <w:pPr>
        <w:jc w:val="both"/>
        <w:rPr>
          <w:rFonts w:ascii="Verdana" w:hAnsi="Verdana"/>
          <w:i/>
          <w:iCs/>
          <w:sz w:val="22"/>
          <w:szCs w:val="22"/>
          <w:lang w:val="es-ES_tradnl"/>
        </w:rPr>
      </w:pPr>
      <w:r w:rsidRPr="00B966C6">
        <w:rPr>
          <w:rFonts w:ascii="Verdana" w:hAnsi="Verdana"/>
          <w:i/>
          <w:iCs/>
          <w:sz w:val="22"/>
          <w:szCs w:val="22"/>
          <w:lang w:val="es-ES_tradnl"/>
        </w:rPr>
        <w:t>(…)</w:t>
      </w:r>
    </w:p>
    <w:p w14:paraId="157821F5" w14:textId="77777777" w:rsidR="0048516D" w:rsidRPr="00B966C6" w:rsidRDefault="0048516D" w:rsidP="00E461AA">
      <w:pPr>
        <w:jc w:val="both"/>
        <w:rPr>
          <w:rFonts w:ascii="Verdana" w:hAnsi="Verdana"/>
          <w:i/>
          <w:iCs/>
          <w:sz w:val="22"/>
          <w:szCs w:val="22"/>
          <w:lang w:val="es-ES_tradnl"/>
        </w:rPr>
      </w:pPr>
    </w:p>
    <w:p w14:paraId="27F438E8" w14:textId="77777777" w:rsidR="0048516D" w:rsidRPr="0048516D" w:rsidRDefault="0048516D" w:rsidP="0048516D">
      <w:pPr>
        <w:jc w:val="both"/>
        <w:rPr>
          <w:rFonts w:ascii="Verdana" w:hAnsi="Verdana"/>
          <w:i/>
          <w:iCs/>
          <w:sz w:val="22"/>
          <w:szCs w:val="22"/>
          <w:lang w:val="es-ES_tradnl"/>
        </w:rPr>
      </w:pPr>
      <w:r w:rsidRPr="0048516D">
        <w:rPr>
          <w:rFonts w:ascii="Verdana" w:hAnsi="Verdana"/>
          <w:i/>
          <w:iCs/>
          <w:sz w:val="22"/>
          <w:szCs w:val="22"/>
          <w:lang w:val="es-ES_tradnl"/>
        </w:rPr>
        <w:t>De nuevo es importante resaltar que, si bien hay procesos que se han mantenido entre 2021 y 2023 en una misma fase de la ruta, obedece al hecho de que cada uno corresponde a un proceso particular y sujeto a las dinámicas y particulares de cada territorio. Lo anterior en clara consonancia con lo establecido para la ruta declaratoria de áreas protegidas, adoptada por este Ministerio mediante Resolución 1125 de 2015, en la cual se establece que este proceso de declaratoria comprende no sólo la realización de los estudios técnicos, económicos, sociales y ambientales sino también el relacionamiento y generación de acuerdos con otras entidades, otros sectores y actores con intereses en esos territorios, así como la consulta previa cuando a ello haya lugar, procedimientos que sin duda requieren tiempos considerables para su adecuado desarrollo.</w:t>
      </w:r>
    </w:p>
    <w:p w14:paraId="5F37F48C" w14:textId="77777777" w:rsidR="0048516D" w:rsidRPr="0048516D" w:rsidRDefault="0048516D" w:rsidP="0048516D">
      <w:pPr>
        <w:jc w:val="both"/>
        <w:rPr>
          <w:rFonts w:ascii="Verdana" w:hAnsi="Verdana"/>
          <w:i/>
          <w:iCs/>
          <w:sz w:val="22"/>
          <w:szCs w:val="22"/>
          <w:lang w:val="es-ES_tradnl"/>
        </w:rPr>
      </w:pPr>
    </w:p>
    <w:p w14:paraId="00AD77A7" w14:textId="77777777" w:rsidR="0048516D" w:rsidRPr="0048516D" w:rsidRDefault="0048516D" w:rsidP="0048516D">
      <w:pPr>
        <w:jc w:val="both"/>
        <w:rPr>
          <w:rFonts w:ascii="Verdana" w:hAnsi="Verdana"/>
          <w:i/>
          <w:iCs/>
          <w:sz w:val="22"/>
          <w:szCs w:val="22"/>
          <w:lang w:val="es-ES_tradnl"/>
        </w:rPr>
      </w:pPr>
      <w:bookmarkStart w:id="7" w:name="_Hlk147387816"/>
      <w:r w:rsidRPr="0048516D">
        <w:rPr>
          <w:rFonts w:ascii="Verdana" w:hAnsi="Verdana"/>
          <w:i/>
          <w:iCs/>
          <w:sz w:val="22"/>
          <w:szCs w:val="22"/>
          <w:lang w:val="es-ES_tradnl"/>
        </w:rPr>
        <w:t>Se resalta que de las nueve (9) áreas que aún se encuentran en proceso de implementación de la ruta, cinco (5) de ellas y como resultado efectivamente de la aplicación de esta, han sufrido un ajuste ya sea en su extensión, en su diseño o en ambas. Para efectos del presente documento, se considera la división del polígono 49 Área protegida microcuenca Rio Tona en dos, por lo que se tendrá en cuenta la prórroga de 10 polígonos.</w:t>
      </w:r>
    </w:p>
    <w:p w14:paraId="19D3FE83" w14:textId="77777777" w:rsidR="0048516D" w:rsidRPr="0048516D" w:rsidRDefault="0048516D" w:rsidP="0048516D">
      <w:pPr>
        <w:jc w:val="both"/>
        <w:rPr>
          <w:rFonts w:ascii="Verdana" w:hAnsi="Verdana"/>
          <w:i/>
          <w:iCs/>
          <w:sz w:val="22"/>
          <w:szCs w:val="22"/>
          <w:lang w:val="es-ES_tradnl"/>
        </w:rPr>
      </w:pPr>
    </w:p>
    <w:p w14:paraId="74D7ADF2" w14:textId="244E1A39" w:rsidR="0048516D" w:rsidRPr="0048516D" w:rsidRDefault="0048516D" w:rsidP="0048516D">
      <w:pPr>
        <w:jc w:val="both"/>
        <w:rPr>
          <w:rFonts w:ascii="Verdana" w:hAnsi="Verdana"/>
          <w:i/>
          <w:iCs/>
          <w:sz w:val="22"/>
          <w:szCs w:val="22"/>
          <w:lang w:val="es-ES_tradnl"/>
        </w:rPr>
      </w:pPr>
      <w:r w:rsidRPr="0048516D">
        <w:rPr>
          <w:rFonts w:ascii="Verdana" w:hAnsi="Verdana"/>
          <w:i/>
          <w:iCs/>
          <w:sz w:val="22"/>
          <w:szCs w:val="22"/>
          <w:lang w:val="es-ES_tradnl"/>
        </w:rPr>
        <w:t>Es importante resaltar que el ajuste de área presentado por las Corporaciones en dos (2) de los casos corresponde a aumento, en tres (3) a una reducción de esta, tal como puede apreciarse en las siguientes tablas y figuras (</w:t>
      </w:r>
      <w:r w:rsidRPr="0048516D">
        <w:rPr>
          <w:rFonts w:ascii="Verdana" w:hAnsi="Verdana"/>
          <w:i/>
          <w:iCs/>
          <w:sz w:val="22"/>
          <w:szCs w:val="22"/>
          <w:lang w:val="es-ES_tradnl"/>
        </w:rPr>
        <w:fldChar w:fldCharType="begin"/>
      </w:r>
      <w:r w:rsidRPr="0048516D">
        <w:rPr>
          <w:rFonts w:ascii="Verdana" w:hAnsi="Verdana"/>
          <w:i/>
          <w:iCs/>
          <w:sz w:val="22"/>
          <w:szCs w:val="22"/>
          <w:lang w:val="es-ES_tradnl"/>
        </w:rPr>
        <w:instrText xml:space="preserve"> REF _Ref84236162 \h  \* MERGEFORMAT </w:instrText>
      </w:r>
      <w:r w:rsidRPr="0048516D">
        <w:rPr>
          <w:rFonts w:ascii="Verdana" w:hAnsi="Verdana"/>
          <w:i/>
          <w:iCs/>
          <w:sz w:val="22"/>
          <w:szCs w:val="22"/>
          <w:lang w:val="es-ES_tradnl"/>
        </w:rPr>
      </w:r>
      <w:r w:rsidRPr="0048516D">
        <w:rPr>
          <w:rFonts w:ascii="Verdana" w:hAnsi="Verdana"/>
          <w:i/>
          <w:iCs/>
          <w:sz w:val="22"/>
          <w:szCs w:val="22"/>
          <w:lang w:val="es-ES_tradnl"/>
        </w:rPr>
        <w:fldChar w:fldCharType="separate"/>
      </w:r>
      <w:r w:rsidR="001F2062" w:rsidRPr="001F2062">
        <w:rPr>
          <w:rFonts w:ascii="Verdana" w:hAnsi="Verdana"/>
          <w:i/>
          <w:iCs/>
          <w:sz w:val="22"/>
          <w:szCs w:val="22"/>
          <w:lang w:val="es-ES_tradnl"/>
        </w:rPr>
        <w:t xml:space="preserve">Tabla </w:t>
      </w:r>
      <w:r w:rsidR="001F2062" w:rsidRPr="001F2062">
        <w:rPr>
          <w:rFonts w:ascii="Verdana" w:hAnsi="Verdana"/>
          <w:i/>
          <w:iCs/>
          <w:noProof/>
          <w:sz w:val="22"/>
          <w:szCs w:val="22"/>
          <w:lang w:val="es-ES_tradnl"/>
        </w:rPr>
        <w:t>3</w:t>
      </w:r>
      <w:r w:rsidRPr="0048516D">
        <w:rPr>
          <w:rFonts w:ascii="Verdana" w:hAnsi="Verdana"/>
          <w:i/>
          <w:iCs/>
          <w:sz w:val="22"/>
          <w:szCs w:val="22"/>
          <w:lang w:val="es-ES_tradnl"/>
        </w:rPr>
        <w:fldChar w:fldCharType="end"/>
      </w:r>
      <w:r w:rsidRPr="0048516D">
        <w:rPr>
          <w:rFonts w:ascii="Verdana" w:hAnsi="Verdana"/>
          <w:i/>
          <w:iCs/>
          <w:sz w:val="22"/>
          <w:szCs w:val="22"/>
          <w:lang w:val="es-ES_tradnl"/>
        </w:rPr>
        <w:t xml:space="preserve">, </w:t>
      </w:r>
      <w:r w:rsidRPr="0048516D">
        <w:rPr>
          <w:rFonts w:ascii="Verdana" w:hAnsi="Verdana"/>
          <w:i/>
          <w:iCs/>
          <w:sz w:val="22"/>
          <w:szCs w:val="22"/>
          <w:lang w:val="es-ES_tradnl"/>
        </w:rPr>
        <w:fldChar w:fldCharType="begin"/>
      </w:r>
      <w:r w:rsidRPr="0048516D">
        <w:rPr>
          <w:rFonts w:ascii="Verdana" w:hAnsi="Verdana"/>
          <w:i/>
          <w:iCs/>
          <w:sz w:val="22"/>
          <w:szCs w:val="22"/>
          <w:lang w:val="es-ES_tradnl"/>
        </w:rPr>
        <w:instrText xml:space="preserve"> REF _Ref84236163 \h  \* MERGEFORMAT </w:instrText>
      </w:r>
      <w:r w:rsidRPr="0048516D">
        <w:rPr>
          <w:rFonts w:ascii="Verdana" w:hAnsi="Verdana"/>
          <w:i/>
          <w:iCs/>
          <w:sz w:val="22"/>
          <w:szCs w:val="22"/>
          <w:lang w:val="es-ES_tradnl"/>
        </w:rPr>
      </w:r>
      <w:r w:rsidRPr="0048516D">
        <w:rPr>
          <w:rFonts w:ascii="Verdana" w:hAnsi="Verdana"/>
          <w:i/>
          <w:iCs/>
          <w:sz w:val="22"/>
          <w:szCs w:val="22"/>
          <w:lang w:val="es-ES_tradnl"/>
        </w:rPr>
        <w:fldChar w:fldCharType="separate"/>
      </w:r>
      <w:r w:rsidR="001F2062" w:rsidRPr="001F2062">
        <w:rPr>
          <w:rFonts w:ascii="Verdana" w:hAnsi="Verdana"/>
          <w:i/>
          <w:iCs/>
          <w:sz w:val="22"/>
          <w:szCs w:val="22"/>
          <w:lang w:val="es-ES_tradnl"/>
        </w:rPr>
        <w:t xml:space="preserve">Tabla </w:t>
      </w:r>
      <w:r w:rsidR="001F2062" w:rsidRPr="001F2062">
        <w:rPr>
          <w:rFonts w:ascii="Verdana" w:hAnsi="Verdana"/>
          <w:i/>
          <w:iCs/>
          <w:noProof/>
          <w:sz w:val="22"/>
          <w:szCs w:val="22"/>
          <w:lang w:val="es-ES_tradnl"/>
        </w:rPr>
        <w:t>4</w:t>
      </w:r>
      <w:r w:rsidRPr="0048516D">
        <w:rPr>
          <w:rFonts w:ascii="Verdana" w:hAnsi="Verdana"/>
          <w:i/>
          <w:iCs/>
          <w:sz w:val="22"/>
          <w:szCs w:val="22"/>
          <w:lang w:val="es-ES_tradnl"/>
        </w:rPr>
        <w:fldChar w:fldCharType="end"/>
      </w:r>
      <w:r w:rsidRPr="0048516D">
        <w:rPr>
          <w:rFonts w:ascii="Verdana" w:hAnsi="Verdana"/>
          <w:i/>
          <w:iCs/>
          <w:sz w:val="22"/>
          <w:szCs w:val="22"/>
          <w:lang w:val="es-ES_tradnl"/>
        </w:rPr>
        <w:t xml:space="preserve"> y </w:t>
      </w:r>
      <w:r w:rsidRPr="0048516D">
        <w:rPr>
          <w:rFonts w:ascii="Verdana" w:hAnsi="Verdana"/>
          <w:i/>
          <w:iCs/>
          <w:sz w:val="22"/>
          <w:szCs w:val="22"/>
          <w:lang w:val="es-ES_tradnl"/>
        </w:rPr>
        <w:fldChar w:fldCharType="begin"/>
      </w:r>
      <w:r w:rsidRPr="0048516D">
        <w:rPr>
          <w:rFonts w:ascii="Verdana" w:hAnsi="Verdana"/>
          <w:i/>
          <w:iCs/>
          <w:sz w:val="22"/>
          <w:szCs w:val="22"/>
          <w:lang w:val="es-ES_tradnl"/>
        </w:rPr>
        <w:instrText xml:space="preserve"> REF _Ref84407304 \h  \* MERGEFORMAT </w:instrText>
      </w:r>
      <w:r w:rsidRPr="0048516D">
        <w:rPr>
          <w:rFonts w:ascii="Verdana" w:hAnsi="Verdana"/>
          <w:i/>
          <w:iCs/>
          <w:sz w:val="22"/>
          <w:szCs w:val="22"/>
          <w:lang w:val="es-ES_tradnl"/>
        </w:rPr>
      </w:r>
      <w:r w:rsidRPr="0048516D">
        <w:rPr>
          <w:rFonts w:ascii="Verdana" w:hAnsi="Verdana"/>
          <w:i/>
          <w:iCs/>
          <w:sz w:val="22"/>
          <w:szCs w:val="22"/>
          <w:lang w:val="es-ES_tradnl"/>
        </w:rPr>
        <w:fldChar w:fldCharType="separate"/>
      </w:r>
      <w:r w:rsidR="001F2062" w:rsidRPr="001F2062">
        <w:rPr>
          <w:rFonts w:ascii="Verdana" w:hAnsi="Verdana"/>
          <w:i/>
          <w:iCs/>
          <w:sz w:val="22"/>
          <w:szCs w:val="22"/>
          <w:lang w:val="es-ES_tradnl"/>
        </w:rPr>
        <w:t xml:space="preserve">Tabla </w:t>
      </w:r>
      <w:r w:rsidR="001F2062" w:rsidRPr="001F2062">
        <w:rPr>
          <w:rFonts w:ascii="Verdana" w:hAnsi="Verdana"/>
          <w:i/>
          <w:iCs/>
          <w:noProof/>
          <w:sz w:val="22"/>
          <w:szCs w:val="22"/>
          <w:lang w:val="es-ES_tradnl"/>
        </w:rPr>
        <w:t>5</w:t>
      </w:r>
      <w:r w:rsidRPr="0048516D">
        <w:rPr>
          <w:rFonts w:ascii="Verdana" w:hAnsi="Verdana"/>
          <w:i/>
          <w:iCs/>
          <w:sz w:val="22"/>
          <w:szCs w:val="22"/>
          <w:lang w:val="es-ES_tradnl"/>
        </w:rPr>
        <w:fldChar w:fldCharType="end"/>
      </w:r>
      <w:r w:rsidRPr="0048516D">
        <w:rPr>
          <w:rFonts w:ascii="Verdana" w:hAnsi="Verdana"/>
          <w:i/>
          <w:iCs/>
          <w:sz w:val="22"/>
          <w:szCs w:val="22"/>
          <w:lang w:val="es-ES_tradnl"/>
        </w:rPr>
        <w:t>). Se destaca que el polígono 49 denominado Área protegida microcuenca Rio Tona fue dividido y el área disminuida, por lo que se consideran para la prórroga de la Resolución un total de 10 polígonos.</w:t>
      </w:r>
    </w:p>
    <w:p w14:paraId="113917C3" w14:textId="77777777" w:rsidR="0048516D" w:rsidRPr="0048516D" w:rsidRDefault="0048516D" w:rsidP="0048516D">
      <w:pPr>
        <w:jc w:val="both"/>
        <w:rPr>
          <w:rFonts w:ascii="Verdana" w:hAnsi="Verdana"/>
          <w:i/>
          <w:iCs/>
          <w:szCs w:val="24"/>
          <w:lang w:val="es-ES_tradnl"/>
        </w:rPr>
      </w:pPr>
    </w:p>
    <w:p w14:paraId="565152DA" w14:textId="1EF3C17C" w:rsidR="0048516D" w:rsidRPr="0048516D" w:rsidRDefault="0048516D" w:rsidP="0048516D">
      <w:pPr>
        <w:keepNext/>
        <w:spacing w:after="200"/>
        <w:jc w:val="center"/>
        <w:rPr>
          <w:rFonts w:ascii="Verdana" w:hAnsi="Verdana"/>
          <w:i/>
          <w:iCs/>
          <w:sz w:val="18"/>
          <w:szCs w:val="18"/>
          <w:lang w:val="es-ES_tradnl"/>
        </w:rPr>
      </w:pPr>
      <w:bookmarkStart w:id="8" w:name="_Ref84236162"/>
      <w:r w:rsidRPr="0048516D">
        <w:rPr>
          <w:rFonts w:ascii="Verdana" w:hAnsi="Verdana"/>
          <w:i/>
          <w:iCs/>
          <w:sz w:val="18"/>
          <w:szCs w:val="18"/>
          <w:lang w:val="es-ES_tradnl"/>
        </w:rPr>
        <w:t xml:space="preserve">Tabla </w:t>
      </w:r>
      <w:r w:rsidRPr="0048516D">
        <w:rPr>
          <w:rFonts w:ascii="Verdana" w:hAnsi="Verdana"/>
          <w:i/>
          <w:iCs/>
          <w:sz w:val="18"/>
          <w:szCs w:val="18"/>
          <w:lang w:val="es-ES_tradnl"/>
        </w:rPr>
        <w:fldChar w:fldCharType="begin"/>
      </w:r>
      <w:r w:rsidRPr="0048516D">
        <w:rPr>
          <w:rFonts w:ascii="Verdana" w:hAnsi="Verdana"/>
          <w:i/>
          <w:iCs/>
          <w:sz w:val="18"/>
          <w:szCs w:val="18"/>
          <w:lang w:val="es-ES_tradnl"/>
        </w:rPr>
        <w:instrText xml:space="preserve"> SEQ Tabla \* ARABIC </w:instrText>
      </w:r>
      <w:r w:rsidRPr="0048516D">
        <w:rPr>
          <w:rFonts w:ascii="Verdana" w:hAnsi="Verdana"/>
          <w:i/>
          <w:iCs/>
          <w:sz w:val="18"/>
          <w:szCs w:val="18"/>
          <w:lang w:val="es-ES_tradnl"/>
        </w:rPr>
        <w:fldChar w:fldCharType="separate"/>
      </w:r>
      <w:r w:rsidR="001F2062">
        <w:rPr>
          <w:rFonts w:ascii="Verdana" w:hAnsi="Verdana"/>
          <w:i/>
          <w:iCs/>
          <w:noProof/>
          <w:sz w:val="18"/>
          <w:szCs w:val="18"/>
          <w:lang w:val="es-ES_tradnl"/>
        </w:rPr>
        <w:t>3</w:t>
      </w:r>
      <w:r w:rsidRPr="0048516D">
        <w:rPr>
          <w:rFonts w:ascii="Verdana" w:hAnsi="Verdana"/>
          <w:i/>
          <w:iCs/>
          <w:sz w:val="18"/>
          <w:szCs w:val="18"/>
          <w:lang w:val="es-ES_tradnl"/>
        </w:rPr>
        <w:fldChar w:fldCharType="end"/>
      </w:r>
      <w:bookmarkEnd w:id="8"/>
      <w:r w:rsidRPr="0048516D">
        <w:rPr>
          <w:rFonts w:ascii="Verdana" w:hAnsi="Verdana"/>
          <w:i/>
          <w:iCs/>
          <w:sz w:val="18"/>
          <w:szCs w:val="18"/>
          <w:lang w:val="es-ES_tradnl"/>
        </w:rPr>
        <w:t>. Áreas que presentan aumento en el área del polígono.</w:t>
      </w:r>
    </w:p>
    <w:tbl>
      <w:tblPr>
        <w:tblW w:w="8834" w:type="dxa"/>
        <w:jc w:val="center"/>
        <w:tblLayout w:type="fixed"/>
        <w:tblLook w:val="06A0" w:firstRow="1" w:lastRow="0" w:firstColumn="1" w:lastColumn="0" w:noHBand="1" w:noVBand="1"/>
      </w:tblPr>
      <w:tblGrid>
        <w:gridCol w:w="761"/>
        <w:gridCol w:w="1194"/>
        <w:gridCol w:w="1194"/>
        <w:gridCol w:w="1313"/>
        <w:gridCol w:w="791"/>
        <w:gridCol w:w="910"/>
        <w:gridCol w:w="2671"/>
      </w:tblGrid>
      <w:tr w:rsidR="0048516D" w:rsidRPr="00B966C6" w14:paraId="474566F1" w14:textId="77777777" w:rsidTr="0048516D">
        <w:trPr>
          <w:trHeight w:val="300"/>
          <w:jc w:val="center"/>
        </w:trPr>
        <w:tc>
          <w:tcPr>
            <w:tcW w:w="761" w:type="dxa"/>
            <w:vMerge w:val="restart"/>
            <w:tcBorders>
              <w:top w:val="single" w:sz="4" w:space="0" w:color="auto"/>
              <w:left w:val="single" w:sz="4" w:space="0" w:color="auto"/>
              <w:bottom w:val="single" w:sz="4" w:space="0" w:color="auto"/>
              <w:right w:val="single" w:sz="4" w:space="0" w:color="auto"/>
            </w:tcBorders>
            <w:shd w:val="clear" w:color="auto" w:fill="BFBFBF"/>
            <w:tcMar>
              <w:top w:w="15" w:type="dxa"/>
              <w:left w:w="15" w:type="dxa"/>
              <w:right w:w="15" w:type="dxa"/>
            </w:tcMar>
            <w:vAlign w:val="center"/>
          </w:tcPr>
          <w:p w14:paraId="08E46C2F" w14:textId="77777777" w:rsidR="0048516D" w:rsidRPr="0048516D" w:rsidRDefault="0048516D" w:rsidP="0048516D">
            <w:pPr>
              <w:jc w:val="center"/>
              <w:rPr>
                <w:rFonts w:ascii="Verdana" w:eastAsia="Arial Narrow" w:hAnsi="Verdana" w:cs="Arial Narrow"/>
                <w:b/>
                <w:bCs/>
                <w:i/>
                <w:iCs/>
                <w:sz w:val="18"/>
                <w:szCs w:val="18"/>
                <w:lang w:val="es-ES_tradnl"/>
              </w:rPr>
            </w:pPr>
            <w:r w:rsidRPr="0048516D">
              <w:rPr>
                <w:rFonts w:ascii="Verdana" w:eastAsia="Arial Narrow" w:hAnsi="Verdana" w:cs="Arial Narrow"/>
                <w:b/>
                <w:bCs/>
                <w:i/>
                <w:iCs/>
                <w:sz w:val="18"/>
                <w:szCs w:val="18"/>
                <w:lang w:val="es-ES_tradnl"/>
              </w:rPr>
              <w:t>N° Polígono</w:t>
            </w:r>
          </w:p>
        </w:tc>
        <w:tc>
          <w:tcPr>
            <w:tcW w:w="1194" w:type="dxa"/>
            <w:vMerge w:val="restart"/>
            <w:tcBorders>
              <w:top w:val="single" w:sz="4" w:space="0" w:color="auto"/>
              <w:left w:val="single" w:sz="4" w:space="0" w:color="auto"/>
              <w:bottom w:val="single" w:sz="4" w:space="0" w:color="auto"/>
              <w:right w:val="single" w:sz="4" w:space="0" w:color="auto"/>
            </w:tcBorders>
            <w:shd w:val="clear" w:color="auto" w:fill="BFBFBF"/>
            <w:tcMar>
              <w:top w:w="15" w:type="dxa"/>
              <w:left w:w="15" w:type="dxa"/>
              <w:right w:w="15" w:type="dxa"/>
            </w:tcMar>
            <w:vAlign w:val="center"/>
          </w:tcPr>
          <w:p w14:paraId="3E170BA2" w14:textId="77777777" w:rsidR="0048516D" w:rsidRPr="0048516D" w:rsidRDefault="0048516D" w:rsidP="0048516D">
            <w:pPr>
              <w:jc w:val="center"/>
              <w:rPr>
                <w:rFonts w:ascii="Verdana" w:hAnsi="Verdana"/>
                <w:i/>
                <w:iCs/>
                <w:szCs w:val="24"/>
                <w:lang w:val="es-ES_tradnl"/>
              </w:rPr>
            </w:pPr>
            <w:r w:rsidRPr="0048516D">
              <w:rPr>
                <w:rFonts w:ascii="Verdana" w:eastAsia="Arial Narrow" w:hAnsi="Verdana" w:cs="Arial Narrow"/>
                <w:b/>
                <w:bCs/>
                <w:i/>
                <w:iCs/>
                <w:sz w:val="18"/>
                <w:szCs w:val="18"/>
                <w:lang w:val="es-ES_tradnl"/>
              </w:rPr>
              <w:t>Nombre del área</w:t>
            </w:r>
          </w:p>
        </w:tc>
        <w:tc>
          <w:tcPr>
            <w:tcW w:w="1194" w:type="dxa"/>
            <w:vMerge w:val="restart"/>
            <w:tcBorders>
              <w:top w:val="single" w:sz="4" w:space="0" w:color="auto"/>
              <w:left w:val="single" w:sz="4" w:space="0" w:color="auto"/>
              <w:bottom w:val="single" w:sz="4" w:space="0" w:color="auto"/>
              <w:right w:val="single" w:sz="4" w:space="0" w:color="auto"/>
            </w:tcBorders>
            <w:shd w:val="clear" w:color="auto" w:fill="BFBFBF"/>
            <w:tcMar>
              <w:top w:w="15" w:type="dxa"/>
              <w:left w:w="15" w:type="dxa"/>
              <w:right w:w="15" w:type="dxa"/>
            </w:tcMar>
            <w:vAlign w:val="center"/>
          </w:tcPr>
          <w:p w14:paraId="15262769" w14:textId="77777777" w:rsidR="0048516D" w:rsidRPr="0048516D" w:rsidRDefault="0048516D" w:rsidP="0048516D">
            <w:pPr>
              <w:jc w:val="center"/>
              <w:rPr>
                <w:rFonts w:ascii="Verdana" w:hAnsi="Verdana"/>
                <w:i/>
                <w:iCs/>
                <w:szCs w:val="24"/>
                <w:lang w:val="es-ES_tradnl"/>
              </w:rPr>
            </w:pPr>
            <w:r w:rsidRPr="0048516D">
              <w:rPr>
                <w:rFonts w:ascii="Verdana" w:eastAsia="Arial Narrow" w:hAnsi="Verdana" w:cs="Arial Narrow"/>
                <w:b/>
                <w:bCs/>
                <w:i/>
                <w:iCs/>
                <w:sz w:val="18"/>
                <w:szCs w:val="18"/>
                <w:lang w:val="es-ES_tradnl"/>
              </w:rPr>
              <w:t>Corporación</w:t>
            </w:r>
          </w:p>
        </w:tc>
        <w:tc>
          <w:tcPr>
            <w:tcW w:w="3014" w:type="dxa"/>
            <w:gridSpan w:val="3"/>
            <w:tcBorders>
              <w:top w:val="nil"/>
              <w:left w:val="single" w:sz="4" w:space="0" w:color="auto"/>
              <w:bottom w:val="single" w:sz="4" w:space="0" w:color="auto"/>
              <w:right w:val="single" w:sz="4" w:space="0" w:color="000000"/>
            </w:tcBorders>
            <w:shd w:val="clear" w:color="auto" w:fill="BFBFBF"/>
            <w:tcMar>
              <w:top w:w="15" w:type="dxa"/>
              <w:left w:w="15" w:type="dxa"/>
              <w:right w:w="15" w:type="dxa"/>
            </w:tcMar>
            <w:vAlign w:val="center"/>
          </w:tcPr>
          <w:p w14:paraId="73C2ADA6" w14:textId="77777777" w:rsidR="0048516D" w:rsidRPr="0048516D" w:rsidRDefault="0048516D" w:rsidP="0048516D">
            <w:pPr>
              <w:jc w:val="center"/>
              <w:rPr>
                <w:rFonts w:ascii="Verdana" w:hAnsi="Verdana"/>
                <w:i/>
                <w:iCs/>
                <w:szCs w:val="24"/>
                <w:lang w:val="es-ES_tradnl"/>
              </w:rPr>
            </w:pPr>
            <w:r w:rsidRPr="0048516D">
              <w:rPr>
                <w:rFonts w:ascii="Verdana" w:eastAsia="Arial Narrow" w:hAnsi="Verdana" w:cs="Arial Narrow"/>
                <w:b/>
                <w:bCs/>
                <w:i/>
                <w:iCs/>
                <w:sz w:val="18"/>
                <w:szCs w:val="18"/>
                <w:lang w:val="es-ES_tradnl"/>
              </w:rPr>
              <w:t>Área (ha)</w:t>
            </w:r>
          </w:p>
        </w:tc>
        <w:tc>
          <w:tcPr>
            <w:tcW w:w="2671" w:type="dxa"/>
            <w:vMerge w:val="restart"/>
            <w:tcBorders>
              <w:top w:val="single" w:sz="4" w:space="0" w:color="auto"/>
              <w:left w:val="single" w:sz="4" w:space="0" w:color="auto"/>
              <w:bottom w:val="single" w:sz="4" w:space="0" w:color="auto"/>
              <w:right w:val="single" w:sz="4" w:space="0" w:color="auto"/>
            </w:tcBorders>
            <w:shd w:val="clear" w:color="auto" w:fill="BFBFBF"/>
            <w:tcMar>
              <w:top w:w="15" w:type="dxa"/>
              <w:left w:w="15" w:type="dxa"/>
              <w:right w:w="15" w:type="dxa"/>
            </w:tcMar>
            <w:vAlign w:val="center"/>
          </w:tcPr>
          <w:p w14:paraId="0E8CB697" w14:textId="77777777" w:rsidR="0048516D" w:rsidRPr="0048516D" w:rsidRDefault="0048516D" w:rsidP="0048516D">
            <w:pPr>
              <w:jc w:val="center"/>
              <w:rPr>
                <w:rFonts w:ascii="Verdana" w:eastAsia="Arial Narrow" w:hAnsi="Verdana" w:cs="Arial Narrow"/>
                <w:b/>
                <w:bCs/>
                <w:i/>
                <w:iCs/>
                <w:sz w:val="18"/>
                <w:szCs w:val="18"/>
                <w:lang w:val="es-ES_tradnl"/>
              </w:rPr>
            </w:pPr>
            <w:r w:rsidRPr="0048516D">
              <w:rPr>
                <w:rFonts w:ascii="Verdana" w:eastAsia="Arial Narrow" w:hAnsi="Verdana" w:cs="Arial Narrow"/>
                <w:b/>
                <w:bCs/>
                <w:i/>
                <w:iCs/>
                <w:sz w:val="18"/>
                <w:szCs w:val="18"/>
                <w:lang w:val="es-ES_tradnl"/>
              </w:rPr>
              <w:t>Análisis Agencia Nacional de Minería</w:t>
            </w:r>
          </w:p>
        </w:tc>
      </w:tr>
      <w:tr w:rsidR="0048516D" w:rsidRPr="00B966C6" w14:paraId="6C93F29C" w14:textId="77777777" w:rsidTr="0048516D">
        <w:trPr>
          <w:trHeight w:val="495"/>
          <w:jc w:val="center"/>
        </w:trPr>
        <w:tc>
          <w:tcPr>
            <w:tcW w:w="761" w:type="dxa"/>
            <w:vMerge/>
            <w:tcBorders>
              <w:left w:val="single" w:sz="0" w:space="0" w:color="auto"/>
              <w:bottom w:val="single" w:sz="0" w:space="0" w:color="auto"/>
              <w:right w:val="single" w:sz="0" w:space="0" w:color="auto"/>
            </w:tcBorders>
            <w:vAlign w:val="center"/>
          </w:tcPr>
          <w:p w14:paraId="4C8B0C35" w14:textId="77777777" w:rsidR="0048516D" w:rsidRPr="0048516D" w:rsidRDefault="0048516D" w:rsidP="0048516D">
            <w:pPr>
              <w:jc w:val="center"/>
              <w:rPr>
                <w:rFonts w:ascii="Verdana" w:hAnsi="Verdana"/>
                <w:i/>
                <w:iCs/>
                <w:szCs w:val="24"/>
                <w:lang w:val="es-ES_tradnl"/>
              </w:rPr>
            </w:pPr>
          </w:p>
        </w:tc>
        <w:tc>
          <w:tcPr>
            <w:tcW w:w="1194" w:type="dxa"/>
            <w:vMerge/>
            <w:tcBorders>
              <w:left w:val="single" w:sz="0" w:space="0" w:color="auto"/>
              <w:bottom w:val="single" w:sz="0" w:space="0" w:color="auto"/>
              <w:right w:val="single" w:sz="0" w:space="0" w:color="auto"/>
            </w:tcBorders>
            <w:vAlign w:val="center"/>
          </w:tcPr>
          <w:p w14:paraId="0D60333C" w14:textId="77777777" w:rsidR="0048516D" w:rsidRPr="0048516D" w:rsidRDefault="0048516D" w:rsidP="0048516D">
            <w:pPr>
              <w:jc w:val="center"/>
              <w:rPr>
                <w:rFonts w:ascii="Verdana" w:hAnsi="Verdana"/>
                <w:i/>
                <w:iCs/>
                <w:szCs w:val="24"/>
                <w:lang w:val="es-ES_tradnl"/>
              </w:rPr>
            </w:pPr>
          </w:p>
        </w:tc>
        <w:tc>
          <w:tcPr>
            <w:tcW w:w="1194" w:type="dxa"/>
            <w:vMerge/>
            <w:tcBorders>
              <w:left w:val="single" w:sz="0" w:space="0" w:color="auto"/>
              <w:bottom w:val="single" w:sz="0" w:space="0" w:color="auto"/>
              <w:right w:val="single" w:sz="0" w:space="0" w:color="auto"/>
            </w:tcBorders>
            <w:vAlign w:val="center"/>
          </w:tcPr>
          <w:p w14:paraId="3E9A4071" w14:textId="77777777" w:rsidR="0048516D" w:rsidRPr="0048516D" w:rsidRDefault="0048516D" w:rsidP="0048516D">
            <w:pPr>
              <w:jc w:val="center"/>
              <w:rPr>
                <w:rFonts w:ascii="Verdana" w:hAnsi="Verdana"/>
                <w:i/>
                <w:iCs/>
                <w:szCs w:val="24"/>
                <w:lang w:val="es-ES_tradnl"/>
              </w:rPr>
            </w:pPr>
          </w:p>
        </w:tc>
        <w:tc>
          <w:tcPr>
            <w:tcW w:w="1313" w:type="dxa"/>
            <w:tcBorders>
              <w:top w:val="single" w:sz="4" w:space="0" w:color="auto"/>
              <w:left w:val="nil"/>
              <w:bottom w:val="single" w:sz="4" w:space="0" w:color="auto"/>
              <w:right w:val="single" w:sz="4" w:space="0" w:color="000000"/>
            </w:tcBorders>
            <w:shd w:val="clear" w:color="auto" w:fill="BFBFBF"/>
            <w:tcMar>
              <w:top w:w="15" w:type="dxa"/>
              <w:left w:w="15" w:type="dxa"/>
              <w:right w:w="15" w:type="dxa"/>
            </w:tcMar>
            <w:vAlign w:val="center"/>
          </w:tcPr>
          <w:p w14:paraId="3EA6F901" w14:textId="77777777" w:rsidR="0048516D" w:rsidRPr="0048516D" w:rsidRDefault="0048516D" w:rsidP="0048516D">
            <w:pPr>
              <w:jc w:val="center"/>
              <w:rPr>
                <w:rFonts w:ascii="Verdana" w:hAnsi="Verdana"/>
                <w:i/>
                <w:iCs/>
                <w:szCs w:val="24"/>
                <w:lang w:val="es-ES_tradnl"/>
              </w:rPr>
            </w:pPr>
            <w:r w:rsidRPr="0048516D">
              <w:rPr>
                <w:rFonts w:ascii="Verdana" w:eastAsia="Arial Narrow" w:hAnsi="Verdana" w:cs="Arial Narrow"/>
                <w:b/>
                <w:bCs/>
                <w:i/>
                <w:iCs/>
                <w:sz w:val="18"/>
                <w:szCs w:val="18"/>
                <w:lang w:val="es-ES_tradnl"/>
              </w:rPr>
              <w:t>Área Resolución 1125 de 2021</w:t>
            </w:r>
          </w:p>
        </w:tc>
        <w:tc>
          <w:tcPr>
            <w:tcW w:w="791" w:type="dxa"/>
            <w:tcBorders>
              <w:top w:val="nil"/>
              <w:left w:val="single" w:sz="4" w:space="0" w:color="auto"/>
              <w:bottom w:val="single" w:sz="4" w:space="0" w:color="auto"/>
              <w:right w:val="single" w:sz="4" w:space="0" w:color="auto"/>
            </w:tcBorders>
            <w:shd w:val="clear" w:color="auto" w:fill="BFBFBF"/>
            <w:tcMar>
              <w:top w:w="15" w:type="dxa"/>
              <w:left w:w="15" w:type="dxa"/>
              <w:right w:w="15" w:type="dxa"/>
            </w:tcMar>
            <w:vAlign w:val="center"/>
          </w:tcPr>
          <w:p w14:paraId="26AB7FEB" w14:textId="77777777" w:rsidR="0048516D" w:rsidRPr="0048516D" w:rsidRDefault="0048516D" w:rsidP="0048516D">
            <w:pPr>
              <w:jc w:val="center"/>
              <w:rPr>
                <w:rFonts w:ascii="Verdana" w:hAnsi="Verdana"/>
                <w:i/>
                <w:iCs/>
                <w:szCs w:val="24"/>
                <w:lang w:val="es-ES_tradnl"/>
              </w:rPr>
            </w:pPr>
            <w:r w:rsidRPr="0048516D">
              <w:rPr>
                <w:rFonts w:ascii="Verdana" w:eastAsia="Arial Narrow" w:hAnsi="Verdana" w:cs="Arial Narrow"/>
                <w:b/>
                <w:bCs/>
                <w:i/>
                <w:iCs/>
                <w:sz w:val="18"/>
                <w:szCs w:val="18"/>
                <w:lang w:val="es-ES_tradnl"/>
              </w:rPr>
              <w:t>Área Actual</w:t>
            </w:r>
          </w:p>
        </w:tc>
        <w:tc>
          <w:tcPr>
            <w:tcW w:w="910" w:type="dxa"/>
            <w:tcBorders>
              <w:top w:val="nil"/>
              <w:left w:val="single" w:sz="4" w:space="0" w:color="auto"/>
              <w:bottom w:val="single" w:sz="4" w:space="0" w:color="auto"/>
              <w:right w:val="single" w:sz="4" w:space="0" w:color="000000"/>
            </w:tcBorders>
            <w:shd w:val="clear" w:color="auto" w:fill="BFBFBF"/>
            <w:tcMar>
              <w:top w:w="15" w:type="dxa"/>
              <w:left w:w="15" w:type="dxa"/>
              <w:right w:w="15" w:type="dxa"/>
            </w:tcMar>
            <w:vAlign w:val="center"/>
          </w:tcPr>
          <w:p w14:paraId="1C572B12" w14:textId="77777777" w:rsidR="0048516D" w:rsidRPr="0048516D" w:rsidRDefault="0048516D" w:rsidP="0048516D">
            <w:pPr>
              <w:jc w:val="center"/>
              <w:rPr>
                <w:rFonts w:ascii="Verdana" w:hAnsi="Verdana"/>
                <w:i/>
                <w:iCs/>
                <w:szCs w:val="24"/>
                <w:lang w:val="es-ES_tradnl"/>
              </w:rPr>
            </w:pPr>
            <w:r w:rsidRPr="0048516D">
              <w:rPr>
                <w:rFonts w:ascii="Verdana" w:eastAsia="Arial Narrow" w:hAnsi="Verdana" w:cs="Arial Narrow"/>
                <w:b/>
                <w:bCs/>
                <w:i/>
                <w:iCs/>
                <w:sz w:val="18"/>
                <w:szCs w:val="18"/>
                <w:lang w:val="es-ES_tradnl"/>
              </w:rPr>
              <w:t>Área añadida</w:t>
            </w:r>
          </w:p>
        </w:tc>
        <w:tc>
          <w:tcPr>
            <w:tcW w:w="2671" w:type="dxa"/>
            <w:vMerge/>
            <w:tcBorders>
              <w:left w:val="single" w:sz="0" w:space="0" w:color="auto"/>
              <w:bottom w:val="single" w:sz="0" w:space="0" w:color="auto"/>
              <w:right w:val="single" w:sz="0" w:space="0" w:color="auto"/>
            </w:tcBorders>
            <w:vAlign w:val="center"/>
          </w:tcPr>
          <w:p w14:paraId="571C1D11" w14:textId="77777777" w:rsidR="0048516D" w:rsidRPr="0048516D" w:rsidRDefault="0048516D" w:rsidP="0048516D">
            <w:pPr>
              <w:jc w:val="center"/>
              <w:rPr>
                <w:rFonts w:ascii="Verdana" w:hAnsi="Verdana"/>
                <w:i/>
                <w:iCs/>
                <w:szCs w:val="24"/>
                <w:lang w:val="es-ES_tradnl"/>
              </w:rPr>
            </w:pPr>
          </w:p>
        </w:tc>
      </w:tr>
      <w:tr w:rsidR="0048516D" w:rsidRPr="0048516D" w14:paraId="179A52D4" w14:textId="77777777" w:rsidTr="00B92E27">
        <w:trPr>
          <w:trHeight w:val="540"/>
          <w:jc w:val="center"/>
        </w:trPr>
        <w:tc>
          <w:tcPr>
            <w:tcW w:w="761" w:type="dxa"/>
            <w:tcBorders>
              <w:top w:val="nil"/>
              <w:left w:val="single" w:sz="4" w:space="0" w:color="auto"/>
              <w:bottom w:val="single" w:sz="4" w:space="0" w:color="auto"/>
              <w:right w:val="single" w:sz="4" w:space="0" w:color="auto"/>
            </w:tcBorders>
            <w:tcMar>
              <w:top w:w="15" w:type="dxa"/>
              <w:left w:w="15" w:type="dxa"/>
              <w:right w:w="15" w:type="dxa"/>
            </w:tcMar>
            <w:vAlign w:val="center"/>
          </w:tcPr>
          <w:p w14:paraId="02CF37EC" w14:textId="77777777" w:rsidR="0048516D" w:rsidRPr="0048516D" w:rsidRDefault="0048516D" w:rsidP="0048516D">
            <w:pPr>
              <w:jc w:val="center"/>
              <w:rPr>
                <w:rFonts w:ascii="Verdana" w:hAnsi="Verdana"/>
                <w:i/>
                <w:iCs/>
                <w:szCs w:val="24"/>
                <w:lang w:val="es-ES_tradnl"/>
              </w:rPr>
            </w:pPr>
            <w:r w:rsidRPr="0048516D">
              <w:rPr>
                <w:rFonts w:ascii="Verdana" w:eastAsia="Arial Narrow" w:hAnsi="Verdana" w:cs="Arial Narrow"/>
                <w:i/>
                <w:iCs/>
                <w:sz w:val="18"/>
                <w:szCs w:val="18"/>
                <w:lang w:val="es-ES_tradnl"/>
              </w:rPr>
              <w:t>14</w:t>
            </w:r>
          </w:p>
        </w:tc>
        <w:tc>
          <w:tcPr>
            <w:tcW w:w="1194" w:type="dxa"/>
            <w:tcBorders>
              <w:top w:val="nil"/>
              <w:left w:val="single" w:sz="4" w:space="0" w:color="auto"/>
              <w:bottom w:val="single" w:sz="4" w:space="0" w:color="auto"/>
              <w:right w:val="single" w:sz="4" w:space="0" w:color="auto"/>
            </w:tcBorders>
            <w:tcMar>
              <w:top w:w="15" w:type="dxa"/>
              <w:left w:w="15" w:type="dxa"/>
              <w:right w:w="15" w:type="dxa"/>
            </w:tcMar>
            <w:vAlign w:val="center"/>
          </w:tcPr>
          <w:p w14:paraId="62A105EA" w14:textId="77777777" w:rsidR="0048516D" w:rsidRPr="0048516D" w:rsidRDefault="0048516D" w:rsidP="0048516D">
            <w:pPr>
              <w:jc w:val="center"/>
              <w:rPr>
                <w:rFonts w:ascii="Verdana" w:eastAsia="Arial Narrow" w:hAnsi="Verdana" w:cs="Arial Narrow"/>
                <w:i/>
                <w:iCs/>
                <w:sz w:val="18"/>
                <w:szCs w:val="18"/>
                <w:lang w:val="es-ES_tradnl"/>
              </w:rPr>
            </w:pPr>
            <w:r w:rsidRPr="0048516D">
              <w:rPr>
                <w:rFonts w:ascii="Verdana" w:eastAsia="Arial Narrow" w:hAnsi="Verdana" w:cs="Arial Narrow"/>
                <w:i/>
                <w:iCs/>
                <w:sz w:val="18"/>
                <w:szCs w:val="18"/>
                <w:lang w:val="es-ES_tradnl"/>
              </w:rPr>
              <w:t>Cerro Zamaricote</w:t>
            </w:r>
          </w:p>
        </w:tc>
        <w:tc>
          <w:tcPr>
            <w:tcW w:w="1194" w:type="dxa"/>
            <w:tcBorders>
              <w:top w:val="nil"/>
              <w:left w:val="single" w:sz="4" w:space="0" w:color="auto"/>
              <w:bottom w:val="single" w:sz="4" w:space="0" w:color="auto"/>
              <w:right w:val="single" w:sz="4" w:space="0" w:color="auto"/>
            </w:tcBorders>
            <w:tcMar>
              <w:top w:w="15" w:type="dxa"/>
              <w:left w:w="15" w:type="dxa"/>
              <w:right w:w="15" w:type="dxa"/>
            </w:tcMar>
            <w:vAlign w:val="center"/>
          </w:tcPr>
          <w:p w14:paraId="566CD027" w14:textId="77777777" w:rsidR="0048516D" w:rsidRPr="0048516D" w:rsidRDefault="0048516D" w:rsidP="0048516D">
            <w:pPr>
              <w:jc w:val="center"/>
              <w:rPr>
                <w:rFonts w:ascii="Verdana" w:hAnsi="Verdana"/>
                <w:i/>
                <w:iCs/>
                <w:szCs w:val="24"/>
                <w:lang w:val="es-ES_tradnl"/>
              </w:rPr>
            </w:pPr>
            <w:r w:rsidRPr="0048516D">
              <w:rPr>
                <w:rFonts w:ascii="Verdana" w:eastAsia="Arial Narrow" w:hAnsi="Verdana" w:cs="Arial Narrow"/>
                <w:i/>
                <w:iCs/>
                <w:sz w:val="18"/>
                <w:szCs w:val="18"/>
                <w:lang w:val="es-ES_tradnl"/>
              </w:rPr>
              <w:t>Corporinoquia</w:t>
            </w:r>
          </w:p>
        </w:tc>
        <w:tc>
          <w:tcPr>
            <w:tcW w:w="1313"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277A5976" w14:textId="77777777" w:rsidR="0048516D" w:rsidRPr="0048516D" w:rsidRDefault="0048516D" w:rsidP="0048516D">
            <w:pPr>
              <w:jc w:val="center"/>
              <w:rPr>
                <w:rFonts w:ascii="Verdana" w:hAnsi="Verdana"/>
                <w:i/>
                <w:iCs/>
                <w:szCs w:val="24"/>
                <w:lang w:val="es-ES_tradnl"/>
              </w:rPr>
            </w:pPr>
            <w:r w:rsidRPr="0048516D">
              <w:rPr>
                <w:rFonts w:ascii="Verdana" w:eastAsia="Arial Narrow" w:hAnsi="Verdana" w:cs="Arial Narrow"/>
                <w:i/>
                <w:iCs/>
                <w:sz w:val="18"/>
                <w:szCs w:val="18"/>
                <w:lang w:val="es-ES_tradnl"/>
              </w:rPr>
              <w:t>14.357,95</w:t>
            </w:r>
          </w:p>
        </w:tc>
        <w:tc>
          <w:tcPr>
            <w:tcW w:w="791"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1BC6CFEC" w14:textId="77777777" w:rsidR="0048516D" w:rsidRPr="0048516D" w:rsidRDefault="0048516D" w:rsidP="0048516D">
            <w:pPr>
              <w:jc w:val="center"/>
              <w:rPr>
                <w:rFonts w:ascii="Verdana" w:hAnsi="Verdana"/>
                <w:i/>
                <w:iCs/>
                <w:szCs w:val="24"/>
                <w:lang w:val="es-ES_tradnl"/>
              </w:rPr>
            </w:pPr>
            <w:r w:rsidRPr="0048516D">
              <w:rPr>
                <w:rFonts w:ascii="Verdana" w:eastAsia="Arial Narrow" w:hAnsi="Verdana" w:cs="Arial Narrow"/>
                <w:i/>
                <w:iCs/>
                <w:sz w:val="18"/>
                <w:szCs w:val="18"/>
                <w:lang w:val="es-ES_tradnl"/>
              </w:rPr>
              <w:t>15.520,97</w:t>
            </w:r>
          </w:p>
        </w:tc>
        <w:tc>
          <w:tcPr>
            <w:tcW w:w="910"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35235239" w14:textId="77777777" w:rsidR="0048516D" w:rsidRPr="0048516D" w:rsidRDefault="0048516D" w:rsidP="0048516D">
            <w:pPr>
              <w:jc w:val="center"/>
              <w:rPr>
                <w:rFonts w:ascii="Verdana" w:hAnsi="Verdana"/>
                <w:i/>
                <w:iCs/>
                <w:szCs w:val="24"/>
                <w:lang w:val="es-ES_tradnl"/>
              </w:rPr>
            </w:pPr>
            <w:r w:rsidRPr="0048516D">
              <w:rPr>
                <w:rFonts w:ascii="Verdana" w:eastAsia="Arial Narrow" w:hAnsi="Verdana" w:cs="Arial Narrow"/>
                <w:i/>
                <w:iCs/>
                <w:sz w:val="18"/>
                <w:szCs w:val="18"/>
                <w:lang w:val="es-ES_tradnl"/>
              </w:rPr>
              <w:t>1.163,02</w:t>
            </w:r>
          </w:p>
        </w:tc>
        <w:tc>
          <w:tcPr>
            <w:tcW w:w="2671" w:type="dxa"/>
            <w:tcBorders>
              <w:top w:val="nil"/>
              <w:left w:val="single" w:sz="4" w:space="0" w:color="auto"/>
              <w:bottom w:val="single" w:sz="4" w:space="0" w:color="auto"/>
              <w:right w:val="single" w:sz="4" w:space="0" w:color="auto"/>
            </w:tcBorders>
            <w:tcMar>
              <w:top w:w="15" w:type="dxa"/>
              <w:left w:w="15" w:type="dxa"/>
              <w:right w:w="15" w:type="dxa"/>
            </w:tcMar>
            <w:vAlign w:val="center"/>
          </w:tcPr>
          <w:p w14:paraId="2716251B" w14:textId="77777777" w:rsidR="0048516D" w:rsidRPr="0048516D" w:rsidRDefault="0048516D" w:rsidP="0048516D">
            <w:pPr>
              <w:jc w:val="center"/>
              <w:rPr>
                <w:rFonts w:ascii="Verdana" w:hAnsi="Verdana"/>
                <w:i/>
                <w:iCs/>
                <w:szCs w:val="24"/>
                <w:lang w:val="es-ES_tradnl"/>
              </w:rPr>
            </w:pPr>
            <w:r w:rsidRPr="0048516D">
              <w:rPr>
                <w:rFonts w:ascii="Verdana" w:eastAsia="Arial Narrow" w:hAnsi="Verdana" w:cs="Arial Narrow"/>
                <w:i/>
                <w:iCs/>
                <w:sz w:val="18"/>
                <w:szCs w:val="18"/>
                <w:lang w:val="es-ES_tradnl"/>
              </w:rPr>
              <w:t>No presenta superposición con títulos, solicitudes o áreas de reserva especial.</w:t>
            </w:r>
          </w:p>
        </w:tc>
      </w:tr>
      <w:tr w:rsidR="0048516D" w:rsidRPr="0048516D" w14:paraId="5E6B8B22" w14:textId="77777777" w:rsidTr="00B92E27">
        <w:trPr>
          <w:trHeight w:val="540"/>
          <w:jc w:val="center"/>
        </w:trPr>
        <w:tc>
          <w:tcPr>
            <w:tcW w:w="761"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16685693" w14:textId="77777777" w:rsidR="0048516D" w:rsidRPr="0048516D" w:rsidRDefault="0048516D" w:rsidP="0048516D">
            <w:pPr>
              <w:jc w:val="center"/>
              <w:rPr>
                <w:rFonts w:ascii="Verdana" w:hAnsi="Verdana"/>
                <w:i/>
                <w:iCs/>
                <w:szCs w:val="24"/>
                <w:lang w:val="es-ES_tradnl"/>
              </w:rPr>
            </w:pPr>
            <w:r w:rsidRPr="0048516D">
              <w:rPr>
                <w:rFonts w:ascii="Verdana" w:eastAsia="Arial Narrow" w:hAnsi="Verdana" w:cs="Arial Narrow"/>
                <w:i/>
                <w:iCs/>
                <w:sz w:val="18"/>
                <w:szCs w:val="18"/>
                <w:lang w:val="es-ES_tradnl"/>
              </w:rPr>
              <w:t>11</w:t>
            </w:r>
          </w:p>
        </w:tc>
        <w:tc>
          <w:tcPr>
            <w:tcW w:w="1194"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3BCE0AC9" w14:textId="77777777" w:rsidR="0048516D" w:rsidRPr="0048516D" w:rsidRDefault="0048516D" w:rsidP="0048516D">
            <w:pPr>
              <w:jc w:val="center"/>
              <w:rPr>
                <w:rFonts w:ascii="Verdana" w:eastAsia="Arial Narrow" w:hAnsi="Verdana" w:cs="Arial Narrow"/>
                <w:i/>
                <w:iCs/>
                <w:sz w:val="18"/>
                <w:szCs w:val="18"/>
                <w:lang w:val="es-ES_tradnl"/>
              </w:rPr>
            </w:pPr>
            <w:r w:rsidRPr="0048516D">
              <w:rPr>
                <w:rFonts w:ascii="Verdana" w:eastAsia="Arial Narrow" w:hAnsi="Verdana" w:cs="Arial Narrow"/>
                <w:i/>
                <w:iCs/>
                <w:sz w:val="18"/>
                <w:szCs w:val="18"/>
                <w:lang w:val="es-ES_tradnl"/>
              </w:rPr>
              <w:t>Área Corozal</w:t>
            </w:r>
          </w:p>
        </w:tc>
        <w:tc>
          <w:tcPr>
            <w:tcW w:w="1194"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6A80A280" w14:textId="77777777" w:rsidR="0048516D" w:rsidRPr="0048516D" w:rsidRDefault="0048516D" w:rsidP="0048516D">
            <w:pPr>
              <w:jc w:val="center"/>
              <w:rPr>
                <w:rFonts w:ascii="Verdana" w:eastAsia="Arial Narrow" w:hAnsi="Verdana" w:cs="Arial Narrow"/>
                <w:i/>
                <w:iCs/>
                <w:sz w:val="18"/>
                <w:szCs w:val="18"/>
                <w:lang w:val="es-ES_tradnl"/>
              </w:rPr>
            </w:pPr>
            <w:r w:rsidRPr="0048516D">
              <w:rPr>
                <w:rFonts w:ascii="Verdana" w:eastAsia="Arial Narrow" w:hAnsi="Verdana" w:cs="Arial Narrow"/>
                <w:i/>
                <w:iCs/>
                <w:sz w:val="18"/>
                <w:szCs w:val="18"/>
                <w:lang w:val="es-ES_tradnl"/>
              </w:rPr>
              <w:t>Corpocaldas</w:t>
            </w:r>
          </w:p>
        </w:tc>
        <w:tc>
          <w:tcPr>
            <w:tcW w:w="1313"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63E6EE67" w14:textId="77777777" w:rsidR="0048516D" w:rsidRPr="0048516D" w:rsidRDefault="0048516D" w:rsidP="0048516D">
            <w:pPr>
              <w:jc w:val="center"/>
              <w:rPr>
                <w:rFonts w:ascii="Verdana" w:hAnsi="Verdana"/>
                <w:i/>
                <w:iCs/>
                <w:szCs w:val="24"/>
                <w:lang w:val="es-ES_tradnl"/>
              </w:rPr>
            </w:pPr>
            <w:r w:rsidRPr="0048516D">
              <w:rPr>
                <w:rFonts w:ascii="Verdana" w:eastAsia="Arial Narrow" w:hAnsi="Verdana" w:cs="Arial Narrow"/>
                <w:i/>
                <w:iCs/>
                <w:sz w:val="18"/>
                <w:szCs w:val="18"/>
                <w:lang w:val="es-ES_tradnl"/>
              </w:rPr>
              <w:t>1.913,32</w:t>
            </w:r>
          </w:p>
        </w:tc>
        <w:tc>
          <w:tcPr>
            <w:tcW w:w="791"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2D54C075" w14:textId="77777777" w:rsidR="0048516D" w:rsidRPr="0048516D" w:rsidRDefault="0048516D" w:rsidP="0048516D">
            <w:pPr>
              <w:jc w:val="center"/>
              <w:rPr>
                <w:rFonts w:ascii="Verdana" w:hAnsi="Verdana"/>
                <w:i/>
                <w:iCs/>
                <w:szCs w:val="24"/>
                <w:lang w:val="es-ES_tradnl"/>
              </w:rPr>
            </w:pPr>
            <w:r w:rsidRPr="0048516D">
              <w:rPr>
                <w:rFonts w:ascii="Verdana" w:eastAsia="Arial Narrow" w:hAnsi="Verdana" w:cs="Arial Narrow"/>
                <w:i/>
                <w:iCs/>
                <w:sz w:val="18"/>
                <w:szCs w:val="18"/>
                <w:lang w:val="es-ES_tradnl"/>
              </w:rPr>
              <w:t>1.938,40</w:t>
            </w:r>
          </w:p>
        </w:tc>
        <w:tc>
          <w:tcPr>
            <w:tcW w:w="910"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27681695" w14:textId="77777777" w:rsidR="0048516D" w:rsidRPr="0048516D" w:rsidRDefault="0048516D" w:rsidP="0048516D">
            <w:pPr>
              <w:jc w:val="center"/>
              <w:rPr>
                <w:rFonts w:ascii="Verdana" w:hAnsi="Verdana"/>
                <w:i/>
                <w:iCs/>
                <w:szCs w:val="24"/>
                <w:lang w:val="es-ES_tradnl"/>
              </w:rPr>
            </w:pPr>
            <w:r w:rsidRPr="0048516D">
              <w:rPr>
                <w:rFonts w:ascii="Verdana" w:eastAsia="Arial Narrow" w:hAnsi="Verdana" w:cs="Arial Narrow"/>
                <w:i/>
                <w:iCs/>
                <w:sz w:val="18"/>
                <w:szCs w:val="18"/>
                <w:lang w:val="es-ES_tradnl"/>
              </w:rPr>
              <w:t>25,07</w:t>
            </w:r>
          </w:p>
        </w:tc>
        <w:tc>
          <w:tcPr>
            <w:tcW w:w="2671"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5F370FF1" w14:textId="77777777" w:rsidR="0048516D" w:rsidRPr="0048516D" w:rsidRDefault="0048516D" w:rsidP="0048516D">
            <w:pPr>
              <w:jc w:val="center"/>
              <w:rPr>
                <w:rFonts w:ascii="Verdana" w:hAnsi="Verdana"/>
                <w:i/>
                <w:iCs/>
                <w:szCs w:val="24"/>
                <w:lang w:val="es-ES_tradnl"/>
              </w:rPr>
            </w:pPr>
            <w:r w:rsidRPr="0048516D">
              <w:rPr>
                <w:rFonts w:ascii="Verdana" w:eastAsia="Arial Narrow" w:hAnsi="Verdana" w:cs="Arial Narrow"/>
                <w:i/>
                <w:iCs/>
                <w:sz w:val="18"/>
                <w:szCs w:val="18"/>
                <w:lang w:val="es-ES_tradnl"/>
              </w:rPr>
              <w:t>No presenta superposición con títulos, solicitudes o áreas de reserva especial.</w:t>
            </w:r>
          </w:p>
        </w:tc>
      </w:tr>
      <w:tr w:rsidR="0048516D" w:rsidRPr="00B966C6" w14:paraId="3B21AF82" w14:textId="77777777" w:rsidTr="0048516D">
        <w:trPr>
          <w:trHeight w:val="540"/>
          <w:jc w:val="center"/>
        </w:trPr>
        <w:tc>
          <w:tcPr>
            <w:tcW w:w="3149" w:type="dxa"/>
            <w:gridSpan w:val="3"/>
            <w:tcBorders>
              <w:top w:val="single" w:sz="4" w:space="0" w:color="auto"/>
              <w:left w:val="single" w:sz="4" w:space="0" w:color="auto"/>
              <w:bottom w:val="single" w:sz="4" w:space="0" w:color="auto"/>
              <w:right w:val="single" w:sz="4" w:space="0" w:color="auto"/>
            </w:tcBorders>
            <w:shd w:val="clear" w:color="auto" w:fill="BFBFBF"/>
            <w:tcMar>
              <w:top w:w="15" w:type="dxa"/>
              <w:left w:w="15" w:type="dxa"/>
              <w:right w:w="15" w:type="dxa"/>
            </w:tcMar>
            <w:vAlign w:val="center"/>
          </w:tcPr>
          <w:p w14:paraId="5EC5777C" w14:textId="77777777" w:rsidR="0048516D" w:rsidRPr="0048516D" w:rsidRDefault="0048516D" w:rsidP="0048516D">
            <w:pPr>
              <w:jc w:val="center"/>
              <w:rPr>
                <w:rFonts w:ascii="Verdana" w:eastAsia="Arial Narrow" w:hAnsi="Verdana" w:cs="Arial Narrow"/>
                <w:b/>
                <w:bCs/>
                <w:i/>
                <w:iCs/>
                <w:sz w:val="18"/>
                <w:szCs w:val="18"/>
                <w:lang w:val="es-ES_tradnl"/>
              </w:rPr>
            </w:pPr>
            <w:r w:rsidRPr="0048516D">
              <w:rPr>
                <w:rFonts w:ascii="Verdana" w:eastAsia="Arial Narrow" w:hAnsi="Verdana" w:cs="Arial Narrow"/>
                <w:b/>
                <w:bCs/>
                <w:i/>
                <w:iCs/>
                <w:sz w:val="18"/>
                <w:szCs w:val="18"/>
                <w:lang w:val="es-ES_tradnl"/>
              </w:rPr>
              <w:t>Total</w:t>
            </w:r>
          </w:p>
        </w:tc>
        <w:tc>
          <w:tcPr>
            <w:tcW w:w="1313" w:type="dxa"/>
            <w:tcBorders>
              <w:top w:val="single" w:sz="4" w:space="0" w:color="auto"/>
              <w:left w:val="single" w:sz="4" w:space="0" w:color="auto"/>
              <w:bottom w:val="single" w:sz="4" w:space="0" w:color="auto"/>
              <w:right w:val="single" w:sz="4" w:space="0" w:color="auto"/>
            </w:tcBorders>
            <w:shd w:val="clear" w:color="auto" w:fill="BFBFBF"/>
            <w:tcMar>
              <w:top w:w="15" w:type="dxa"/>
              <w:left w:w="15" w:type="dxa"/>
              <w:right w:w="15" w:type="dxa"/>
            </w:tcMar>
            <w:vAlign w:val="center"/>
          </w:tcPr>
          <w:p w14:paraId="5885AB9C" w14:textId="77777777" w:rsidR="0048516D" w:rsidRPr="0048516D" w:rsidRDefault="0048516D" w:rsidP="0048516D">
            <w:pPr>
              <w:jc w:val="center"/>
              <w:rPr>
                <w:rFonts w:ascii="Verdana" w:eastAsia="Arial Narrow" w:hAnsi="Verdana" w:cs="Arial Narrow"/>
                <w:b/>
                <w:bCs/>
                <w:i/>
                <w:iCs/>
                <w:sz w:val="18"/>
                <w:szCs w:val="18"/>
                <w:lang w:val="es-ES_tradnl"/>
              </w:rPr>
            </w:pPr>
            <w:r w:rsidRPr="0048516D">
              <w:rPr>
                <w:rFonts w:ascii="Verdana" w:eastAsia="Arial Narrow" w:hAnsi="Verdana" w:cs="Arial Narrow"/>
                <w:b/>
                <w:bCs/>
                <w:i/>
                <w:iCs/>
                <w:sz w:val="18"/>
                <w:szCs w:val="18"/>
                <w:lang w:val="es-ES_tradnl"/>
              </w:rPr>
              <w:t>16.271,27</w:t>
            </w:r>
          </w:p>
        </w:tc>
        <w:tc>
          <w:tcPr>
            <w:tcW w:w="791" w:type="dxa"/>
            <w:tcBorders>
              <w:top w:val="single" w:sz="4" w:space="0" w:color="auto"/>
              <w:left w:val="single" w:sz="4" w:space="0" w:color="auto"/>
              <w:bottom w:val="single" w:sz="4" w:space="0" w:color="auto"/>
              <w:right w:val="single" w:sz="4" w:space="0" w:color="auto"/>
            </w:tcBorders>
            <w:shd w:val="clear" w:color="auto" w:fill="BFBFBF"/>
            <w:tcMar>
              <w:top w:w="15" w:type="dxa"/>
              <w:left w:w="15" w:type="dxa"/>
              <w:right w:w="15" w:type="dxa"/>
            </w:tcMar>
            <w:vAlign w:val="center"/>
          </w:tcPr>
          <w:p w14:paraId="1B15582A" w14:textId="77777777" w:rsidR="0048516D" w:rsidRPr="0048516D" w:rsidRDefault="0048516D" w:rsidP="0048516D">
            <w:pPr>
              <w:jc w:val="center"/>
              <w:rPr>
                <w:rFonts w:ascii="Verdana" w:eastAsia="Arial Narrow" w:hAnsi="Verdana" w:cs="Arial Narrow"/>
                <w:b/>
                <w:bCs/>
                <w:i/>
                <w:iCs/>
                <w:sz w:val="18"/>
                <w:szCs w:val="18"/>
                <w:lang w:val="es-ES_tradnl"/>
              </w:rPr>
            </w:pPr>
            <w:r w:rsidRPr="0048516D">
              <w:rPr>
                <w:rFonts w:ascii="Verdana" w:eastAsia="Arial Narrow" w:hAnsi="Verdana" w:cs="Arial Narrow"/>
                <w:b/>
                <w:bCs/>
                <w:i/>
                <w:iCs/>
                <w:sz w:val="18"/>
                <w:szCs w:val="18"/>
                <w:lang w:val="es-ES_tradnl"/>
              </w:rPr>
              <w:t>17.459,37</w:t>
            </w:r>
          </w:p>
        </w:tc>
        <w:tc>
          <w:tcPr>
            <w:tcW w:w="910" w:type="dxa"/>
            <w:tcBorders>
              <w:top w:val="single" w:sz="4" w:space="0" w:color="auto"/>
              <w:left w:val="single" w:sz="4" w:space="0" w:color="auto"/>
              <w:bottom w:val="single" w:sz="4" w:space="0" w:color="auto"/>
              <w:right w:val="single" w:sz="4" w:space="0" w:color="auto"/>
            </w:tcBorders>
            <w:shd w:val="clear" w:color="auto" w:fill="BFBFBF"/>
            <w:tcMar>
              <w:top w:w="15" w:type="dxa"/>
              <w:left w:w="15" w:type="dxa"/>
              <w:right w:w="15" w:type="dxa"/>
            </w:tcMar>
            <w:vAlign w:val="center"/>
          </w:tcPr>
          <w:p w14:paraId="1CE40A98" w14:textId="77777777" w:rsidR="0048516D" w:rsidRPr="0048516D" w:rsidRDefault="0048516D" w:rsidP="0048516D">
            <w:pPr>
              <w:jc w:val="center"/>
              <w:rPr>
                <w:rFonts w:ascii="Verdana" w:eastAsia="Arial Narrow" w:hAnsi="Verdana" w:cs="Arial Narrow"/>
                <w:b/>
                <w:bCs/>
                <w:i/>
                <w:iCs/>
                <w:sz w:val="18"/>
                <w:szCs w:val="18"/>
                <w:lang w:val="es-ES_tradnl"/>
              </w:rPr>
            </w:pPr>
            <w:r w:rsidRPr="0048516D">
              <w:rPr>
                <w:rFonts w:ascii="Verdana" w:eastAsia="Arial Narrow" w:hAnsi="Verdana" w:cs="Arial Narrow"/>
                <w:b/>
                <w:bCs/>
                <w:i/>
                <w:iCs/>
                <w:sz w:val="18"/>
                <w:szCs w:val="18"/>
                <w:lang w:val="es-ES_tradnl"/>
              </w:rPr>
              <w:t>1.188,09</w:t>
            </w:r>
          </w:p>
        </w:tc>
        <w:tc>
          <w:tcPr>
            <w:tcW w:w="2671" w:type="dxa"/>
            <w:tcBorders>
              <w:top w:val="single" w:sz="4" w:space="0" w:color="auto"/>
              <w:left w:val="single" w:sz="4" w:space="0" w:color="auto"/>
              <w:bottom w:val="single" w:sz="4" w:space="0" w:color="auto"/>
              <w:right w:val="single" w:sz="4" w:space="0" w:color="auto"/>
            </w:tcBorders>
            <w:shd w:val="clear" w:color="auto" w:fill="BFBFBF"/>
            <w:tcMar>
              <w:top w:w="15" w:type="dxa"/>
              <w:left w:w="15" w:type="dxa"/>
              <w:right w:w="15" w:type="dxa"/>
            </w:tcMar>
            <w:vAlign w:val="center"/>
          </w:tcPr>
          <w:p w14:paraId="737719B2" w14:textId="77777777" w:rsidR="0048516D" w:rsidRPr="0048516D" w:rsidRDefault="0048516D" w:rsidP="0048516D">
            <w:pPr>
              <w:jc w:val="center"/>
              <w:rPr>
                <w:rFonts w:ascii="Verdana" w:eastAsia="Arial Narrow" w:hAnsi="Verdana" w:cs="Arial Narrow"/>
                <w:b/>
                <w:bCs/>
                <w:i/>
                <w:iCs/>
                <w:sz w:val="18"/>
                <w:szCs w:val="18"/>
                <w:lang w:val="es-ES_tradnl"/>
              </w:rPr>
            </w:pPr>
          </w:p>
        </w:tc>
      </w:tr>
    </w:tbl>
    <w:p w14:paraId="1656F328" w14:textId="77777777" w:rsidR="0048516D" w:rsidRPr="0048516D" w:rsidRDefault="0048516D" w:rsidP="0048516D">
      <w:pPr>
        <w:keepNext/>
        <w:jc w:val="both"/>
        <w:rPr>
          <w:rFonts w:ascii="Verdana" w:hAnsi="Verdana"/>
          <w:i/>
          <w:iCs/>
          <w:sz w:val="16"/>
          <w:szCs w:val="16"/>
          <w:lang w:val="es-ES_tradnl"/>
        </w:rPr>
      </w:pPr>
      <w:r w:rsidRPr="0048516D">
        <w:rPr>
          <w:rFonts w:ascii="Verdana" w:hAnsi="Verdana" w:cs="CIDFont+F7"/>
          <w:i/>
          <w:iCs/>
          <w:sz w:val="16"/>
          <w:szCs w:val="16"/>
          <w:lang w:val="es-CO" w:eastAsia="en-US"/>
        </w:rPr>
        <w:t xml:space="preserve">Nota: Los anteriores datos, se calcularon de la siguiente forma: i) para los procesos que no surtieron modificaciones en sus polígonos, el área se tomó del último dato reportado en el shapefile, ii) para los procesos que presentaron modificación en el polígono, en el polígono, se tomó el último dato reportado en el shapefile (Cálculo en Magna </w:t>
      </w:r>
      <w:r w:rsidRPr="0048516D">
        <w:rPr>
          <w:rFonts w:ascii="Verdana" w:hAnsi="Verdana" w:cs="CIDFont+F7"/>
          <w:i/>
          <w:iCs/>
          <w:sz w:val="16"/>
          <w:szCs w:val="16"/>
          <w:lang w:val="es-CO" w:eastAsia="en-US"/>
        </w:rPr>
        <w:lastRenderedPageBreak/>
        <w:t>Sirgas Origen Nacional) por la Corporación atendiendo a los avances en el marco de la Ruta para la declaratoria de áreas protegidas.</w:t>
      </w:r>
    </w:p>
    <w:p w14:paraId="20BB12B6" w14:textId="77777777" w:rsidR="0048516D" w:rsidRPr="0048516D" w:rsidRDefault="0048516D" w:rsidP="0048516D">
      <w:pPr>
        <w:jc w:val="both"/>
        <w:rPr>
          <w:rFonts w:ascii="Verdana" w:hAnsi="Verdana"/>
          <w:i/>
          <w:iCs/>
          <w:szCs w:val="24"/>
          <w:lang w:val="es-ES_tradnl"/>
        </w:rPr>
      </w:pPr>
    </w:p>
    <w:p w14:paraId="43C9870A" w14:textId="77777777" w:rsidR="0048516D" w:rsidRPr="0048516D" w:rsidRDefault="0048516D" w:rsidP="0048516D">
      <w:pPr>
        <w:keepNext/>
        <w:pBdr>
          <w:top w:val="nil"/>
          <w:left w:val="nil"/>
          <w:bottom w:val="nil"/>
          <w:right w:val="nil"/>
          <w:between w:val="nil"/>
          <w:bar w:val="nil"/>
        </w:pBdr>
        <w:contextualSpacing/>
        <w:jc w:val="both"/>
        <w:rPr>
          <w:rFonts w:ascii="Verdana" w:eastAsia="Cambria" w:hAnsi="Verdana" w:cs="Cambria"/>
          <w:i/>
          <w:iCs/>
          <w:color w:val="000000"/>
          <w:sz w:val="22"/>
          <w:szCs w:val="22"/>
          <w:u w:color="000000"/>
          <w:bdr w:val="nil"/>
          <w:lang w:val="es-ES_tradnl" w:eastAsia="es-CO"/>
        </w:rPr>
      </w:pPr>
      <w:r w:rsidRPr="0048516D">
        <w:rPr>
          <w:rFonts w:ascii="Verdana" w:eastAsia="Cambria" w:hAnsi="Verdana" w:cs="Cambria"/>
          <w:i/>
          <w:iCs/>
          <w:color w:val="000000"/>
          <w:sz w:val="22"/>
          <w:szCs w:val="22"/>
          <w:u w:color="000000"/>
          <w:bdr w:val="nil"/>
          <w:lang w:val="es-ES_tradnl" w:eastAsia="es-CO"/>
        </w:rPr>
        <w:t>De acuerdo con el análisis remitido por la Agencia Nacional de Minería, para los polígonos 11 Área Corozal y 14. Cerro Zamaricote, no hay superposición con títulos, solicitudes o áreas de reserva especial, razón por la cual mantendrá el área propuesta por Corpocaldas y Corporinoquia respectivamente.</w:t>
      </w:r>
    </w:p>
    <w:bookmarkEnd w:id="7"/>
    <w:p w14:paraId="254E69F2" w14:textId="77777777" w:rsidR="0048516D" w:rsidRPr="0048516D" w:rsidRDefault="0048516D" w:rsidP="0048516D">
      <w:pPr>
        <w:keepNext/>
        <w:pBdr>
          <w:top w:val="nil"/>
          <w:left w:val="nil"/>
          <w:bottom w:val="nil"/>
          <w:right w:val="nil"/>
          <w:between w:val="nil"/>
          <w:bar w:val="nil"/>
        </w:pBdr>
        <w:contextualSpacing/>
        <w:jc w:val="both"/>
        <w:rPr>
          <w:rFonts w:ascii="Verdana" w:eastAsia="Cambria" w:hAnsi="Verdana" w:cs="Cambria"/>
          <w:i/>
          <w:iCs/>
          <w:color w:val="000000"/>
          <w:sz w:val="22"/>
          <w:szCs w:val="22"/>
          <w:u w:color="000000"/>
          <w:bdr w:val="nil"/>
          <w:lang w:val="es-ES_tradnl" w:eastAsia="es-CO"/>
        </w:rPr>
      </w:pPr>
    </w:p>
    <w:p w14:paraId="0DE691EB" w14:textId="624099AD" w:rsidR="00165824" w:rsidRPr="00B966C6" w:rsidRDefault="00165824" w:rsidP="00E461AA">
      <w:pPr>
        <w:jc w:val="both"/>
        <w:rPr>
          <w:rFonts w:ascii="Verdana" w:hAnsi="Verdana"/>
          <w:i/>
          <w:iCs/>
          <w:sz w:val="22"/>
          <w:szCs w:val="22"/>
          <w:lang w:val="es-ES_tradnl"/>
        </w:rPr>
      </w:pPr>
      <w:r w:rsidRPr="00B966C6">
        <w:rPr>
          <w:rFonts w:ascii="Verdana" w:hAnsi="Verdana"/>
          <w:i/>
          <w:iCs/>
          <w:sz w:val="22"/>
          <w:szCs w:val="22"/>
          <w:lang w:val="es-ES_tradnl"/>
        </w:rPr>
        <w:t>(…)</w:t>
      </w:r>
    </w:p>
    <w:p w14:paraId="391160CC" w14:textId="77777777" w:rsidR="00165824" w:rsidRPr="00B966C6" w:rsidRDefault="00165824" w:rsidP="00E461AA">
      <w:pPr>
        <w:jc w:val="both"/>
        <w:rPr>
          <w:rFonts w:ascii="Verdana" w:hAnsi="Verdana"/>
          <w:i/>
          <w:iCs/>
          <w:sz w:val="22"/>
          <w:szCs w:val="22"/>
          <w:lang w:val="es-ES_tradnl"/>
        </w:rPr>
      </w:pPr>
    </w:p>
    <w:p w14:paraId="045995DA" w14:textId="77777777" w:rsidR="0048516D" w:rsidRPr="0048516D" w:rsidRDefault="0048516D" w:rsidP="0048516D">
      <w:pPr>
        <w:jc w:val="both"/>
        <w:rPr>
          <w:rFonts w:ascii="Verdana" w:hAnsi="Verdana"/>
          <w:i/>
          <w:iCs/>
          <w:sz w:val="22"/>
          <w:szCs w:val="22"/>
          <w:lang w:val="es-CO"/>
        </w:rPr>
      </w:pPr>
      <w:r w:rsidRPr="0048516D">
        <w:rPr>
          <w:rFonts w:ascii="Verdana" w:hAnsi="Verdana"/>
          <w:i/>
          <w:iCs/>
          <w:sz w:val="22"/>
          <w:szCs w:val="22"/>
          <w:lang w:val="es-CO"/>
        </w:rPr>
        <w:t xml:space="preserve">Frente al rediseño del </w:t>
      </w:r>
      <w:r w:rsidRPr="0048516D">
        <w:rPr>
          <w:rFonts w:ascii="Verdana" w:hAnsi="Verdana"/>
          <w:b/>
          <w:bCs/>
          <w:i/>
          <w:iCs/>
          <w:sz w:val="22"/>
          <w:szCs w:val="22"/>
          <w:lang w:val="es-CO"/>
        </w:rPr>
        <w:t>polígono 11 Área Corozal</w:t>
      </w:r>
      <w:r w:rsidRPr="0048516D">
        <w:rPr>
          <w:rFonts w:ascii="Verdana" w:hAnsi="Verdana"/>
          <w:i/>
          <w:iCs/>
          <w:sz w:val="22"/>
          <w:szCs w:val="22"/>
          <w:lang w:val="es-CO"/>
        </w:rPr>
        <w:t xml:space="preserve"> a ser declarada como área protegida, la corporación informó, que en mayo 17 de 2022 se recibió concepto previo favorable del Instituto Alexander Von Humboldt; luego de obtenido dicho concepto se continuó realizando procesos de concertación con propietarios y productores, algunos de los cuales han mostrado no estar de acuerdo con la declaratoria, en especial desde el gremio de productores de aguacate y piscícola, por tanto, se continua el proceso con la comunidad.</w:t>
      </w:r>
    </w:p>
    <w:p w14:paraId="6B0E1391" w14:textId="77777777" w:rsidR="00165824" w:rsidRPr="00B966C6" w:rsidRDefault="00165824" w:rsidP="00165824">
      <w:pPr>
        <w:jc w:val="both"/>
        <w:rPr>
          <w:rFonts w:ascii="Verdana" w:hAnsi="Verdana"/>
          <w:i/>
          <w:iCs/>
          <w:sz w:val="22"/>
          <w:szCs w:val="22"/>
          <w:lang w:val="es-CO"/>
        </w:rPr>
      </w:pPr>
    </w:p>
    <w:p w14:paraId="4AE5A290" w14:textId="0462F0BF" w:rsidR="0048516D" w:rsidRPr="00B966C6" w:rsidRDefault="0048516D" w:rsidP="00165824">
      <w:pPr>
        <w:jc w:val="both"/>
        <w:rPr>
          <w:rFonts w:ascii="Verdana" w:hAnsi="Verdana"/>
          <w:i/>
          <w:iCs/>
          <w:sz w:val="22"/>
          <w:szCs w:val="22"/>
          <w:lang w:val="es-CO"/>
        </w:rPr>
      </w:pPr>
      <w:r w:rsidRPr="00B966C6">
        <w:rPr>
          <w:rFonts w:ascii="Verdana" w:hAnsi="Verdana"/>
          <w:i/>
          <w:iCs/>
          <w:sz w:val="22"/>
          <w:szCs w:val="22"/>
          <w:lang w:val="es-CO"/>
        </w:rPr>
        <w:t>(…)</w:t>
      </w:r>
    </w:p>
    <w:p w14:paraId="28B3E487" w14:textId="77777777" w:rsidR="0048516D" w:rsidRPr="00B966C6" w:rsidRDefault="0048516D" w:rsidP="00165824">
      <w:pPr>
        <w:jc w:val="both"/>
        <w:rPr>
          <w:rFonts w:ascii="Verdana" w:eastAsia="Arial Narrow" w:hAnsi="Verdana" w:cs="Arial Narrow"/>
          <w:i/>
          <w:iCs/>
          <w:sz w:val="22"/>
          <w:szCs w:val="22"/>
          <w:lang w:val="es-CO"/>
        </w:rPr>
      </w:pPr>
    </w:p>
    <w:p w14:paraId="46B572C5" w14:textId="77777777" w:rsidR="0048516D" w:rsidRPr="0048516D" w:rsidRDefault="0048516D" w:rsidP="0048516D">
      <w:pPr>
        <w:jc w:val="both"/>
        <w:rPr>
          <w:rFonts w:ascii="Verdana" w:hAnsi="Verdana"/>
          <w:i/>
          <w:iCs/>
          <w:sz w:val="22"/>
          <w:szCs w:val="22"/>
          <w:lang w:val="es-CO"/>
        </w:rPr>
      </w:pPr>
      <w:bookmarkStart w:id="9" w:name="_Hlk147388025"/>
      <w:r w:rsidRPr="0048516D">
        <w:rPr>
          <w:rFonts w:ascii="Verdana" w:hAnsi="Verdana"/>
          <w:i/>
          <w:iCs/>
          <w:sz w:val="22"/>
          <w:szCs w:val="22"/>
          <w:lang w:val="es-CO"/>
        </w:rPr>
        <w:t>Frente al rediseño del polígono 14 Cerro Zamaricote a ser declarada como área protegida, la corporación informó, que teniendo en cuenta la representatividad del área y sus potenciales atributos ecosistémicos, así como el interés de las comunidades asentadas en el área de influencia del cerro Zamaricote, y el compromiso que tiene la Corporación por conservar los bienes y servicios ambientales, así como el manejo, la administración y reglamentación del área ha priorizado la declaratoria del área y adelantando el proceso de la Ruta declaratoria.</w:t>
      </w:r>
    </w:p>
    <w:p w14:paraId="3A00D312" w14:textId="77777777" w:rsidR="0048516D" w:rsidRPr="0048516D" w:rsidRDefault="0048516D" w:rsidP="0048516D">
      <w:pPr>
        <w:jc w:val="both"/>
        <w:rPr>
          <w:rFonts w:ascii="Verdana" w:hAnsi="Verdana"/>
          <w:i/>
          <w:iCs/>
          <w:sz w:val="22"/>
          <w:szCs w:val="22"/>
          <w:lang w:val="es-CO"/>
        </w:rPr>
      </w:pPr>
    </w:p>
    <w:p w14:paraId="4CAE3BC5" w14:textId="77777777" w:rsidR="0048516D" w:rsidRPr="0048516D" w:rsidRDefault="0048516D" w:rsidP="0048516D">
      <w:pPr>
        <w:spacing w:after="200" w:line="276" w:lineRule="auto"/>
        <w:ind w:left="708"/>
        <w:jc w:val="both"/>
        <w:rPr>
          <w:rFonts w:ascii="Verdana" w:eastAsia="Arial Narrow" w:hAnsi="Verdana" w:cs="Arial Narrow"/>
          <w:i/>
          <w:iCs/>
          <w:color w:val="000000"/>
          <w:sz w:val="22"/>
          <w:szCs w:val="22"/>
          <w:lang w:val="es-CO"/>
        </w:rPr>
      </w:pPr>
      <w:r w:rsidRPr="0048516D">
        <w:rPr>
          <w:rFonts w:ascii="Verdana" w:eastAsia="Arial Narrow" w:hAnsi="Verdana" w:cs="Arial Narrow"/>
          <w:i/>
          <w:iCs/>
          <w:color w:val="000000"/>
          <w:sz w:val="22"/>
          <w:szCs w:val="22"/>
          <w:lang w:val="es-CO"/>
        </w:rPr>
        <w:t>“Se toma como referencia el mapa de ecosistemas del IDEAM (2017) para calcular la representatividad ecológica del sistema, a partir de las áreas protegidas ya declaradas y registradas en el RUNAP. Como resultado de este se observa que para el para el área de estudio se cuenta con un 99,61%, lo que resulta en una representatividad media y baja.  En este caso corresponde a los Orobiomas Alto Andino influencia llanera, Andino Piedemonte Orinoquia, Subandino Alto Andino influencia llanera, Subandino Piedemonte Orinoquia, Subandino Vertiente Llanera Cordillera Oriental.</w:t>
      </w:r>
    </w:p>
    <w:p w14:paraId="5337D36D" w14:textId="77777777" w:rsidR="0048516D" w:rsidRPr="0048516D" w:rsidRDefault="0048516D" w:rsidP="0048516D">
      <w:pPr>
        <w:spacing w:after="200" w:line="276" w:lineRule="auto"/>
        <w:ind w:left="708"/>
        <w:jc w:val="both"/>
        <w:rPr>
          <w:rFonts w:ascii="Verdana" w:eastAsia="Arial Narrow" w:hAnsi="Verdana" w:cs="Arial Narrow"/>
          <w:i/>
          <w:iCs/>
          <w:color w:val="000000"/>
          <w:sz w:val="22"/>
          <w:szCs w:val="22"/>
          <w:lang w:val="es-CO"/>
        </w:rPr>
      </w:pPr>
      <w:r w:rsidRPr="0048516D">
        <w:rPr>
          <w:rFonts w:ascii="Verdana" w:eastAsia="Arial Narrow" w:hAnsi="Verdana" w:cs="Arial Narrow"/>
          <w:i/>
          <w:iCs/>
          <w:color w:val="000000"/>
          <w:sz w:val="22"/>
          <w:szCs w:val="22"/>
          <w:lang w:val="es-CO"/>
        </w:rPr>
        <w:t>Para Corporinoquia, como para el departamento de Casanare y para los municipios con área dentro del Cerro Zamaricote su representatividad está importancia su conservación es la estrella hídrica de Casanare independiente del sistema de drenaje de la cordillera oriental y que vierte sus aguas al eje central de confluencia de aguas en el rio Meta.”</w:t>
      </w:r>
    </w:p>
    <w:p w14:paraId="1FB6D4CA" w14:textId="77777777" w:rsidR="0048516D" w:rsidRPr="00B966C6" w:rsidRDefault="0048516D" w:rsidP="0048516D">
      <w:pPr>
        <w:jc w:val="both"/>
        <w:rPr>
          <w:rFonts w:ascii="Verdana" w:hAnsi="Verdana"/>
          <w:i/>
          <w:iCs/>
          <w:sz w:val="22"/>
          <w:szCs w:val="22"/>
          <w:lang w:val="es-ES_tradnl"/>
        </w:rPr>
      </w:pPr>
      <w:r w:rsidRPr="0048516D">
        <w:rPr>
          <w:rFonts w:ascii="Verdana" w:hAnsi="Verdana"/>
          <w:i/>
          <w:iCs/>
          <w:sz w:val="22"/>
          <w:szCs w:val="22"/>
          <w:lang w:val="es-ES_tradnl"/>
        </w:rPr>
        <w:t xml:space="preserve">Teniendo en cuenta el significativo cambio que presenta el </w:t>
      </w:r>
      <w:r w:rsidRPr="0048516D">
        <w:rPr>
          <w:rFonts w:ascii="Verdana" w:hAnsi="Verdana"/>
          <w:b/>
          <w:bCs/>
          <w:i/>
          <w:iCs/>
          <w:sz w:val="22"/>
          <w:szCs w:val="22"/>
          <w:lang w:val="es-ES_tradnl"/>
        </w:rPr>
        <w:t>polígono 14. Cerro Zamaricote</w:t>
      </w:r>
      <w:r w:rsidRPr="0048516D">
        <w:rPr>
          <w:rFonts w:ascii="Verdana" w:hAnsi="Verdana"/>
          <w:i/>
          <w:iCs/>
          <w:sz w:val="22"/>
          <w:szCs w:val="22"/>
          <w:lang w:val="es-ES_tradnl"/>
        </w:rPr>
        <w:t xml:space="preserve"> del polígono contenido en la Resolución 1125 de 2021, y en el cual la corporación adelantaría la declaratoria de un área protegida, se anexa al presente documento una ficha técnica que describe en detalle las razones que expresa la corporación, para sustentar dicho diseño final del polígono (anexo 2). El anexo en mención constituye parte integral de este documento, junto con </w:t>
      </w:r>
      <w:bookmarkStart w:id="10" w:name="_Hlk147413626"/>
      <w:r w:rsidRPr="0048516D">
        <w:rPr>
          <w:rFonts w:ascii="Verdana" w:hAnsi="Verdana"/>
          <w:i/>
          <w:iCs/>
          <w:sz w:val="22"/>
          <w:szCs w:val="22"/>
          <w:lang w:val="es-ES_tradnl"/>
        </w:rPr>
        <w:t>el archivo geográfico en formato .shape</w:t>
      </w:r>
      <w:bookmarkEnd w:id="10"/>
      <w:r w:rsidRPr="0048516D">
        <w:rPr>
          <w:rFonts w:ascii="Verdana" w:hAnsi="Verdana"/>
          <w:i/>
          <w:iCs/>
          <w:sz w:val="22"/>
          <w:szCs w:val="22"/>
          <w:lang w:val="es-ES_tradnl"/>
        </w:rPr>
        <w:t>, que contiene las áreas que serían incluidas en la eventual prórroga de la resolución en mención.</w:t>
      </w:r>
    </w:p>
    <w:p w14:paraId="199D44A6" w14:textId="77777777" w:rsidR="0048516D" w:rsidRPr="0048516D" w:rsidRDefault="0048516D" w:rsidP="0048516D">
      <w:pPr>
        <w:jc w:val="both"/>
        <w:rPr>
          <w:rFonts w:ascii="Verdana" w:hAnsi="Verdana"/>
          <w:i/>
          <w:iCs/>
          <w:szCs w:val="24"/>
          <w:lang w:val="es-ES_tradnl"/>
        </w:rPr>
      </w:pPr>
    </w:p>
    <w:p w14:paraId="440E1B34" w14:textId="0007346C" w:rsidR="0048516D" w:rsidRPr="0048516D" w:rsidRDefault="0048516D" w:rsidP="0048516D">
      <w:pPr>
        <w:keepNext/>
        <w:spacing w:after="200"/>
        <w:jc w:val="center"/>
        <w:rPr>
          <w:rFonts w:ascii="Verdana" w:hAnsi="Verdana"/>
          <w:i/>
          <w:iCs/>
          <w:sz w:val="18"/>
          <w:szCs w:val="18"/>
          <w:lang w:val="es-ES_tradnl"/>
        </w:rPr>
      </w:pPr>
      <w:bookmarkStart w:id="11" w:name="_Ref84236163"/>
      <w:r w:rsidRPr="0048516D">
        <w:rPr>
          <w:rFonts w:ascii="Verdana" w:hAnsi="Verdana"/>
          <w:i/>
          <w:iCs/>
          <w:sz w:val="18"/>
          <w:szCs w:val="18"/>
          <w:lang w:val="es-ES_tradnl"/>
        </w:rPr>
        <w:t xml:space="preserve">Tabla </w:t>
      </w:r>
      <w:r w:rsidRPr="0048516D">
        <w:rPr>
          <w:rFonts w:ascii="Verdana" w:hAnsi="Verdana"/>
          <w:i/>
          <w:iCs/>
          <w:sz w:val="18"/>
          <w:szCs w:val="18"/>
          <w:lang w:val="es-ES_tradnl"/>
        </w:rPr>
        <w:fldChar w:fldCharType="begin"/>
      </w:r>
      <w:r w:rsidRPr="0048516D">
        <w:rPr>
          <w:rFonts w:ascii="Verdana" w:hAnsi="Verdana"/>
          <w:i/>
          <w:iCs/>
          <w:sz w:val="18"/>
          <w:szCs w:val="18"/>
          <w:lang w:val="es-ES_tradnl"/>
        </w:rPr>
        <w:instrText xml:space="preserve"> SEQ Tabla \* ARABIC </w:instrText>
      </w:r>
      <w:r w:rsidRPr="0048516D">
        <w:rPr>
          <w:rFonts w:ascii="Verdana" w:hAnsi="Verdana"/>
          <w:i/>
          <w:iCs/>
          <w:sz w:val="18"/>
          <w:szCs w:val="18"/>
          <w:lang w:val="es-ES_tradnl"/>
        </w:rPr>
        <w:fldChar w:fldCharType="separate"/>
      </w:r>
      <w:r w:rsidR="001F2062">
        <w:rPr>
          <w:rFonts w:ascii="Verdana" w:hAnsi="Verdana"/>
          <w:i/>
          <w:iCs/>
          <w:noProof/>
          <w:sz w:val="18"/>
          <w:szCs w:val="18"/>
          <w:lang w:val="es-ES_tradnl"/>
        </w:rPr>
        <w:t>4</w:t>
      </w:r>
      <w:r w:rsidRPr="0048516D">
        <w:rPr>
          <w:rFonts w:ascii="Verdana" w:hAnsi="Verdana"/>
          <w:i/>
          <w:iCs/>
          <w:sz w:val="18"/>
          <w:szCs w:val="18"/>
          <w:lang w:val="es-ES_tradnl"/>
        </w:rPr>
        <w:fldChar w:fldCharType="end"/>
      </w:r>
      <w:bookmarkEnd w:id="11"/>
      <w:r w:rsidRPr="0048516D">
        <w:rPr>
          <w:rFonts w:ascii="Verdana" w:hAnsi="Verdana"/>
          <w:i/>
          <w:iCs/>
          <w:sz w:val="18"/>
          <w:szCs w:val="18"/>
          <w:lang w:val="es-ES_tradnl"/>
        </w:rPr>
        <w:t>. Áreas que disminuyen sus áreas.</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0" w:type="dxa"/>
          <w:right w:w="70" w:type="dxa"/>
        </w:tblCellMar>
        <w:tblLook w:val="04A0" w:firstRow="1" w:lastRow="0" w:firstColumn="1" w:lastColumn="0" w:noHBand="0" w:noVBand="1"/>
      </w:tblPr>
      <w:tblGrid>
        <w:gridCol w:w="1158"/>
        <w:gridCol w:w="1568"/>
        <w:gridCol w:w="1311"/>
        <w:gridCol w:w="2760"/>
        <w:gridCol w:w="1116"/>
        <w:gridCol w:w="1291"/>
      </w:tblGrid>
      <w:tr w:rsidR="0048516D" w:rsidRPr="00B966C6" w14:paraId="43DD608F" w14:textId="77777777" w:rsidTr="0048516D">
        <w:trPr>
          <w:trHeight w:val="20"/>
          <w:tblHeader/>
          <w:jc w:val="center"/>
        </w:trPr>
        <w:tc>
          <w:tcPr>
            <w:tcW w:w="515" w:type="pct"/>
            <w:vMerge w:val="restart"/>
            <w:shd w:val="clear" w:color="auto" w:fill="BFBFBF"/>
            <w:noWrap/>
            <w:vAlign w:val="center"/>
            <w:hideMark/>
          </w:tcPr>
          <w:p w14:paraId="6C368137" w14:textId="77777777" w:rsidR="0048516D" w:rsidRPr="0048516D" w:rsidRDefault="0048516D" w:rsidP="0048516D">
            <w:pPr>
              <w:jc w:val="center"/>
              <w:rPr>
                <w:rFonts w:ascii="Verdana" w:hAnsi="Verdana"/>
                <w:b/>
                <w:bCs/>
                <w:i/>
                <w:iCs/>
                <w:sz w:val="18"/>
                <w:szCs w:val="18"/>
                <w:lang w:val="es-CO" w:eastAsia="es-CO"/>
              </w:rPr>
            </w:pPr>
            <w:r w:rsidRPr="0048516D">
              <w:rPr>
                <w:rFonts w:ascii="Verdana" w:hAnsi="Verdana"/>
                <w:b/>
                <w:bCs/>
                <w:i/>
                <w:iCs/>
                <w:sz w:val="18"/>
                <w:szCs w:val="18"/>
                <w:lang w:val="es-CO" w:eastAsia="es-CO"/>
              </w:rPr>
              <w:t>N° Polígono</w:t>
            </w:r>
          </w:p>
        </w:tc>
        <w:tc>
          <w:tcPr>
            <w:tcW w:w="1552" w:type="pct"/>
            <w:vMerge w:val="restart"/>
            <w:shd w:val="clear" w:color="auto" w:fill="BFBFBF"/>
            <w:noWrap/>
            <w:vAlign w:val="center"/>
            <w:hideMark/>
          </w:tcPr>
          <w:p w14:paraId="02080755" w14:textId="77777777" w:rsidR="0048516D" w:rsidRPr="0048516D" w:rsidRDefault="0048516D" w:rsidP="0048516D">
            <w:pPr>
              <w:jc w:val="center"/>
              <w:rPr>
                <w:rFonts w:ascii="Verdana" w:hAnsi="Verdana"/>
                <w:b/>
                <w:bCs/>
                <w:i/>
                <w:iCs/>
                <w:sz w:val="18"/>
                <w:szCs w:val="18"/>
                <w:lang w:val="es-CO" w:eastAsia="es-CO"/>
              </w:rPr>
            </w:pPr>
            <w:r w:rsidRPr="0048516D">
              <w:rPr>
                <w:rFonts w:ascii="Verdana" w:hAnsi="Verdana"/>
                <w:b/>
                <w:bCs/>
                <w:i/>
                <w:iCs/>
                <w:sz w:val="18"/>
                <w:szCs w:val="18"/>
                <w:lang w:val="es-CO" w:eastAsia="es-CO"/>
              </w:rPr>
              <w:t>Nombre del área</w:t>
            </w:r>
          </w:p>
        </w:tc>
        <w:tc>
          <w:tcPr>
            <w:tcW w:w="856" w:type="pct"/>
            <w:vMerge w:val="restart"/>
            <w:shd w:val="clear" w:color="auto" w:fill="BFBFBF"/>
            <w:vAlign w:val="center"/>
            <w:hideMark/>
          </w:tcPr>
          <w:p w14:paraId="090DEE2C" w14:textId="77777777" w:rsidR="0048516D" w:rsidRPr="0048516D" w:rsidRDefault="0048516D" w:rsidP="0048516D">
            <w:pPr>
              <w:jc w:val="center"/>
              <w:rPr>
                <w:rFonts w:ascii="Verdana" w:hAnsi="Verdana"/>
                <w:b/>
                <w:bCs/>
                <w:i/>
                <w:iCs/>
                <w:sz w:val="18"/>
                <w:szCs w:val="18"/>
                <w:lang w:val="es-CO" w:eastAsia="es-CO"/>
              </w:rPr>
            </w:pPr>
            <w:r w:rsidRPr="0048516D">
              <w:rPr>
                <w:rFonts w:ascii="Verdana" w:hAnsi="Verdana"/>
                <w:b/>
                <w:bCs/>
                <w:i/>
                <w:iCs/>
                <w:sz w:val="18"/>
                <w:szCs w:val="18"/>
                <w:lang w:val="es-CO" w:eastAsia="es-CO"/>
              </w:rPr>
              <w:t>Corporación</w:t>
            </w:r>
          </w:p>
        </w:tc>
        <w:tc>
          <w:tcPr>
            <w:tcW w:w="2077" w:type="pct"/>
            <w:gridSpan w:val="3"/>
            <w:shd w:val="clear" w:color="auto" w:fill="BFBFBF"/>
            <w:noWrap/>
            <w:vAlign w:val="center"/>
            <w:hideMark/>
          </w:tcPr>
          <w:p w14:paraId="7676BA7E" w14:textId="77777777" w:rsidR="0048516D" w:rsidRPr="0048516D" w:rsidRDefault="0048516D" w:rsidP="0048516D">
            <w:pPr>
              <w:jc w:val="center"/>
              <w:rPr>
                <w:rFonts w:ascii="Verdana" w:hAnsi="Verdana"/>
                <w:b/>
                <w:bCs/>
                <w:i/>
                <w:iCs/>
                <w:sz w:val="18"/>
                <w:szCs w:val="18"/>
                <w:lang w:val="es-CO" w:eastAsia="es-CO"/>
              </w:rPr>
            </w:pPr>
            <w:r w:rsidRPr="0048516D">
              <w:rPr>
                <w:rFonts w:ascii="Verdana" w:hAnsi="Verdana"/>
                <w:b/>
                <w:bCs/>
                <w:i/>
                <w:iCs/>
                <w:sz w:val="18"/>
                <w:szCs w:val="18"/>
                <w:lang w:val="es-CO" w:eastAsia="es-CO"/>
              </w:rPr>
              <w:t>Área (ha)</w:t>
            </w:r>
          </w:p>
        </w:tc>
      </w:tr>
      <w:tr w:rsidR="0048516D" w:rsidRPr="00B966C6" w14:paraId="66A8A677" w14:textId="77777777" w:rsidTr="0048516D">
        <w:trPr>
          <w:trHeight w:val="494"/>
          <w:tblHeader/>
          <w:jc w:val="center"/>
        </w:trPr>
        <w:tc>
          <w:tcPr>
            <w:tcW w:w="515" w:type="pct"/>
            <w:vMerge/>
            <w:vAlign w:val="center"/>
            <w:hideMark/>
          </w:tcPr>
          <w:p w14:paraId="1ECE3521" w14:textId="77777777" w:rsidR="0048516D" w:rsidRPr="0048516D" w:rsidRDefault="0048516D" w:rsidP="0048516D">
            <w:pPr>
              <w:jc w:val="center"/>
              <w:rPr>
                <w:rFonts w:ascii="Verdana" w:hAnsi="Verdana"/>
                <w:b/>
                <w:bCs/>
                <w:i/>
                <w:iCs/>
                <w:sz w:val="18"/>
                <w:lang w:val="es-CO" w:eastAsia="es-CO"/>
              </w:rPr>
            </w:pPr>
          </w:p>
        </w:tc>
        <w:tc>
          <w:tcPr>
            <w:tcW w:w="1552" w:type="pct"/>
            <w:vMerge/>
            <w:vAlign w:val="center"/>
            <w:hideMark/>
          </w:tcPr>
          <w:p w14:paraId="67D8EB08" w14:textId="77777777" w:rsidR="0048516D" w:rsidRPr="0048516D" w:rsidRDefault="0048516D" w:rsidP="0048516D">
            <w:pPr>
              <w:jc w:val="center"/>
              <w:rPr>
                <w:rFonts w:ascii="Verdana" w:hAnsi="Verdana"/>
                <w:b/>
                <w:bCs/>
                <w:i/>
                <w:iCs/>
                <w:sz w:val="18"/>
                <w:lang w:val="es-CO" w:eastAsia="es-CO"/>
              </w:rPr>
            </w:pPr>
          </w:p>
        </w:tc>
        <w:tc>
          <w:tcPr>
            <w:tcW w:w="856" w:type="pct"/>
            <w:vMerge/>
            <w:vAlign w:val="center"/>
            <w:hideMark/>
          </w:tcPr>
          <w:p w14:paraId="07BD8D04" w14:textId="77777777" w:rsidR="0048516D" w:rsidRPr="0048516D" w:rsidRDefault="0048516D" w:rsidP="0048516D">
            <w:pPr>
              <w:jc w:val="center"/>
              <w:rPr>
                <w:rFonts w:ascii="Verdana" w:hAnsi="Verdana"/>
                <w:b/>
                <w:bCs/>
                <w:i/>
                <w:iCs/>
                <w:sz w:val="18"/>
                <w:lang w:val="es-CO" w:eastAsia="es-CO"/>
              </w:rPr>
            </w:pPr>
          </w:p>
        </w:tc>
        <w:tc>
          <w:tcPr>
            <w:tcW w:w="870" w:type="pct"/>
            <w:shd w:val="clear" w:color="auto" w:fill="BFBFBF"/>
            <w:noWrap/>
            <w:vAlign w:val="center"/>
            <w:hideMark/>
          </w:tcPr>
          <w:p w14:paraId="0DD796A4" w14:textId="77777777" w:rsidR="0048516D" w:rsidRPr="0048516D" w:rsidRDefault="0048516D" w:rsidP="0048516D">
            <w:pPr>
              <w:jc w:val="center"/>
              <w:rPr>
                <w:rFonts w:ascii="Verdana" w:hAnsi="Verdana"/>
                <w:b/>
                <w:bCs/>
                <w:i/>
                <w:iCs/>
                <w:sz w:val="18"/>
                <w:szCs w:val="18"/>
                <w:lang w:val="es-CO" w:eastAsia="es-CO"/>
              </w:rPr>
            </w:pPr>
            <w:r w:rsidRPr="0048516D">
              <w:rPr>
                <w:rFonts w:ascii="Verdana" w:hAnsi="Verdana"/>
                <w:b/>
                <w:bCs/>
                <w:i/>
                <w:iCs/>
                <w:sz w:val="18"/>
                <w:szCs w:val="18"/>
                <w:lang w:val="es-CO" w:eastAsia="es-CO"/>
              </w:rPr>
              <w:t>Área Resolución 1125 de 2021</w:t>
            </w:r>
          </w:p>
        </w:tc>
        <w:tc>
          <w:tcPr>
            <w:tcW w:w="604" w:type="pct"/>
            <w:shd w:val="clear" w:color="auto" w:fill="BFBFBF"/>
            <w:noWrap/>
            <w:vAlign w:val="center"/>
            <w:hideMark/>
          </w:tcPr>
          <w:p w14:paraId="22BAD04C" w14:textId="77777777" w:rsidR="0048516D" w:rsidRPr="0048516D" w:rsidRDefault="0048516D" w:rsidP="0048516D">
            <w:pPr>
              <w:jc w:val="center"/>
              <w:rPr>
                <w:rFonts w:ascii="Verdana" w:hAnsi="Verdana"/>
                <w:b/>
                <w:bCs/>
                <w:i/>
                <w:iCs/>
                <w:sz w:val="18"/>
                <w:szCs w:val="18"/>
                <w:lang w:val="es-CO" w:eastAsia="es-CO"/>
              </w:rPr>
            </w:pPr>
            <w:r w:rsidRPr="0048516D">
              <w:rPr>
                <w:rFonts w:ascii="Verdana" w:hAnsi="Verdana"/>
                <w:b/>
                <w:bCs/>
                <w:i/>
                <w:iCs/>
                <w:sz w:val="18"/>
                <w:szCs w:val="18"/>
                <w:lang w:val="es-CO" w:eastAsia="es-CO"/>
              </w:rPr>
              <w:t>Área actual</w:t>
            </w:r>
          </w:p>
        </w:tc>
        <w:tc>
          <w:tcPr>
            <w:tcW w:w="604" w:type="pct"/>
            <w:shd w:val="clear" w:color="auto" w:fill="BFBFBF"/>
            <w:noWrap/>
            <w:vAlign w:val="center"/>
            <w:hideMark/>
          </w:tcPr>
          <w:p w14:paraId="73D5A85B" w14:textId="77777777" w:rsidR="0048516D" w:rsidRPr="0048516D" w:rsidRDefault="0048516D" w:rsidP="0048516D">
            <w:pPr>
              <w:jc w:val="center"/>
              <w:rPr>
                <w:rFonts w:ascii="Verdana" w:hAnsi="Verdana"/>
                <w:b/>
                <w:bCs/>
                <w:i/>
                <w:iCs/>
                <w:sz w:val="18"/>
                <w:szCs w:val="18"/>
                <w:lang w:val="es-CO" w:eastAsia="es-CO"/>
              </w:rPr>
            </w:pPr>
            <w:r w:rsidRPr="0048516D">
              <w:rPr>
                <w:rFonts w:ascii="Verdana" w:hAnsi="Verdana"/>
                <w:b/>
                <w:bCs/>
                <w:i/>
                <w:iCs/>
                <w:sz w:val="18"/>
                <w:szCs w:val="18"/>
                <w:lang w:val="es-CO" w:eastAsia="es-CO"/>
              </w:rPr>
              <w:t>Área liberada</w:t>
            </w:r>
          </w:p>
        </w:tc>
      </w:tr>
      <w:tr w:rsidR="0048516D" w:rsidRPr="00B966C6" w14:paraId="76DD2ABB" w14:textId="77777777" w:rsidTr="0048516D">
        <w:trPr>
          <w:trHeight w:val="20"/>
          <w:jc w:val="center"/>
        </w:trPr>
        <w:tc>
          <w:tcPr>
            <w:tcW w:w="515" w:type="pct"/>
            <w:shd w:val="clear" w:color="auto" w:fill="auto"/>
            <w:noWrap/>
            <w:vAlign w:val="center"/>
          </w:tcPr>
          <w:p w14:paraId="6F07035C" w14:textId="77777777" w:rsidR="0048516D" w:rsidRPr="0048516D" w:rsidRDefault="0048516D" w:rsidP="0048516D">
            <w:pPr>
              <w:jc w:val="center"/>
              <w:rPr>
                <w:rFonts w:ascii="Verdana" w:hAnsi="Verdana"/>
                <w:i/>
                <w:iCs/>
                <w:sz w:val="18"/>
                <w:szCs w:val="18"/>
                <w:lang w:val="es-ES_tradnl"/>
              </w:rPr>
            </w:pPr>
            <w:r w:rsidRPr="0048516D">
              <w:rPr>
                <w:rFonts w:ascii="Verdana" w:hAnsi="Verdana"/>
                <w:i/>
                <w:iCs/>
                <w:sz w:val="18"/>
                <w:szCs w:val="18"/>
                <w:lang w:val="es-ES_tradnl"/>
              </w:rPr>
              <w:t>47</w:t>
            </w:r>
          </w:p>
        </w:tc>
        <w:tc>
          <w:tcPr>
            <w:tcW w:w="1552" w:type="pct"/>
            <w:shd w:val="clear" w:color="auto" w:fill="auto"/>
            <w:noWrap/>
            <w:vAlign w:val="center"/>
          </w:tcPr>
          <w:p w14:paraId="7B18E258" w14:textId="77777777" w:rsidR="0048516D" w:rsidRPr="0048516D" w:rsidRDefault="0048516D" w:rsidP="0048516D">
            <w:pPr>
              <w:jc w:val="center"/>
              <w:rPr>
                <w:rFonts w:ascii="Verdana" w:hAnsi="Verdana"/>
                <w:i/>
                <w:iCs/>
                <w:sz w:val="18"/>
                <w:szCs w:val="18"/>
                <w:lang w:val="es-ES_tradnl"/>
              </w:rPr>
            </w:pPr>
            <w:r w:rsidRPr="0048516D">
              <w:rPr>
                <w:rFonts w:ascii="Verdana" w:hAnsi="Verdana"/>
                <w:i/>
                <w:iCs/>
                <w:sz w:val="18"/>
                <w:szCs w:val="18"/>
                <w:lang w:val="es-ES_tradnl"/>
              </w:rPr>
              <w:t>Cañón Rio Lebrija</w:t>
            </w:r>
          </w:p>
        </w:tc>
        <w:tc>
          <w:tcPr>
            <w:tcW w:w="856" w:type="pct"/>
            <w:shd w:val="clear" w:color="auto" w:fill="auto"/>
            <w:noWrap/>
            <w:vAlign w:val="center"/>
          </w:tcPr>
          <w:p w14:paraId="04B048FA" w14:textId="77777777" w:rsidR="0048516D" w:rsidRPr="0048516D" w:rsidRDefault="0048516D" w:rsidP="0048516D">
            <w:pPr>
              <w:jc w:val="center"/>
              <w:rPr>
                <w:rFonts w:ascii="Verdana" w:hAnsi="Verdana"/>
                <w:i/>
                <w:iCs/>
                <w:sz w:val="18"/>
                <w:szCs w:val="18"/>
                <w:lang w:val="es-ES_tradnl"/>
              </w:rPr>
            </w:pPr>
            <w:r w:rsidRPr="0048516D">
              <w:rPr>
                <w:rFonts w:ascii="Verdana" w:hAnsi="Verdana"/>
                <w:i/>
                <w:iCs/>
                <w:sz w:val="18"/>
                <w:szCs w:val="18"/>
                <w:lang w:val="es-ES_tradnl"/>
              </w:rPr>
              <w:t>CDMB</w:t>
            </w:r>
          </w:p>
        </w:tc>
        <w:tc>
          <w:tcPr>
            <w:tcW w:w="870" w:type="pct"/>
            <w:shd w:val="clear" w:color="auto" w:fill="auto"/>
            <w:noWrap/>
            <w:vAlign w:val="center"/>
          </w:tcPr>
          <w:p w14:paraId="79EC4DCC" w14:textId="77777777" w:rsidR="0048516D" w:rsidRPr="0048516D" w:rsidRDefault="0048516D" w:rsidP="0048516D">
            <w:pPr>
              <w:jc w:val="center"/>
              <w:rPr>
                <w:rFonts w:ascii="Verdana" w:hAnsi="Verdana"/>
                <w:i/>
                <w:iCs/>
                <w:sz w:val="18"/>
                <w:szCs w:val="18"/>
                <w:lang w:val="es-ES_tradnl"/>
              </w:rPr>
            </w:pPr>
            <w:r w:rsidRPr="0048516D">
              <w:rPr>
                <w:rFonts w:ascii="Verdana" w:hAnsi="Verdana"/>
                <w:i/>
                <w:iCs/>
                <w:sz w:val="18"/>
                <w:szCs w:val="18"/>
                <w:lang w:val="es-ES_tradnl"/>
              </w:rPr>
              <w:t>3.912,80</w:t>
            </w:r>
          </w:p>
        </w:tc>
        <w:tc>
          <w:tcPr>
            <w:tcW w:w="604" w:type="pct"/>
            <w:shd w:val="clear" w:color="auto" w:fill="auto"/>
            <w:noWrap/>
            <w:vAlign w:val="center"/>
          </w:tcPr>
          <w:p w14:paraId="7971870A" w14:textId="77777777" w:rsidR="0048516D" w:rsidRPr="0048516D" w:rsidRDefault="0048516D" w:rsidP="0048516D">
            <w:pPr>
              <w:jc w:val="center"/>
              <w:rPr>
                <w:rFonts w:ascii="Verdana" w:hAnsi="Verdana"/>
                <w:i/>
                <w:iCs/>
                <w:sz w:val="18"/>
                <w:szCs w:val="18"/>
                <w:lang w:val="es-ES_tradnl"/>
              </w:rPr>
            </w:pPr>
            <w:r w:rsidRPr="0048516D">
              <w:rPr>
                <w:rFonts w:ascii="Verdana" w:hAnsi="Verdana"/>
                <w:i/>
                <w:iCs/>
                <w:sz w:val="18"/>
                <w:szCs w:val="18"/>
                <w:lang w:val="es-ES_tradnl"/>
              </w:rPr>
              <w:t>1.857,53</w:t>
            </w:r>
          </w:p>
        </w:tc>
        <w:tc>
          <w:tcPr>
            <w:tcW w:w="604" w:type="pct"/>
            <w:shd w:val="clear" w:color="auto" w:fill="auto"/>
            <w:noWrap/>
            <w:vAlign w:val="center"/>
          </w:tcPr>
          <w:p w14:paraId="13567542" w14:textId="77777777" w:rsidR="0048516D" w:rsidRPr="0048516D" w:rsidRDefault="0048516D" w:rsidP="0048516D">
            <w:pPr>
              <w:jc w:val="center"/>
              <w:rPr>
                <w:rFonts w:ascii="Verdana" w:hAnsi="Verdana"/>
                <w:i/>
                <w:iCs/>
                <w:sz w:val="18"/>
                <w:szCs w:val="18"/>
                <w:lang w:val="es-ES_tradnl" w:eastAsia="es-CO"/>
              </w:rPr>
            </w:pPr>
            <w:r w:rsidRPr="0048516D">
              <w:rPr>
                <w:rFonts w:ascii="Verdana" w:hAnsi="Verdana"/>
                <w:i/>
                <w:iCs/>
                <w:sz w:val="18"/>
                <w:szCs w:val="18"/>
                <w:lang w:val="es-ES_tradnl"/>
              </w:rPr>
              <w:t>2.055,27</w:t>
            </w:r>
          </w:p>
        </w:tc>
      </w:tr>
      <w:tr w:rsidR="0048516D" w:rsidRPr="00B966C6" w14:paraId="7CD02E46" w14:textId="77777777" w:rsidTr="0048516D">
        <w:trPr>
          <w:trHeight w:val="20"/>
          <w:jc w:val="center"/>
        </w:trPr>
        <w:tc>
          <w:tcPr>
            <w:tcW w:w="515" w:type="pct"/>
            <w:shd w:val="clear" w:color="auto" w:fill="auto"/>
            <w:noWrap/>
            <w:vAlign w:val="center"/>
          </w:tcPr>
          <w:p w14:paraId="1DBD4C42" w14:textId="77777777" w:rsidR="0048516D" w:rsidRPr="0048516D" w:rsidRDefault="0048516D" w:rsidP="0048516D">
            <w:pPr>
              <w:jc w:val="center"/>
              <w:rPr>
                <w:rFonts w:ascii="Verdana" w:hAnsi="Verdana"/>
                <w:i/>
                <w:iCs/>
                <w:sz w:val="18"/>
                <w:szCs w:val="18"/>
                <w:lang w:val="es-ES_tradnl"/>
              </w:rPr>
            </w:pPr>
            <w:r w:rsidRPr="0048516D">
              <w:rPr>
                <w:rFonts w:ascii="Verdana" w:hAnsi="Verdana"/>
                <w:i/>
                <w:iCs/>
                <w:sz w:val="18"/>
                <w:szCs w:val="18"/>
                <w:lang w:val="es-ES_tradnl"/>
              </w:rPr>
              <w:t>51</w:t>
            </w:r>
          </w:p>
        </w:tc>
        <w:tc>
          <w:tcPr>
            <w:tcW w:w="1552" w:type="pct"/>
            <w:shd w:val="clear" w:color="auto" w:fill="auto"/>
            <w:noWrap/>
            <w:vAlign w:val="center"/>
          </w:tcPr>
          <w:p w14:paraId="0223516D" w14:textId="77777777" w:rsidR="0048516D" w:rsidRPr="0048516D" w:rsidRDefault="0048516D" w:rsidP="0048516D">
            <w:pPr>
              <w:jc w:val="center"/>
              <w:rPr>
                <w:rFonts w:ascii="Verdana" w:hAnsi="Verdana"/>
                <w:i/>
                <w:iCs/>
                <w:sz w:val="18"/>
                <w:szCs w:val="18"/>
                <w:lang w:val="es-ES_tradnl"/>
              </w:rPr>
            </w:pPr>
            <w:r w:rsidRPr="0048516D">
              <w:rPr>
                <w:rFonts w:ascii="Verdana" w:hAnsi="Verdana"/>
                <w:i/>
                <w:iCs/>
                <w:sz w:val="18"/>
                <w:szCs w:val="18"/>
                <w:lang w:val="es-ES_tradnl"/>
              </w:rPr>
              <w:t>Andino Pacífica</w:t>
            </w:r>
          </w:p>
        </w:tc>
        <w:tc>
          <w:tcPr>
            <w:tcW w:w="856" w:type="pct"/>
            <w:shd w:val="clear" w:color="auto" w:fill="auto"/>
            <w:noWrap/>
            <w:vAlign w:val="center"/>
          </w:tcPr>
          <w:p w14:paraId="1FF78716" w14:textId="77777777" w:rsidR="0048516D" w:rsidRPr="0048516D" w:rsidRDefault="0048516D" w:rsidP="0048516D">
            <w:pPr>
              <w:jc w:val="center"/>
              <w:rPr>
                <w:rFonts w:ascii="Verdana" w:hAnsi="Verdana"/>
                <w:i/>
                <w:iCs/>
                <w:sz w:val="18"/>
                <w:szCs w:val="18"/>
                <w:lang w:val="es-CO" w:eastAsia="es-CO"/>
              </w:rPr>
            </w:pPr>
            <w:r w:rsidRPr="0048516D">
              <w:rPr>
                <w:rFonts w:ascii="Verdana" w:hAnsi="Verdana"/>
                <w:i/>
                <w:iCs/>
                <w:sz w:val="18"/>
                <w:szCs w:val="18"/>
                <w:lang w:val="es-ES_tradnl"/>
              </w:rPr>
              <w:t>CORPONARIÑO</w:t>
            </w:r>
          </w:p>
        </w:tc>
        <w:tc>
          <w:tcPr>
            <w:tcW w:w="870" w:type="pct"/>
            <w:shd w:val="clear" w:color="auto" w:fill="auto"/>
            <w:noWrap/>
            <w:vAlign w:val="center"/>
          </w:tcPr>
          <w:p w14:paraId="76060B37" w14:textId="77777777" w:rsidR="0048516D" w:rsidRPr="0048516D" w:rsidRDefault="0048516D" w:rsidP="0048516D">
            <w:pPr>
              <w:jc w:val="center"/>
              <w:rPr>
                <w:rFonts w:ascii="Verdana" w:hAnsi="Verdana"/>
                <w:i/>
                <w:iCs/>
                <w:sz w:val="18"/>
                <w:szCs w:val="18"/>
                <w:lang w:val="es-ES_tradnl"/>
              </w:rPr>
            </w:pPr>
            <w:r w:rsidRPr="0048516D">
              <w:rPr>
                <w:rFonts w:ascii="Verdana" w:hAnsi="Verdana"/>
                <w:i/>
                <w:iCs/>
                <w:sz w:val="18"/>
                <w:szCs w:val="18"/>
                <w:lang w:val="es-ES_tradnl"/>
              </w:rPr>
              <w:t>19.469,03</w:t>
            </w:r>
          </w:p>
        </w:tc>
        <w:tc>
          <w:tcPr>
            <w:tcW w:w="604" w:type="pct"/>
            <w:shd w:val="clear" w:color="auto" w:fill="auto"/>
            <w:noWrap/>
            <w:vAlign w:val="center"/>
          </w:tcPr>
          <w:p w14:paraId="60E944F9" w14:textId="77777777" w:rsidR="0048516D" w:rsidRPr="0048516D" w:rsidRDefault="0048516D" w:rsidP="0048516D">
            <w:pPr>
              <w:jc w:val="center"/>
              <w:rPr>
                <w:rFonts w:ascii="Verdana" w:hAnsi="Verdana"/>
                <w:i/>
                <w:iCs/>
                <w:sz w:val="18"/>
                <w:szCs w:val="18"/>
                <w:lang w:val="es-ES_tradnl" w:eastAsia="es-CO"/>
              </w:rPr>
            </w:pPr>
            <w:r w:rsidRPr="0048516D">
              <w:rPr>
                <w:rFonts w:ascii="Verdana" w:hAnsi="Verdana"/>
                <w:i/>
                <w:iCs/>
                <w:sz w:val="18"/>
                <w:szCs w:val="18"/>
                <w:lang w:val="es-ES_tradnl"/>
              </w:rPr>
              <w:t>11.761,21</w:t>
            </w:r>
          </w:p>
        </w:tc>
        <w:tc>
          <w:tcPr>
            <w:tcW w:w="604" w:type="pct"/>
            <w:shd w:val="clear" w:color="auto" w:fill="auto"/>
            <w:noWrap/>
            <w:vAlign w:val="center"/>
          </w:tcPr>
          <w:p w14:paraId="7007F85E" w14:textId="77777777" w:rsidR="0048516D" w:rsidRPr="0048516D" w:rsidRDefault="0048516D" w:rsidP="0048516D">
            <w:pPr>
              <w:jc w:val="center"/>
              <w:rPr>
                <w:rFonts w:ascii="Verdana" w:hAnsi="Verdana"/>
                <w:i/>
                <w:iCs/>
                <w:sz w:val="18"/>
                <w:szCs w:val="18"/>
                <w:lang w:val="es-ES_tradnl" w:eastAsia="es-CO"/>
              </w:rPr>
            </w:pPr>
            <w:r w:rsidRPr="0048516D">
              <w:rPr>
                <w:rFonts w:ascii="Verdana" w:hAnsi="Verdana"/>
                <w:i/>
                <w:iCs/>
                <w:sz w:val="18"/>
                <w:szCs w:val="18"/>
                <w:lang w:val="es-ES_tradnl"/>
              </w:rPr>
              <w:t>7.707,82</w:t>
            </w:r>
          </w:p>
        </w:tc>
      </w:tr>
      <w:tr w:rsidR="0048516D" w:rsidRPr="00B966C6" w14:paraId="6F7A7219" w14:textId="77777777" w:rsidTr="0048516D">
        <w:trPr>
          <w:trHeight w:val="20"/>
          <w:jc w:val="center"/>
        </w:trPr>
        <w:tc>
          <w:tcPr>
            <w:tcW w:w="2923" w:type="pct"/>
            <w:gridSpan w:val="3"/>
            <w:shd w:val="clear" w:color="auto" w:fill="BFBFBF"/>
            <w:noWrap/>
            <w:vAlign w:val="center"/>
            <w:hideMark/>
          </w:tcPr>
          <w:p w14:paraId="598C24A5" w14:textId="77777777" w:rsidR="0048516D" w:rsidRPr="0048516D" w:rsidRDefault="0048516D" w:rsidP="0048516D">
            <w:pPr>
              <w:jc w:val="center"/>
              <w:rPr>
                <w:rFonts w:ascii="Verdana" w:hAnsi="Verdana"/>
                <w:b/>
                <w:bCs/>
                <w:i/>
                <w:iCs/>
                <w:sz w:val="18"/>
                <w:szCs w:val="18"/>
                <w:lang w:val="es-CO" w:eastAsia="es-CO"/>
              </w:rPr>
            </w:pPr>
            <w:r w:rsidRPr="0048516D">
              <w:rPr>
                <w:rFonts w:ascii="Verdana" w:hAnsi="Verdana"/>
                <w:b/>
                <w:bCs/>
                <w:i/>
                <w:iCs/>
                <w:sz w:val="18"/>
                <w:szCs w:val="18"/>
                <w:lang w:val="es-CO" w:eastAsia="es-CO"/>
              </w:rPr>
              <w:t>Total</w:t>
            </w:r>
          </w:p>
        </w:tc>
        <w:tc>
          <w:tcPr>
            <w:tcW w:w="870" w:type="pct"/>
            <w:shd w:val="clear" w:color="auto" w:fill="BFBFBF"/>
            <w:noWrap/>
            <w:vAlign w:val="center"/>
            <w:hideMark/>
          </w:tcPr>
          <w:p w14:paraId="7066B976" w14:textId="77777777" w:rsidR="0048516D" w:rsidRPr="0048516D" w:rsidRDefault="0048516D" w:rsidP="0048516D">
            <w:pPr>
              <w:jc w:val="center"/>
              <w:rPr>
                <w:rFonts w:ascii="Verdana" w:hAnsi="Verdana"/>
                <w:b/>
                <w:bCs/>
                <w:i/>
                <w:iCs/>
                <w:sz w:val="18"/>
                <w:szCs w:val="18"/>
                <w:lang w:val="es-CO" w:eastAsia="es-CO"/>
              </w:rPr>
            </w:pPr>
            <w:r w:rsidRPr="0048516D">
              <w:rPr>
                <w:rFonts w:ascii="Verdana" w:hAnsi="Verdana"/>
                <w:b/>
                <w:bCs/>
                <w:i/>
                <w:iCs/>
                <w:sz w:val="18"/>
                <w:szCs w:val="18"/>
                <w:lang w:val="es-CO" w:eastAsia="es-CO"/>
              </w:rPr>
              <w:t>23.381,83</w:t>
            </w:r>
          </w:p>
        </w:tc>
        <w:tc>
          <w:tcPr>
            <w:tcW w:w="604" w:type="pct"/>
            <w:shd w:val="clear" w:color="auto" w:fill="BFBFBF"/>
            <w:noWrap/>
            <w:vAlign w:val="center"/>
            <w:hideMark/>
          </w:tcPr>
          <w:p w14:paraId="2FE5D6CF" w14:textId="77777777" w:rsidR="0048516D" w:rsidRPr="0048516D" w:rsidRDefault="0048516D" w:rsidP="0048516D">
            <w:pPr>
              <w:jc w:val="center"/>
              <w:rPr>
                <w:rFonts w:ascii="Verdana" w:hAnsi="Verdana"/>
                <w:b/>
                <w:bCs/>
                <w:i/>
                <w:iCs/>
                <w:sz w:val="18"/>
                <w:szCs w:val="18"/>
                <w:lang w:val="es-CO" w:eastAsia="es-CO"/>
              </w:rPr>
            </w:pPr>
            <w:r w:rsidRPr="0048516D">
              <w:rPr>
                <w:rFonts w:ascii="Verdana" w:hAnsi="Verdana"/>
                <w:b/>
                <w:bCs/>
                <w:i/>
                <w:iCs/>
                <w:sz w:val="18"/>
                <w:szCs w:val="18"/>
                <w:lang w:val="es-CO" w:eastAsia="es-CO"/>
              </w:rPr>
              <w:t>13.618,74</w:t>
            </w:r>
          </w:p>
        </w:tc>
        <w:tc>
          <w:tcPr>
            <w:tcW w:w="604" w:type="pct"/>
            <w:shd w:val="clear" w:color="auto" w:fill="BFBFBF"/>
            <w:noWrap/>
            <w:vAlign w:val="center"/>
            <w:hideMark/>
          </w:tcPr>
          <w:p w14:paraId="1F6E8F41" w14:textId="77777777" w:rsidR="0048516D" w:rsidRPr="0048516D" w:rsidRDefault="0048516D" w:rsidP="0048516D">
            <w:pPr>
              <w:jc w:val="center"/>
              <w:rPr>
                <w:rFonts w:ascii="Verdana" w:hAnsi="Verdana"/>
                <w:b/>
                <w:bCs/>
                <w:i/>
                <w:iCs/>
                <w:sz w:val="18"/>
                <w:szCs w:val="18"/>
                <w:lang w:val="es-CO" w:eastAsia="es-CO"/>
              </w:rPr>
            </w:pPr>
            <w:r w:rsidRPr="0048516D">
              <w:rPr>
                <w:rFonts w:ascii="Verdana" w:hAnsi="Verdana"/>
                <w:b/>
                <w:bCs/>
                <w:i/>
                <w:iCs/>
                <w:sz w:val="18"/>
                <w:szCs w:val="18"/>
                <w:lang w:val="es-CO" w:eastAsia="es-CO"/>
              </w:rPr>
              <w:t>9.763,08</w:t>
            </w:r>
          </w:p>
        </w:tc>
      </w:tr>
    </w:tbl>
    <w:p w14:paraId="47781FD8" w14:textId="77777777" w:rsidR="0048516D" w:rsidRPr="0048516D" w:rsidRDefault="0048516D" w:rsidP="0048516D">
      <w:pPr>
        <w:autoSpaceDE w:val="0"/>
        <w:autoSpaceDN w:val="0"/>
        <w:adjustRightInd w:val="0"/>
        <w:rPr>
          <w:rFonts w:ascii="Verdana" w:hAnsi="Verdana" w:cs="CIDFont+F7"/>
          <w:b/>
          <w:bCs/>
          <w:i/>
          <w:iCs/>
          <w:sz w:val="16"/>
          <w:szCs w:val="16"/>
          <w:lang w:val="es-CO" w:eastAsia="en-US"/>
        </w:rPr>
      </w:pPr>
    </w:p>
    <w:p w14:paraId="666A778F" w14:textId="77777777" w:rsidR="0048516D" w:rsidRPr="0048516D" w:rsidRDefault="0048516D" w:rsidP="0048516D">
      <w:pPr>
        <w:autoSpaceDE w:val="0"/>
        <w:autoSpaceDN w:val="0"/>
        <w:adjustRightInd w:val="0"/>
        <w:jc w:val="both"/>
        <w:rPr>
          <w:rFonts w:ascii="Verdana" w:hAnsi="Verdana" w:cs="CIDFont+F7"/>
          <w:i/>
          <w:iCs/>
          <w:sz w:val="16"/>
          <w:szCs w:val="16"/>
          <w:lang w:val="es-CO" w:eastAsia="en-US"/>
        </w:rPr>
      </w:pPr>
      <w:r w:rsidRPr="0048516D">
        <w:rPr>
          <w:rFonts w:ascii="Verdana" w:hAnsi="Verdana" w:cs="CIDFont+F7"/>
          <w:b/>
          <w:bCs/>
          <w:i/>
          <w:iCs/>
          <w:sz w:val="16"/>
          <w:szCs w:val="16"/>
          <w:lang w:val="es-CO" w:eastAsia="en-US"/>
        </w:rPr>
        <w:t>Nota:</w:t>
      </w:r>
      <w:r w:rsidRPr="0048516D">
        <w:rPr>
          <w:rFonts w:ascii="Verdana" w:hAnsi="Verdana" w:cs="CIDFont+F7"/>
          <w:i/>
          <w:iCs/>
          <w:sz w:val="16"/>
          <w:szCs w:val="16"/>
          <w:lang w:val="es-CO" w:eastAsia="en-US"/>
        </w:rPr>
        <w:t xml:space="preserve"> Los anteriores datos, se calcularon de la siguiente forma: i) para los procesos que no surtieron modificaciones en sus polígonos, el área s tomó del último dato reportado en el shapefile, ii) para los procesos que presentaron modificación en el polígono, se tomó el último dato reportado en el shapefile (Cálculo en Magna Sirgas Origen Nacional)  por la Corporación atendiendo a los avances en el marco de la Ruta para la declaratoria de áreas protegidas.</w:t>
      </w:r>
    </w:p>
    <w:bookmarkEnd w:id="9"/>
    <w:p w14:paraId="1D799DD7" w14:textId="77777777" w:rsidR="0048516D" w:rsidRPr="0048516D" w:rsidRDefault="0048516D" w:rsidP="0048516D">
      <w:pPr>
        <w:autoSpaceDE w:val="0"/>
        <w:autoSpaceDN w:val="0"/>
        <w:adjustRightInd w:val="0"/>
        <w:rPr>
          <w:rFonts w:ascii="Verdana" w:hAnsi="Verdana" w:cs="CIDFont+F7"/>
          <w:i/>
          <w:iCs/>
          <w:sz w:val="16"/>
          <w:szCs w:val="16"/>
          <w:lang w:val="es-CO" w:eastAsia="en-US"/>
        </w:rPr>
      </w:pPr>
    </w:p>
    <w:p w14:paraId="097152E0" w14:textId="70327CEC" w:rsidR="00165824" w:rsidRPr="00B966C6" w:rsidRDefault="00165824" w:rsidP="00E461AA">
      <w:pPr>
        <w:jc w:val="both"/>
        <w:rPr>
          <w:rFonts w:ascii="Verdana" w:hAnsi="Verdana"/>
          <w:i/>
          <w:iCs/>
          <w:sz w:val="22"/>
          <w:szCs w:val="22"/>
          <w:lang w:val="es-ES_tradnl"/>
        </w:rPr>
      </w:pPr>
      <w:r w:rsidRPr="00B966C6">
        <w:rPr>
          <w:rFonts w:ascii="Verdana" w:hAnsi="Verdana"/>
          <w:i/>
          <w:iCs/>
          <w:sz w:val="22"/>
          <w:szCs w:val="22"/>
          <w:lang w:val="es-ES_tradnl"/>
        </w:rPr>
        <w:t>(…)</w:t>
      </w:r>
    </w:p>
    <w:p w14:paraId="066D3FCE" w14:textId="77777777" w:rsidR="00165824" w:rsidRPr="00B966C6" w:rsidRDefault="00165824" w:rsidP="00E461AA">
      <w:pPr>
        <w:jc w:val="both"/>
        <w:rPr>
          <w:rFonts w:ascii="Verdana" w:hAnsi="Verdana"/>
          <w:i/>
          <w:iCs/>
          <w:sz w:val="22"/>
          <w:szCs w:val="22"/>
          <w:lang w:val="es-ES_tradnl"/>
        </w:rPr>
      </w:pPr>
    </w:p>
    <w:p w14:paraId="4825DF6B" w14:textId="77777777" w:rsidR="0048516D" w:rsidRPr="0048516D" w:rsidRDefault="0048516D" w:rsidP="0048516D">
      <w:pPr>
        <w:jc w:val="both"/>
        <w:rPr>
          <w:rFonts w:ascii="Verdana" w:hAnsi="Verdana"/>
          <w:i/>
          <w:iCs/>
          <w:sz w:val="22"/>
          <w:szCs w:val="22"/>
          <w:lang w:val="es-ES_tradnl"/>
        </w:rPr>
      </w:pPr>
      <w:bookmarkStart w:id="12" w:name="_Hlk147388069"/>
      <w:r w:rsidRPr="0048516D">
        <w:rPr>
          <w:rFonts w:ascii="Verdana" w:eastAsia="Arial Narrow" w:hAnsi="Verdana" w:cs="Arial Narrow"/>
          <w:i/>
          <w:iCs/>
          <w:sz w:val="22"/>
          <w:szCs w:val="22"/>
        </w:rPr>
        <w:t>Frente a la modificación del polígono destinado para ser declarado cómo área protegida, la Corporación informó que en el transcurso del año se adelanta la ruta declaratoria en fase de preparación y aprestamiento con el objetivo de actualizar la información cartográfica y socioeconómica del territorio dado que se encuentra modificado el uso del suelo dónde está incluido el centro poblado de Bocas en el municipio de Girón y por tanto no es compatible con el ordenamiento de las áreas protegidas incluir usos urbanos.</w:t>
      </w:r>
    </w:p>
    <w:bookmarkEnd w:id="12"/>
    <w:p w14:paraId="24360302" w14:textId="77777777" w:rsidR="00165824" w:rsidRPr="00B966C6" w:rsidRDefault="00165824" w:rsidP="00E461AA">
      <w:pPr>
        <w:jc w:val="both"/>
        <w:rPr>
          <w:rFonts w:ascii="Verdana" w:hAnsi="Verdana"/>
          <w:i/>
          <w:iCs/>
          <w:sz w:val="22"/>
          <w:szCs w:val="22"/>
          <w:lang w:val="es-ES_tradnl"/>
        </w:rPr>
      </w:pPr>
    </w:p>
    <w:p w14:paraId="74CD1500" w14:textId="17A6B5E4" w:rsidR="00165824" w:rsidRPr="00B966C6" w:rsidRDefault="00165824" w:rsidP="00E461AA">
      <w:pPr>
        <w:jc w:val="both"/>
        <w:rPr>
          <w:rFonts w:ascii="Verdana" w:hAnsi="Verdana"/>
          <w:i/>
          <w:iCs/>
          <w:sz w:val="22"/>
          <w:szCs w:val="22"/>
          <w:lang w:val="es-ES_tradnl"/>
        </w:rPr>
      </w:pPr>
      <w:r w:rsidRPr="00B966C6">
        <w:rPr>
          <w:rFonts w:ascii="Verdana" w:hAnsi="Verdana"/>
          <w:i/>
          <w:iCs/>
          <w:sz w:val="22"/>
          <w:szCs w:val="22"/>
          <w:lang w:val="es-ES_tradnl"/>
        </w:rPr>
        <w:t>(…)</w:t>
      </w:r>
    </w:p>
    <w:p w14:paraId="1F78D1F1" w14:textId="77777777" w:rsidR="00165824" w:rsidRPr="00B966C6" w:rsidRDefault="00165824" w:rsidP="00E461AA">
      <w:pPr>
        <w:jc w:val="both"/>
        <w:rPr>
          <w:rFonts w:ascii="Verdana" w:hAnsi="Verdana"/>
          <w:i/>
          <w:iCs/>
          <w:sz w:val="22"/>
          <w:szCs w:val="22"/>
          <w:lang w:val="es-ES_tradnl"/>
        </w:rPr>
      </w:pPr>
    </w:p>
    <w:p w14:paraId="3FD7204A" w14:textId="77777777" w:rsidR="0048516D" w:rsidRPr="0048516D" w:rsidRDefault="0048516D" w:rsidP="0048516D">
      <w:pPr>
        <w:jc w:val="both"/>
        <w:rPr>
          <w:rFonts w:ascii="Verdana" w:hAnsi="Verdana"/>
          <w:i/>
          <w:iCs/>
          <w:sz w:val="22"/>
          <w:szCs w:val="22"/>
          <w:lang w:val="es-ES_tradnl"/>
        </w:rPr>
      </w:pPr>
      <w:r w:rsidRPr="0048516D">
        <w:rPr>
          <w:rFonts w:ascii="Verdana" w:eastAsia="Arial Narrow" w:hAnsi="Verdana" w:cs="Arial Narrow"/>
          <w:i/>
          <w:iCs/>
          <w:sz w:val="22"/>
          <w:szCs w:val="22"/>
        </w:rPr>
        <w:t>Frente a la disminución del polígono destinado para ser declarado cómo área protegida, la Corporación informó que se ha avanzado en la identificación de áreas que garanticen el mantenimiento y recuperación de zonas fundamentales para mantener el flujo de servicios ecosistémicos en el territorio focalizado. Este análisis incluye la espacialización de la integridad ecológica del territorio a partir de la información primaria de flora y fauna (aves) teniendo en cuenta criterios como: la oferta de servicios ecosistémicos en el territorio, las presiones antrópicas en el mismo, la representatividad de ecosistemas regionales y de especies en el área y la irremplazabilidad de especies. Corponariño resalta el trabajo del Instituto de Investigación de Recursos Biológicos Alexander Von Humboldt que lidera la implementación del Proyecto GEF-Páramos para la Vida, cuyo objetivo principal está dirigido a la conservación integral de los ecosistemas estratégicos de paramos priorizados en el territorio colombiano.</w:t>
      </w:r>
    </w:p>
    <w:p w14:paraId="3AFE7BD1" w14:textId="77777777" w:rsidR="0048516D" w:rsidRPr="0048516D" w:rsidRDefault="0048516D" w:rsidP="0048516D">
      <w:pPr>
        <w:jc w:val="both"/>
        <w:rPr>
          <w:rFonts w:ascii="Verdana" w:hAnsi="Verdana"/>
          <w:b/>
          <w:i/>
          <w:iCs/>
          <w:noProof/>
          <w:sz w:val="22"/>
          <w:szCs w:val="22"/>
          <w:lang w:val="es-CO" w:eastAsia="es-CO"/>
        </w:rPr>
      </w:pPr>
    </w:p>
    <w:p w14:paraId="4FE0DEF6" w14:textId="77777777" w:rsidR="0048516D" w:rsidRPr="0048516D" w:rsidRDefault="0048516D" w:rsidP="0048516D">
      <w:pPr>
        <w:jc w:val="both"/>
        <w:rPr>
          <w:rFonts w:ascii="Verdana" w:hAnsi="Verdana"/>
          <w:i/>
          <w:iCs/>
          <w:sz w:val="22"/>
          <w:szCs w:val="22"/>
          <w:lang w:val="es-ES_tradnl"/>
        </w:rPr>
      </w:pPr>
      <w:r w:rsidRPr="0048516D">
        <w:rPr>
          <w:rFonts w:ascii="Verdana" w:hAnsi="Verdana"/>
          <w:i/>
          <w:iCs/>
          <w:sz w:val="22"/>
          <w:szCs w:val="22"/>
          <w:lang w:val="es-ES_tradnl"/>
        </w:rPr>
        <w:t xml:space="preserve">Adicionalmente, la CDMB para el </w:t>
      </w:r>
      <w:r w:rsidRPr="0048516D">
        <w:rPr>
          <w:rFonts w:ascii="Verdana" w:hAnsi="Verdana"/>
          <w:b/>
          <w:bCs/>
          <w:i/>
          <w:iCs/>
          <w:sz w:val="22"/>
          <w:szCs w:val="22"/>
          <w:lang w:val="es-ES_tradnl"/>
        </w:rPr>
        <w:t>polígono 49. Área protegida microcuenca Rio Tona</w:t>
      </w:r>
      <w:r w:rsidRPr="0048516D">
        <w:rPr>
          <w:rFonts w:ascii="Verdana" w:hAnsi="Verdana"/>
          <w:i/>
          <w:iCs/>
          <w:sz w:val="22"/>
          <w:szCs w:val="22"/>
          <w:lang w:val="es-ES_tradnl"/>
        </w:rPr>
        <w:t>, solicita la división de este en dos nuevos polígonos, declarando un polígono de 3.687,04 ha y 1.966,63 ha respectivamente para un total declarado de 5.653,67 ha, liberando 5.954,88 ha del polígono en la Resolución 1125 de 2021.</w:t>
      </w:r>
    </w:p>
    <w:p w14:paraId="00D65BA3" w14:textId="77777777" w:rsidR="0048516D" w:rsidRPr="0048516D" w:rsidRDefault="0048516D" w:rsidP="0048516D">
      <w:pPr>
        <w:jc w:val="both"/>
        <w:rPr>
          <w:rFonts w:ascii="Verdana" w:hAnsi="Verdana"/>
          <w:i/>
          <w:iCs/>
          <w:sz w:val="22"/>
          <w:szCs w:val="22"/>
          <w:lang w:val="es-ES_tradnl"/>
        </w:rPr>
      </w:pPr>
    </w:p>
    <w:p w14:paraId="3A862EA4" w14:textId="7D74DA76" w:rsidR="0048516D" w:rsidRPr="0048516D" w:rsidRDefault="0048516D" w:rsidP="0048516D">
      <w:pPr>
        <w:keepNext/>
        <w:spacing w:after="200"/>
        <w:jc w:val="center"/>
        <w:rPr>
          <w:rFonts w:ascii="Verdana" w:hAnsi="Verdana"/>
          <w:i/>
          <w:iCs/>
          <w:sz w:val="18"/>
          <w:szCs w:val="18"/>
          <w:lang w:val="es-ES_tradnl"/>
        </w:rPr>
      </w:pPr>
      <w:bookmarkStart w:id="13" w:name="_Ref84407304"/>
      <w:r w:rsidRPr="0048516D">
        <w:rPr>
          <w:rFonts w:ascii="Verdana" w:hAnsi="Verdana"/>
          <w:i/>
          <w:iCs/>
          <w:sz w:val="18"/>
          <w:szCs w:val="18"/>
          <w:lang w:val="es-ES_tradnl"/>
        </w:rPr>
        <w:t xml:space="preserve">Tabla </w:t>
      </w:r>
      <w:r w:rsidRPr="0048516D">
        <w:rPr>
          <w:rFonts w:ascii="Verdana" w:hAnsi="Verdana"/>
          <w:i/>
          <w:iCs/>
          <w:sz w:val="18"/>
          <w:szCs w:val="18"/>
          <w:lang w:val="es-ES_tradnl"/>
        </w:rPr>
        <w:fldChar w:fldCharType="begin"/>
      </w:r>
      <w:r w:rsidRPr="0048516D">
        <w:rPr>
          <w:rFonts w:ascii="Verdana" w:hAnsi="Verdana"/>
          <w:i/>
          <w:iCs/>
          <w:sz w:val="18"/>
          <w:szCs w:val="18"/>
          <w:lang w:val="es-ES_tradnl"/>
        </w:rPr>
        <w:instrText xml:space="preserve"> SEQ Tabla \* ARABIC </w:instrText>
      </w:r>
      <w:r w:rsidRPr="0048516D">
        <w:rPr>
          <w:rFonts w:ascii="Verdana" w:hAnsi="Verdana"/>
          <w:i/>
          <w:iCs/>
          <w:sz w:val="18"/>
          <w:szCs w:val="18"/>
          <w:lang w:val="es-ES_tradnl"/>
        </w:rPr>
        <w:fldChar w:fldCharType="separate"/>
      </w:r>
      <w:r w:rsidR="001F2062">
        <w:rPr>
          <w:rFonts w:ascii="Verdana" w:hAnsi="Verdana"/>
          <w:i/>
          <w:iCs/>
          <w:noProof/>
          <w:sz w:val="18"/>
          <w:szCs w:val="18"/>
          <w:lang w:val="es-ES_tradnl"/>
        </w:rPr>
        <w:t>5</w:t>
      </w:r>
      <w:r w:rsidRPr="0048516D">
        <w:rPr>
          <w:rFonts w:ascii="Verdana" w:hAnsi="Verdana"/>
          <w:i/>
          <w:iCs/>
          <w:sz w:val="18"/>
          <w:szCs w:val="18"/>
          <w:lang w:val="es-ES_tradnl"/>
        </w:rPr>
        <w:fldChar w:fldCharType="end"/>
      </w:r>
      <w:bookmarkEnd w:id="13"/>
      <w:r w:rsidRPr="0048516D">
        <w:rPr>
          <w:rFonts w:ascii="Verdana" w:hAnsi="Verdana"/>
          <w:i/>
          <w:iCs/>
          <w:sz w:val="18"/>
          <w:szCs w:val="18"/>
          <w:lang w:val="es-ES_tradnl"/>
        </w:rPr>
        <w:t>. Áreas que dividen sus polígonos</w:t>
      </w:r>
    </w:p>
    <w:tbl>
      <w:tblPr>
        <w:tblW w:w="0" w:type="auto"/>
        <w:jc w:val="center"/>
        <w:tblCellMar>
          <w:left w:w="70" w:type="dxa"/>
          <w:right w:w="70" w:type="dxa"/>
        </w:tblCellMar>
        <w:tblLook w:val="04A0" w:firstRow="1" w:lastRow="0" w:firstColumn="1" w:lastColumn="0" w:noHBand="0" w:noVBand="1"/>
      </w:tblPr>
      <w:tblGrid>
        <w:gridCol w:w="1019"/>
        <w:gridCol w:w="2623"/>
        <w:gridCol w:w="1036"/>
        <w:gridCol w:w="2401"/>
        <w:gridCol w:w="982"/>
        <w:gridCol w:w="1133"/>
      </w:tblGrid>
      <w:tr w:rsidR="0048516D" w:rsidRPr="0048516D" w14:paraId="74EE5E33" w14:textId="77777777" w:rsidTr="00B92E27">
        <w:trPr>
          <w:trHeight w:val="540"/>
          <w:jc w:val="center"/>
        </w:trPr>
        <w:tc>
          <w:tcPr>
            <w:tcW w:w="0" w:type="auto"/>
            <w:vMerge w:val="restart"/>
            <w:tcBorders>
              <w:top w:val="single" w:sz="8" w:space="0" w:color="auto"/>
              <w:left w:val="single" w:sz="8" w:space="0" w:color="auto"/>
              <w:bottom w:val="nil"/>
              <w:right w:val="single" w:sz="8" w:space="0" w:color="auto"/>
            </w:tcBorders>
            <w:shd w:val="clear" w:color="000000" w:fill="BFBFBF"/>
            <w:noWrap/>
            <w:vAlign w:val="center"/>
            <w:hideMark/>
          </w:tcPr>
          <w:p w14:paraId="48B82CC9" w14:textId="77777777" w:rsidR="0048516D" w:rsidRPr="0048516D" w:rsidRDefault="0048516D" w:rsidP="0048516D">
            <w:pPr>
              <w:jc w:val="center"/>
              <w:rPr>
                <w:rFonts w:ascii="Verdana" w:hAnsi="Verdana" w:cs="Calibri"/>
                <w:b/>
                <w:bCs/>
                <w:i/>
                <w:iCs/>
                <w:color w:val="000000"/>
                <w:sz w:val="18"/>
                <w:szCs w:val="18"/>
                <w:lang w:val="es-CO" w:eastAsia="es-CO"/>
              </w:rPr>
            </w:pPr>
            <w:r w:rsidRPr="0048516D">
              <w:rPr>
                <w:rFonts w:ascii="Verdana" w:hAnsi="Verdana" w:cs="Calibri"/>
                <w:b/>
                <w:bCs/>
                <w:i/>
                <w:iCs/>
                <w:color w:val="000000"/>
                <w:sz w:val="18"/>
                <w:szCs w:val="18"/>
                <w:lang w:val="es-CO" w:eastAsia="es-CO"/>
              </w:rPr>
              <w:t>N° Polígono</w:t>
            </w:r>
          </w:p>
        </w:tc>
        <w:tc>
          <w:tcPr>
            <w:tcW w:w="0" w:type="auto"/>
            <w:vMerge w:val="restart"/>
            <w:tcBorders>
              <w:top w:val="single" w:sz="8" w:space="0" w:color="auto"/>
              <w:left w:val="single" w:sz="8" w:space="0" w:color="auto"/>
              <w:bottom w:val="nil"/>
              <w:right w:val="single" w:sz="8" w:space="0" w:color="auto"/>
            </w:tcBorders>
            <w:shd w:val="clear" w:color="000000" w:fill="BFBFBF"/>
            <w:noWrap/>
            <w:vAlign w:val="center"/>
            <w:hideMark/>
          </w:tcPr>
          <w:p w14:paraId="5C9AECD7" w14:textId="77777777" w:rsidR="0048516D" w:rsidRPr="0048516D" w:rsidRDefault="0048516D" w:rsidP="0048516D">
            <w:pPr>
              <w:jc w:val="center"/>
              <w:rPr>
                <w:rFonts w:ascii="Verdana" w:hAnsi="Verdana" w:cs="Calibri"/>
                <w:b/>
                <w:bCs/>
                <w:i/>
                <w:iCs/>
                <w:color w:val="000000"/>
                <w:sz w:val="18"/>
                <w:szCs w:val="18"/>
                <w:lang w:val="es-CO" w:eastAsia="es-CO"/>
              </w:rPr>
            </w:pPr>
            <w:r w:rsidRPr="0048516D">
              <w:rPr>
                <w:rFonts w:ascii="Verdana" w:hAnsi="Verdana" w:cs="Calibri"/>
                <w:b/>
                <w:bCs/>
                <w:i/>
                <w:iCs/>
                <w:color w:val="000000"/>
                <w:sz w:val="18"/>
                <w:szCs w:val="18"/>
                <w:lang w:val="es-CO" w:eastAsia="es-CO"/>
              </w:rPr>
              <w:t>Nombre del área</w:t>
            </w:r>
          </w:p>
        </w:tc>
        <w:tc>
          <w:tcPr>
            <w:tcW w:w="0" w:type="auto"/>
            <w:vMerge w:val="restart"/>
            <w:tcBorders>
              <w:top w:val="single" w:sz="8" w:space="0" w:color="auto"/>
              <w:left w:val="single" w:sz="8" w:space="0" w:color="auto"/>
              <w:bottom w:val="nil"/>
              <w:right w:val="single" w:sz="8" w:space="0" w:color="auto"/>
            </w:tcBorders>
            <w:shd w:val="clear" w:color="000000" w:fill="BFBFBF"/>
            <w:vAlign w:val="center"/>
            <w:hideMark/>
          </w:tcPr>
          <w:p w14:paraId="3E7CDB6F" w14:textId="77777777" w:rsidR="0048516D" w:rsidRPr="0048516D" w:rsidRDefault="0048516D" w:rsidP="0048516D">
            <w:pPr>
              <w:jc w:val="center"/>
              <w:rPr>
                <w:rFonts w:ascii="Verdana" w:hAnsi="Verdana" w:cs="Calibri"/>
                <w:b/>
                <w:bCs/>
                <w:i/>
                <w:iCs/>
                <w:color w:val="000000"/>
                <w:sz w:val="18"/>
                <w:szCs w:val="18"/>
                <w:lang w:val="es-CO" w:eastAsia="es-CO"/>
              </w:rPr>
            </w:pPr>
            <w:r w:rsidRPr="0048516D">
              <w:rPr>
                <w:rFonts w:ascii="Verdana" w:hAnsi="Verdana" w:cs="Calibri"/>
                <w:b/>
                <w:bCs/>
                <w:i/>
                <w:iCs/>
                <w:color w:val="000000"/>
                <w:sz w:val="18"/>
                <w:szCs w:val="18"/>
                <w:lang w:val="es-CO" w:eastAsia="es-CO"/>
              </w:rPr>
              <w:t>Corporación</w:t>
            </w:r>
          </w:p>
        </w:tc>
        <w:tc>
          <w:tcPr>
            <w:tcW w:w="0" w:type="auto"/>
            <w:gridSpan w:val="3"/>
            <w:tcBorders>
              <w:top w:val="single" w:sz="8" w:space="0" w:color="auto"/>
              <w:left w:val="nil"/>
              <w:bottom w:val="single" w:sz="8" w:space="0" w:color="auto"/>
              <w:right w:val="single" w:sz="8" w:space="0" w:color="000000"/>
            </w:tcBorders>
            <w:shd w:val="clear" w:color="000000" w:fill="BFBFBF"/>
            <w:noWrap/>
            <w:vAlign w:val="center"/>
            <w:hideMark/>
          </w:tcPr>
          <w:p w14:paraId="56FAF74E" w14:textId="77777777" w:rsidR="0048516D" w:rsidRPr="0048516D" w:rsidRDefault="0048516D" w:rsidP="0048516D">
            <w:pPr>
              <w:jc w:val="center"/>
              <w:rPr>
                <w:rFonts w:ascii="Verdana" w:hAnsi="Verdana" w:cs="Calibri"/>
                <w:b/>
                <w:bCs/>
                <w:i/>
                <w:iCs/>
                <w:color w:val="000000"/>
                <w:sz w:val="18"/>
                <w:szCs w:val="18"/>
                <w:lang w:val="es-CO" w:eastAsia="es-CO"/>
              </w:rPr>
            </w:pPr>
            <w:r w:rsidRPr="0048516D">
              <w:rPr>
                <w:rFonts w:ascii="Verdana" w:hAnsi="Verdana" w:cs="Calibri"/>
                <w:b/>
                <w:bCs/>
                <w:i/>
                <w:iCs/>
                <w:color w:val="000000"/>
                <w:sz w:val="18"/>
                <w:szCs w:val="18"/>
                <w:lang w:val="es-CO" w:eastAsia="es-CO"/>
              </w:rPr>
              <w:t>Área (ha)</w:t>
            </w:r>
          </w:p>
        </w:tc>
      </w:tr>
      <w:tr w:rsidR="0048516D" w:rsidRPr="0048516D" w14:paraId="3CB58110" w14:textId="77777777" w:rsidTr="00B92E27">
        <w:trPr>
          <w:trHeight w:val="300"/>
          <w:jc w:val="center"/>
        </w:trPr>
        <w:tc>
          <w:tcPr>
            <w:tcW w:w="0" w:type="auto"/>
            <w:vMerge/>
            <w:tcBorders>
              <w:top w:val="single" w:sz="8" w:space="0" w:color="auto"/>
              <w:left w:val="single" w:sz="8" w:space="0" w:color="auto"/>
              <w:bottom w:val="nil"/>
              <w:right w:val="single" w:sz="8" w:space="0" w:color="auto"/>
            </w:tcBorders>
            <w:vAlign w:val="center"/>
            <w:hideMark/>
          </w:tcPr>
          <w:p w14:paraId="77A0B5D2" w14:textId="77777777" w:rsidR="0048516D" w:rsidRPr="0048516D" w:rsidRDefault="0048516D" w:rsidP="0048516D">
            <w:pPr>
              <w:rPr>
                <w:rFonts w:ascii="Verdana" w:hAnsi="Verdana" w:cs="Calibri"/>
                <w:b/>
                <w:bCs/>
                <w:i/>
                <w:iCs/>
                <w:color w:val="000000"/>
                <w:sz w:val="18"/>
                <w:szCs w:val="18"/>
                <w:lang w:val="es-CO" w:eastAsia="es-CO"/>
              </w:rPr>
            </w:pPr>
          </w:p>
        </w:tc>
        <w:tc>
          <w:tcPr>
            <w:tcW w:w="0" w:type="auto"/>
            <w:vMerge/>
            <w:tcBorders>
              <w:top w:val="single" w:sz="8" w:space="0" w:color="auto"/>
              <w:left w:val="single" w:sz="8" w:space="0" w:color="auto"/>
              <w:bottom w:val="nil"/>
              <w:right w:val="single" w:sz="8" w:space="0" w:color="auto"/>
            </w:tcBorders>
            <w:vAlign w:val="center"/>
            <w:hideMark/>
          </w:tcPr>
          <w:p w14:paraId="6B6C3DAF" w14:textId="77777777" w:rsidR="0048516D" w:rsidRPr="0048516D" w:rsidRDefault="0048516D" w:rsidP="0048516D">
            <w:pPr>
              <w:rPr>
                <w:rFonts w:ascii="Verdana" w:hAnsi="Verdana" w:cs="Calibri"/>
                <w:b/>
                <w:bCs/>
                <w:i/>
                <w:iCs/>
                <w:color w:val="000000"/>
                <w:sz w:val="18"/>
                <w:szCs w:val="18"/>
                <w:lang w:val="es-CO" w:eastAsia="es-CO"/>
              </w:rPr>
            </w:pPr>
          </w:p>
        </w:tc>
        <w:tc>
          <w:tcPr>
            <w:tcW w:w="0" w:type="auto"/>
            <w:vMerge/>
            <w:tcBorders>
              <w:top w:val="single" w:sz="8" w:space="0" w:color="auto"/>
              <w:left w:val="single" w:sz="8" w:space="0" w:color="auto"/>
              <w:bottom w:val="nil"/>
              <w:right w:val="single" w:sz="8" w:space="0" w:color="auto"/>
            </w:tcBorders>
            <w:vAlign w:val="center"/>
            <w:hideMark/>
          </w:tcPr>
          <w:p w14:paraId="32876147" w14:textId="77777777" w:rsidR="0048516D" w:rsidRPr="0048516D" w:rsidRDefault="0048516D" w:rsidP="0048516D">
            <w:pPr>
              <w:rPr>
                <w:rFonts w:ascii="Verdana" w:hAnsi="Verdana" w:cs="Calibri"/>
                <w:b/>
                <w:bCs/>
                <w:i/>
                <w:iCs/>
                <w:color w:val="000000"/>
                <w:sz w:val="18"/>
                <w:szCs w:val="18"/>
                <w:lang w:val="es-CO" w:eastAsia="es-CO"/>
              </w:rPr>
            </w:pPr>
          </w:p>
        </w:tc>
        <w:tc>
          <w:tcPr>
            <w:tcW w:w="0" w:type="auto"/>
            <w:tcBorders>
              <w:top w:val="nil"/>
              <w:left w:val="nil"/>
              <w:bottom w:val="single" w:sz="8" w:space="0" w:color="000000"/>
              <w:right w:val="single" w:sz="8" w:space="0" w:color="auto"/>
            </w:tcBorders>
            <w:shd w:val="clear" w:color="000000" w:fill="BFBFBF"/>
            <w:noWrap/>
            <w:vAlign w:val="center"/>
            <w:hideMark/>
          </w:tcPr>
          <w:p w14:paraId="0EABC0A1" w14:textId="77777777" w:rsidR="0048516D" w:rsidRPr="0048516D" w:rsidRDefault="0048516D" w:rsidP="0048516D">
            <w:pPr>
              <w:jc w:val="center"/>
              <w:rPr>
                <w:rFonts w:ascii="Verdana" w:hAnsi="Verdana" w:cs="Calibri"/>
                <w:b/>
                <w:bCs/>
                <w:i/>
                <w:iCs/>
                <w:color w:val="000000"/>
                <w:sz w:val="18"/>
                <w:szCs w:val="18"/>
                <w:lang w:val="es-CO" w:eastAsia="es-CO"/>
              </w:rPr>
            </w:pPr>
            <w:r w:rsidRPr="0048516D">
              <w:rPr>
                <w:rFonts w:ascii="Verdana" w:hAnsi="Verdana" w:cs="Calibri"/>
                <w:b/>
                <w:bCs/>
                <w:i/>
                <w:iCs/>
                <w:color w:val="000000"/>
                <w:sz w:val="18"/>
                <w:szCs w:val="18"/>
                <w:lang w:val="es-CO" w:eastAsia="es-CO"/>
              </w:rPr>
              <w:t>Área Resolución 1125 de 2021</w:t>
            </w:r>
          </w:p>
        </w:tc>
        <w:tc>
          <w:tcPr>
            <w:tcW w:w="0" w:type="auto"/>
            <w:tcBorders>
              <w:top w:val="nil"/>
              <w:left w:val="nil"/>
              <w:bottom w:val="single" w:sz="8" w:space="0" w:color="000000"/>
              <w:right w:val="single" w:sz="8" w:space="0" w:color="auto"/>
            </w:tcBorders>
            <w:shd w:val="clear" w:color="000000" w:fill="BFBFBF"/>
            <w:noWrap/>
            <w:vAlign w:val="center"/>
            <w:hideMark/>
          </w:tcPr>
          <w:p w14:paraId="6E09A02D" w14:textId="77777777" w:rsidR="0048516D" w:rsidRPr="0048516D" w:rsidRDefault="0048516D" w:rsidP="0048516D">
            <w:pPr>
              <w:jc w:val="center"/>
              <w:rPr>
                <w:rFonts w:ascii="Verdana" w:hAnsi="Verdana" w:cs="Calibri"/>
                <w:b/>
                <w:bCs/>
                <w:i/>
                <w:iCs/>
                <w:color w:val="000000"/>
                <w:sz w:val="18"/>
                <w:szCs w:val="18"/>
                <w:lang w:val="es-CO" w:eastAsia="es-CO"/>
              </w:rPr>
            </w:pPr>
            <w:r w:rsidRPr="0048516D">
              <w:rPr>
                <w:rFonts w:ascii="Verdana" w:hAnsi="Verdana" w:cs="Calibri"/>
                <w:b/>
                <w:bCs/>
                <w:i/>
                <w:iCs/>
                <w:color w:val="000000"/>
                <w:sz w:val="18"/>
                <w:szCs w:val="18"/>
                <w:lang w:val="es-CO" w:eastAsia="es-CO"/>
              </w:rPr>
              <w:t>Área actual</w:t>
            </w:r>
          </w:p>
        </w:tc>
        <w:tc>
          <w:tcPr>
            <w:tcW w:w="0" w:type="auto"/>
            <w:tcBorders>
              <w:top w:val="nil"/>
              <w:left w:val="nil"/>
              <w:bottom w:val="single" w:sz="8" w:space="0" w:color="000000"/>
              <w:right w:val="single" w:sz="8" w:space="0" w:color="auto"/>
            </w:tcBorders>
            <w:shd w:val="clear" w:color="000000" w:fill="BFBFBF"/>
            <w:noWrap/>
            <w:vAlign w:val="center"/>
            <w:hideMark/>
          </w:tcPr>
          <w:p w14:paraId="0252C754" w14:textId="77777777" w:rsidR="0048516D" w:rsidRPr="0048516D" w:rsidRDefault="0048516D" w:rsidP="0048516D">
            <w:pPr>
              <w:jc w:val="center"/>
              <w:rPr>
                <w:rFonts w:ascii="Verdana" w:hAnsi="Verdana" w:cs="Calibri"/>
                <w:b/>
                <w:bCs/>
                <w:i/>
                <w:iCs/>
                <w:color w:val="000000"/>
                <w:sz w:val="18"/>
                <w:szCs w:val="18"/>
                <w:lang w:val="es-CO" w:eastAsia="es-CO"/>
              </w:rPr>
            </w:pPr>
            <w:r w:rsidRPr="0048516D">
              <w:rPr>
                <w:rFonts w:ascii="Verdana" w:hAnsi="Verdana" w:cs="Calibri"/>
                <w:b/>
                <w:bCs/>
                <w:i/>
                <w:iCs/>
                <w:color w:val="000000"/>
                <w:sz w:val="18"/>
                <w:szCs w:val="18"/>
                <w:lang w:val="es-CO" w:eastAsia="es-CO"/>
              </w:rPr>
              <w:t>Área liberada</w:t>
            </w:r>
          </w:p>
        </w:tc>
      </w:tr>
      <w:tr w:rsidR="0048516D" w:rsidRPr="0048516D" w14:paraId="5F2856F9" w14:textId="77777777" w:rsidTr="00B92E27">
        <w:trPr>
          <w:trHeight w:val="540"/>
          <w:jc w:val="center"/>
        </w:trPr>
        <w:tc>
          <w:tcPr>
            <w:tcW w:w="0" w:type="auto"/>
            <w:tcBorders>
              <w:top w:val="nil"/>
              <w:left w:val="single" w:sz="8" w:space="0" w:color="000000"/>
              <w:bottom w:val="single" w:sz="8" w:space="0" w:color="000000"/>
              <w:right w:val="single" w:sz="8" w:space="0" w:color="000000"/>
            </w:tcBorders>
            <w:shd w:val="clear" w:color="auto" w:fill="auto"/>
            <w:noWrap/>
            <w:vAlign w:val="center"/>
            <w:hideMark/>
          </w:tcPr>
          <w:p w14:paraId="1A25085A" w14:textId="77777777" w:rsidR="0048516D" w:rsidRPr="0048516D" w:rsidRDefault="0048516D" w:rsidP="0048516D">
            <w:pPr>
              <w:jc w:val="center"/>
              <w:rPr>
                <w:rFonts w:ascii="Verdana" w:hAnsi="Verdana" w:cs="Calibri"/>
                <w:i/>
                <w:iCs/>
                <w:color w:val="000000"/>
                <w:sz w:val="18"/>
                <w:szCs w:val="18"/>
                <w:lang w:val="es-CO" w:eastAsia="es-CO"/>
              </w:rPr>
            </w:pPr>
            <w:r w:rsidRPr="0048516D">
              <w:rPr>
                <w:rFonts w:ascii="Verdana" w:hAnsi="Verdana" w:cs="Calibri"/>
                <w:i/>
                <w:iCs/>
                <w:color w:val="000000"/>
                <w:sz w:val="18"/>
                <w:szCs w:val="18"/>
                <w:lang w:val="es-ES_tradnl" w:eastAsia="es-CO"/>
              </w:rPr>
              <w:lastRenderedPageBreak/>
              <w:t>49a</w:t>
            </w:r>
          </w:p>
        </w:tc>
        <w:tc>
          <w:tcPr>
            <w:tcW w:w="0" w:type="auto"/>
            <w:tcBorders>
              <w:top w:val="nil"/>
              <w:left w:val="nil"/>
              <w:bottom w:val="single" w:sz="8" w:space="0" w:color="000000"/>
              <w:right w:val="single" w:sz="8" w:space="0" w:color="000000"/>
            </w:tcBorders>
            <w:shd w:val="clear" w:color="auto" w:fill="auto"/>
            <w:noWrap/>
            <w:vAlign w:val="center"/>
            <w:hideMark/>
          </w:tcPr>
          <w:p w14:paraId="19BE1E65" w14:textId="77777777" w:rsidR="0048516D" w:rsidRPr="0048516D" w:rsidRDefault="0048516D" w:rsidP="0048516D">
            <w:pPr>
              <w:jc w:val="center"/>
              <w:rPr>
                <w:rFonts w:ascii="Verdana" w:hAnsi="Verdana" w:cs="Calibri"/>
                <w:i/>
                <w:iCs/>
                <w:color w:val="000000"/>
                <w:sz w:val="18"/>
                <w:szCs w:val="18"/>
                <w:lang w:val="es-CO" w:eastAsia="es-CO"/>
              </w:rPr>
            </w:pPr>
            <w:r w:rsidRPr="0048516D">
              <w:rPr>
                <w:rFonts w:ascii="Verdana" w:hAnsi="Verdana" w:cs="Calibri"/>
                <w:i/>
                <w:iCs/>
                <w:color w:val="000000"/>
                <w:sz w:val="18"/>
                <w:szCs w:val="18"/>
                <w:lang w:val="es-ES_tradnl" w:eastAsia="es-CO"/>
              </w:rPr>
              <w:t>Área protegida microcuenca Rio Tona</w:t>
            </w:r>
          </w:p>
        </w:tc>
        <w:tc>
          <w:tcPr>
            <w:tcW w:w="0" w:type="auto"/>
            <w:tcBorders>
              <w:top w:val="nil"/>
              <w:left w:val="nil"/>
              <w:bottom w:val="single" w:sz="8" w:space="0" w:color="000000"/>
              <w:right w:val="single" w:sz="8" w:space="0" w:color="000000"/>
            </w:tcBorders>
            <w:shd w:val="clear" w:color="auto" w:fill="auto"/>
            <w:noWrap/>
            <w:vAlign w:val="center"/>
            <w:hideMark/>
          </w:tcPr>
          <w:p w14:paraId="2DA0B6EC" w14:textId="77777777" w:rsidR="0048516D" w:rsidRPr="0048516D" w:rsidRDefault="0048516D" w:rsidP="0048516D">
            <w:pPr>
              <w:jc w:val="center"/>
              <w:rPr>
                <w:rFonts w:ascii="Verdana" w:hAnsi="Verdana" w:cs="Calibri"/>
                <w:i/>
                <w:iCs/>
                <w:color w:val="000000"/>
                <w:sz w:val="18"/>
                <w:szCs w:val="18"/>
                <w:lang w:val="es-CO" w:eastAsia="es-CO"/>
              </w:rPr>
            </w:pPr>
            <w:r w:rsidRPr="0048516D">
              <w:rPr>
                <w:rFonts w:ascii="Verdana" w:hAnsi="Verdana" w:cs="Calibri"/>
                <w:i/>
                <w:iCs/>
                <w:color w:val="000000"/>
                <w:sz w:val="18"/>
                <w:szCs w:val="18"/>
                <w:lang w:val="es-ES_tradnl" w:eastAsia="es-CO"/>
              </w:rPr>
              <w:t>CDMB</w:t>
            </w:r>
          </w:p>
        </w:tc>
        <w:tc>
          <w:tcPr>
            <w:tcW w:w="0" w:type="auto"/>
            <w:vMerge w:val="restart"/>
            <w:tcBorders>
              <w:top w:val="nil"/>
              <w:left w:val="single" w:sz="8" w:space="0" w:color="000000"/>
              <w:bottom w:val="single" w:sz="8" w:space="0" w:color="000000"/>
              <w:right w:val="single" w:sz="8" w:space="0" w:color="000000"/>
            </w:tcBorders>
            <w:shd w:val="clear" w:color="auto" w:fill="auto"/>
            <w:noWrap/>
            <w:vAlign w:val="center"/>
            <w:hideMark/>
          </w:tcPr>
          <w:p w14:paraId="09965859" w14:textId="77777777" w:rsidR="0048516D" w:rsidRPr="0048516D" w:rsidRDefault="0048516D" w:rsidP="0048516D">
            <w:pPr>
              <w:jc w:val="center"/>
              <w:rPr>
                <w:rFonts w:ascii="Verdana" w:hAnsi="Verdana" w:cs="Calibri"/>
                <w:i/>
                <w:iCs/>
                <w:color w:val="000000"/>
                <w:sz w:val="18"/>
                <w:szCs w:val="18"/>
                <w:lang w:val="es-CO" w:eastAsia="es-CO"/>
              </w:rPr>
            </w:pPr>
            <w:r w:rsidRPr="0048516D">
              <w:rPr>
                <w:rFonts w:ascii="Verdana" w:hAnsi="Verdana" w:cs="Calibri"/>
                <w:i/>
                <w:iCs/>
                <w:color w:val="000000"/>
                <w:sz w:val="18"/>
                <w:szCs w:val="18"/>
                <w:lang w:val="es-ES_tradnl" w:eastAsia="es-CO"/>
              </w:rPr>
              <w:t>11.608,55</w:t>
            </w:r>
          </w:p>
        </w:tc>
        <w:tc>
          <w:tcPr>
            <w:tcW w:w="0" w:type="auto"/>
            <w:tcBorders>
              <w:top w:val="nil"/>
              <w:left w:val="nil"/>
              <w:bottom w:val="single" w:sz="8" w:space="0" w:color="000000"/>
              <w:right w:val="single" w:sz="8" w:space="0" w:color="000000"/>
            </w:tcBorders>
            <w:shd w:val="clear" w:color="auto" w:fill="auto"/>
            <w:noWrap/>
            <w:vAlign w:val="center"/>
            <w:hideMark/>
          </w:tcPr>
          <w:p w14:paraId="67C81549" w14:textId="77777777" w:rsidR="0048516D" w:rsidRPr="0048516D" w:rsidRDefault="0048516D" w:rsidP="0048516D">
            <w:pPr>
              <w:jc w:val="center"/>
              <w:rPr>
                <w:rFonts w:ascii="Verdana" w:hAnsi="Verdana" w:cs="Calibri"/>
                <w:i/>
                <w:iCs/>
                <w:color w:val="000000"/>
                <w:sz w:val="18"/>
                <w:szCs w:val="18"/>
                <w:lang w:val="es-CO" w:eastAsia="es-CO"/>
              </w:rPr>
            </w:pPr>
            <w:r w:rsidRPr="0048516D">
              <w:rPr>
                <w:rFonts w:ascii="Verdana" w:hAnsi="Verdana" w:cs="Calibri"/>
                <w:i/>
                <w:iCs/>
                <w:color w:val="000000"/>
                <w:sz w:val="18"/>
                <w:szCs w:val="18"/>
                <w:lang w:val="es-CO" w:eastAsia="es-CO"/>
              </w:rPr>
              <w:t>3.687,04</w:t>
            </w:r>
          </w:p>
        </w:tc>
        <w:tc>
          <w:tcPr>
            <w:tcW w:w="0" w:type="auto"/>
            <w:vMerge w:val="restart"/>
            <w:tcBorders>
              <w:top w:val="nil"/>
              <w:left w:val="single" w:sz="8" w:space="0" w:color="000000"/>
              <w:bottom w:val="single" w:sz="8" w:space="0" w:color="000000"/>
              <w:right w:val="single" w:sz="8" w:space="0" w:color="000000"/>
            </w:tcBorders>
            <w:shd w:val="clear" w:color="auto" w:fill="auto"/>
            <w:noWrap/>
            <w:vAlign w:val="center"/>
            <w:hideMark/>
          </w:tcPr>
          <w:p w14:paraId="01E59240" w14:textId="77777777" w:rsidR="0048516D" w:rsidRPr="0048516D" w:rsidRDefault="0048516D" w:rsidP="0048516D">
            <w:pPr>
              <w:jc w:val="center"/>
              <w:rPr>
                <w:rFonts w:ascii="Verdana" w:hAnsi="Verdana" w:cs="Calibri"/>
                <w:i/>
                <w:iCs/>
                <w:color w:val="000000"/>
                <w:sz w:val="18"/>
                <w:szCs w:val="18"/>
                <w:lang w:val="es-CO" w:eastAsia="es-CO"/>
              </w:rPr>
            </w:pPr>
            <w:r w:rsidRPr="0048516D">
              <w:rPr>
                <w:rFonts w:ascii="Verdana" w:hAnsi="Verdana" w:cs="Calibri"/>
                <w:i/>
                <w:iCs/>
                <w:color w:val="000000"/>
                <w:sz w:val="18"/>
                <w:szCs w:val="18"/>
                <w:lang w:val="es-ES_tradnl" w:eastAsia="es-CO"/>
              </w:rPr>
              <w:t>5.954,88</w:t>
            </w:r>
          </w:p>
        </w:tc>
      </w:tr>
      <w:tr w:rsidR="0048516D" w:rsidRPr="0048516D" w14:paraId="5FDFE681" w14:textId="77777777" w:rsidTr="00B92E27">
        <w:trPr>
          <w:trHeight w:val="300"/>
          <w:jc w:val="center"/>
        </w:trPr>
        <w:tc>
          <w:tcPr>
            <w:tcW w:w="0" w:type="auto"/>
            <w:tcBorders>
              <w:top w:val="nil"/>
              <w:left w:val="single" w:sz="8" w:space="0" w:color="000000"/>
              <w:bottom w:val="single" w:sz="8" w:space="0" w:color="000000"/>
              <w:right w:val="single" w:sz="8" w:space="0" w:color="000000"/>
            </w:tcBorders>
            <w:shd w:val="clear" w:color="auto" w:fill="auto"/>
            <w:noWrap/>
            <w:vAlign w:val="center"/>
            <w:hideMark/>
          </w:tcPr>
          <w:p w14:paraId="299D715E" w14:textId="77777777" w:rsidR="0048516D" w:rsidRPr="0048516D" w:rsidRDefault="0048516D" w:rsidP="0048516D">
            <w:pPr>
              <w:jc w:val="center"/>
              <w:rPr>
                <w:rFonts w:ascii="Verdana" w:hAnsi="Verdana" w:cs="Calibri"/>
                <w:i/>
                <w:iCs/>
                <w:color w:val="000000"/>
                <w:sz w:val="18"/>
                <w:szCs w:val="18"/>
                <w:lang w:val="es-CO" w:eastAsia="es-CO"/>
              </w:rPr>
            </w:pPr>
            <w:r w:rsidRPr="0048516D">
              <w:rPr>
                <w:rFonts w:ascii="Verdana" w:hAnsi="Verdana" w:cs="Calibri"/>
                <w:i/>
                <w:iCs/>
                <w:color w:val="000000"/>
                <w:sz w:val="18"/>
                <w:szCs w:val="18"/>
                <w:lang w:val="es-ES_tradnl" w:eastAsia="es-CO"/>
              </w:rPr>
              <w:t>49b</w:t>
            </w:r>
          </w:p>
        </w:tc>
        <w:tc>
          <w:tcPr>
            <w:tcW w:w="0" w:type="auto"/>
            <w:tcBorders>
              <w:top w:val="nil"/>
              <w:left w:val="nil"/>
              <w:bottom w:val="single" w:sz="8" w:space="0" w:color="000000"/>
              <w:right w:val="single" w:sz="8" w:space="0" w:color="000000"/>
            </w:tcBorders>
            <w:shd w:val="clear" w:color="auto" w:fill="auto"/>
            <w:noWrap/>
            <w:vAlign w:val="center"/>
            <w:hideMark/>
          </w:tcPr>
          <w:p w14:paraId="1812E4A3" w14:textId="77777777" w:rsidR="0048516D" w:rsidRPr="0048516D" w:rsidRDefault="0048516D" w:rsidP="0048516D">
            <w:pPr>
              <w:jc w:val="center"/>
              <w:rPr>
                <w:rFonts w:ascii="Verdana" w:hAnsi="Verdana" w:cs="Calibri"/>
                <w:i/>
                <w:iCs/>
                <w:color w:val="000000"/>
                <w:sz w:val="18"/>
                <w:szCs w:val="18"/>
                <w:lang w:val="es-CO" w:eastAsia="es-CO"/>
              </w:rPr>
            </w:pPr>
            <w:r w:rsidRPr="0048516D">
              <w:rPr>
                <w:rFonts w:ascii="Verdana" w:hAnsi="Verdana" w:cs="Calibri"/>
                <w:i/>
                <w:iCs/>
                <w:color w:val="000000"/>
                <w:sz w:val="18"/>
                <w:szCs w:val="18"/>
                <w:lang w:val="es-ES_tradnl" w:eastAsia="es-CO"/>
              </w:rPr>
              <w:t>Área protegida microcuenca Rio Tona</w:t>
            </w:r>
          </w:p>
        </w:tc>
        <w:tc>
          <w:tcPr>
            <w:tcW w:w="0" w:type="auto"/>
            <w:tcBorders>
              <w:top w:val="nil"/>
              <w:left w:val="nil"/>
              <w:bottom w:val="single" w:sz="8" w:space="0" w:color="000000"/>
              <w:right w:val="single" w:sz="8" w:space="0" w:color="000000"/>
            </w:tcBorders>
            <w:shd w:val="clear" w:color="auto" w:fill="auto"/>
            <w:noWrap/>
            <w:vAlign w:val="center"/>
            <w:hideMark/>
          </w:tcPr>
          <w:p w14:paraId="27DA119D" w14:textId="77777777" w:rsidR="0048516D" w:rsidRPr="0048516D" w:rsidRDefault="0048516D" w:rsidP="0048516D">
            <w:pPr>
              <w:jc w:val="center"/>
              <w:rPr>
                <w:rFonts w:ascii="Verdana" w:hAnsi="Verdana" w:cs="Calibri"/>
                <w:i/>
                <w:iCs/>
                <w:color w:val="000000"/>
                <w:sz w:val="18"/>
                <w:szCs w:val="18"/>
                <w:lang w:val="es-CO" w:eastAsia="es-CO"/>
              </w:rPr>
            </w:pPr>
            <w:r w:rsidRPr="0048516D">
              <w:rPr>
                <w:rFonts w:ascii="Verdana" w:hAnsi="Verdana" w:cs="Calibri"/>
                <w:i/>
                <w:iCs/>
                <w:color w:val="000000"/>
                <w:sz w:val="18"/>
                <w:szCs w:val="18"/>
                <w:lang w:val="es-ES_tradnl" w:eastAsia="es-CO"/>
              </w:rPr>
              <w:t>CDMB</w:t>
            </w:r>
          </w:p>
        </w:tc>
        <w:tc>
          <w:tcPr>
            <w:tcW w:w="0" w:type="auto"/>
            <w:vMerge/>
            <w:tcBorders>
              <w:top w:val="nil"/>
              <w:left w:val="single" w:sz="8" w:space="0" w:color="000000"/>
              <w:bottom w:val="single" w:sz="8" w:space="0" w:color="000000"/>
              <w:right w:val="single" w:sz="8" w:space="0" w:color="000000"/>
            </w:tcBorders>
            <w:vAlign w:val="center"/>
            <w:hideMark/>
          </w:tcPr>
          <w:p w14:paraId="73E28A0D" w14:textId="77777777" w:rsidR="0048516D" w:rsidRPr="0048516D" w:rsidRDefault="0048516D" w:rsidP="0048516D">
            <w:pPr>
              <w:rPr>
                <w:rFonts w:ascii="Verdana" w:hAnsi="Verdana" w:cs="Calibri"/>
                <w:i/>
                <w:iCs/>
                <w:color w:val="000000"/>
                <w:sz w:val="18"/>
                <w:szCs w:val="18"/>
                <w:lang w:val="es-CO" w:eastAsia="es-CO"/>
              </w:rPr>
            </w:pPr>
          </w:p>
        </w:tc>
        <w:tc>
          <w:tcPr>
            <w:tcW w:w="0" w:type="auto"/>
            <w:tcBorders>
              <w:top w:val="nil"/>
              <w:left w:val="nil"/>
              <w:bottom w:val="single" w:sz="8" w:space="0" w:color="000000"/>
              <w:right w:val="single" w:sz="8" w:space="0" w:color="000000"/>
            </w:tcBorders>
            <w:shd w:val="clear" w:color="auto" w:fill="auto"/>
            <w:noWrap/>
            <w:vAlign w:val="center"/>
            <w:hideMark/>
          </w:tcPr>
          <w:p w14:paraId="54D702A4" w14:textId="77777777" w:rsidR="0048516D" w:rsidRPr="0048516D" w:rsidRDefault="0048516D" w:rsidP="0048516D">
            <w:pPr>
              <w:jc w:val="center"/>
              <w:rPr>
                <w:rFonts w:ascii="Verdana" w:hAnsi="Verdana" w:cs="Calibri"/>
                <w:i/>
                <w:iCs/>
                <w:color w:val="000000"/>
                <w:sz w:val="18"/>
                <w:szCs w:val="18"/>
                <w:lang w:val="es-CO" w:eastAsia="es-CO"/>
              </w:rPr>
            </w:pPr>
            <w:r w:rsidRPr="0048516D">
              <w:rPr>
                <w:rFonts w:ascii="Verdana" w:hAnsi="Verdana" w:cs="Calibri"/>
                <w:i/>
                <w:iCs/>
                <w:color w:val="000000"/>
                <w:sz w:val="18"/>
                <w:szCs w:val="18"/>
                <w:lang w:val="es-CO" w:eastAsia="es-CO"/>
              </w:rPr>
              <w:t>1.966,63</w:t>
            </w:r>
          </w:p>
        </w:tc>
        <w:tc>
          <w:tcPr>
            <w:tcW w:w="0" w:type="auto"/>
            <w:vMerge/>
            <w:tcBorders>
              <w:top w:val="nil"/>
              <w:left w:val="single" w:sz="8" w:space="0" w:color="000000"/>
              <w:bottom w:val="single" w:sz="8" w:space="0" w:color="000000"/>
              <w:right w:val="single" w:sz="8" w:space="0" w:color="000000"/>
            </w:tcBorders>
            <w:vAlign w:val="center"/>
            <w:hideMark/>
          </w:tcPr>
          <w:p w14:paraId="578D3966" w14:textId="77777777" w:rsidR="0048516D" w:rsidRPr="0048516D" w:rsidRDefault="0048516D" w:rsidP="0048516D">
            <w:pPr>
              <w:rPr>
                <w:rFonts w:ascii="Verdana" w:hAnsi="Verdana" w:cs="Calibri"/>
                <w:i/>
                <w:iCs/>
                <w:color w:val="000000"/>
                <w:sz w:val="18"/>
                <w:szCs w:val="18"/>
                <w:lang w:val="es-CO" w:eastAsia="es-CO"/>
              </w:rPr>
            </w:pPr>
          </w:p>
        </w:tc>
      </w:tr>
      <w:tr w:rsidR="0048516D" w:rsidRPr="0048516D" w14:paraId="0AB0D6A4" w14:textId="77777777" w:rsidTr="00B92E27">
        <w:trPr>
          <w:trHeight w:val="540"/>
          <w:jc w:val="center"/>
        </w:trPr>
        <w:tc>
          <w:tcPr>
            <w:tcW w:w="0" w:type="auto"/>
            <w:gridSpan w:val="3"/>
            <w:tcBorders>
              <w:top w:val="single" w:sz="8" w:space="0" w:color="000000"/>
              <w:left w:val="single" w:sz="8" w:space="0" w:color="000000"/>
              <w:bottom w:val="single" w:sz="8" w:space="0" w:color="000000"/>
              <w:right w:val="single" w:sz="8" w:space="0" w:color="000000"/>
            </w:tcBorders>
            <w:shd w:val="clear" w:color="000000" w:fill="BFBFBF"/>
            <w:noWrap/>
            <w:vAlign w:val="center"/>
            <w:hideMark/>
          </w:tcPr>
          <w:p w14:paraId="2B9AC4A5" w14:textId="77777777" w:rsidR="0048516D" w:rsidRPr="0048516D" w:rsidRDefault="0048516D" w:rsidP="0048516D">
            <w:pPr>
              <w:jc w:val="center"/>
              <w:rPr>
                <w:rFonts w:ascii="Verdana" w:hAnsi="Verdana" w:cs="Calibri"/>
                <w:b/>
                <w:bCs/>
                <w:i/>
                <w:iCs/>
                <w:color w:val="000000"/>
                <w:sz w:val="18"/>
                <w:szCs w:val="18"/>
                <w:lang w:val="es-CO" w:eastAsia="es-CO"/>
              </w:rPr>
            </w:pPr>
            <w:r w:rsidRPr="0048516D">
              <w:rPr>
                <w:rFonts w:ascii="Verdana" w:hAnsi="Verdana" w:cs="Calibri"/>
                <w:b/>
                <w:bCs/>
                <w:i/>
                <w:iCs/>
                <w:color w:val="000000"/>
                <w:sz w:val="18"/>
                <w:szCs w:val="18"/>
                <w:lang w:val="es-CO" w:eastAsia="es-CO"/>
              </w:rPr>
              <w:t>Total</w:t>
            </w:r>
          </w:p>
        </w:tc>
        <w:tc>
          <w:tcPr>
            <w:tcW w:w="0" w:type="auto"/>
            <w:tcBorders>
              <w:top w:val="nil"/>
              <w:left w:val="nil"/>
              <w:bottom w:val="single" w:sz="8" w:space="0" w:color="000000"/>
              <w:right w:val="single" w:sz="8" w:space="0" w:color="000000"/>
            </w:tcBorders>
            <w:shd w:val="clear" w:color="000000" w:fill="BFBFBF"/>
            <w:noWrap/>
            <w:vAlign w:val="center"/>
            <w:hideMark/>
          </w:tcPr>
          <w:p w14:paraId="6B76C95A" w14:textId="77777777" w:rsidR="0048516D" w:rsidRPr="0048516D" w:rsidRDefault="0048516D" w:rsidP="0048516D">
            <w:pPr>
              <w:jc w:val="center"/>
              <w:rPr>
                <w:rFonts w:ascii="Verdana" w:hAnsi="Verdana" w:cs="Calibri"/>
                <w:b/>
                <w:bCs/>
                <w:i/>
                <w:iCs/>
                <w:color w:val="000000"/>
                <w:sz w:val="18"/>
                <w:szCs w:val="18"/>
                <w:lang w:val="es-CO" w:eastAsia="es-CO"/>
              </w:rPr>
            </w:pPr>
            <w:r w:rsidRPr="0048516D">
              <w:rPr>
                <w:rFonts w:ascii="Verdana" w:hAnsi="Verdana" w:cs="Calibri"/>
                <w:b/>
                <w:bCs/>
                <w:i/>
                <w:iCs/>
                <w:color w:val="000000"/>
                <w:sz w:val="18"/>
                <w:szCs w:val="18"/>
                <w:lang w:val="es-CO" w:eastAsia="es-CO"/>
              </w:rPr>
              <w:t>11.608,55</w:t>
            </w:r>
          </w:p>
        </w:tc>
        <w:tc>
          <w:tcPr>
            <w:tcW w:w="0" w:type="auto"/>
            <w:tcBorders>
              <w:top w:val="nil"/>
              <w:left w:val="nil"/>
              <w:bottom w:val="single" w:sz="8" w:space="0" w:color="000000"/>
              <w:right w:val="single" w:sz="8" w:space="0" w:color="000000"/>
            </w:tcBorders>
            <w:shd w:val="clear" w:color="000000" w:fill="BFBFBF"/>
            <w:noWrap/>
            <w:vAlign w:val="center"/>
            <w:hideMark/>
          </w:tcPr>
          <w:p w14:paraId="4717729D" w14:textId="77777777" w:rsidR="0048516D" w:rsidRPr="0048516D" w:rsidRDefault="0048516D" w:rsidP="0048516D">
            <w:pPr>
              <w:jc w:val="center"/>
              <w:rPr>
                <w:rFonts w:ascii="Verdana" w:hAnsi="Verdana" w:cs="Calibri"/>
                <w:b/>
                <w:bCs/>
                <w:i/>
                <w:iCs/>
                <w:color w:val="000000"/>
                <w:sz w:val="18"/>
                <w:szCs w:val="18"/>
                <w:lang w:val="es-CO" w:eastAsia="es-CO"/>
              </w:rPr>
            </w:pPr>
            <w:r w:rsidRPr="0048516D">
              <w:rPr>
                <w:rFonts w:ascii="Verdana" w:hAnsi="Verdana" w:cs="Calibri"/>
                <w:b/>
                <w:bCs/>
                <w:i/>
                <w:iCs/>
                <w:color w:val="000000"/>
                <w:sz w:val="18"/>
                <w:szCs w:val="18"/>
                <w:lang w:val="es-CO" w:eastAsia="es-CO"/>
              </w:rPr>
              <w:t>5.653,67</w:t>
            </w:r>
          </w:p>
        </w:tc>
        <w:tc>
          <w:tcPr>
            <w:tcW w:w="0" w:type="auto"/>
            <w:tcBorders>
              <w:top w:val="nil"/>
              <w:left w:val="nil"/>
              <w:bottom w:val="single" w:sz="8" w:space="0" w:color="000000"/>
              <w:right w:val="single" w:sz="8" w:space="0" w:color="000000"/>
            </w:tcBorders>
            <w:shd w:val="clear" w:color="000000" w:fill="BFBFBF"/>
            <w:noWrap/>
            <w:vAlign w:val="center"/>
            <w:hideMark/>
          </w:tcPr>
          <w:p w14:paraId="6994C0AF" w14:textId="77777777" w:rsidR="0048516D" w:rsidRPr="0048516D" w:rsidRDefault="0048516D" w:rsidP="0048516D">
            <w:pPr>
              <w:jc w:val="center"/>
              <w:rPr>
                <w:rFonts w:ascii="Verdana" w:hAnsi="Verdana" w:cs="Calibri"/>
                <w:b/>
                <w:bCs/>
                <w:i/>
                <w:iCs/>
                <w:color w:val="000000"/>
                <w:sz w:val="18"/>
                <w:szCs w:val="18"/>
                <w:lang w:val="es-CO" w:eastAsia="es-CO"/>
              </w:rPr>
            </w:pPr>
            <w:r w:rsidRPr="0048516D">
              <w:rPr>
                <w:rFonts w:ascii="Verdana" w:hAnsi="Verdana" w:cs="Calibri"/>
                <w:b/>
                <w:bCs/>
                <w:i/>
                <w:iCs/>
                <w:color w:val="000000"/>
                <w:sz w:val="18"/>
                <w:szCs w:val="18"/>
                <w:lang w:val="es-CO" w:eastAsia="es-CO"/>
              </w:rPr>
              <w:t>5.954,88</w:t>
            </w:r>
          </w:p>
        </w:tc>
      </w:tr>
    </w:tbl>
    <w:p w14:paraId="3D26F59E" w14:textId="77777777" w:rsidR="0048516D" w:rsidRPr="0048516D" w:rsidRDefault="0048516D" w:rsidP="0048516D">
      <w:pPr>
        <w:autoSpaceDE w:val="0"/>
        <w:autoSpaceDN w:val="0"/>
        <w:adjustRightInd w:val="0"/>
        <w:jc w:val="both"/>
        <w:rPr>
          <w:rFonts w:ascii="Verdana" w:hAnsi="Verdana" w:cs="CIDFont+F7"/>
          <w:i/>
          <w:iCs/>
          <w:sz w:val="16"/>
          <w:szCs w:val="16"/>
          <w:lang w:val="es-CO" w:eastAsia="en-US"/>
        </w:rPr>
      </w:pPr>
    </w:p>
    <w:p w14:paraId="7C9C93AF" w14:textId="1AA99667" w:rsidR="00165824" w:rsidRPr="00B966C6" w:rsidRDefault="0048516D" w:rsidP="0048516D">
      <w:pPr>
        <w:autoSpaceDE w:val="0"/>
        <w:autoSpaceDN w:val="0"/>
        <w:adjustRightInd w:val="0"/>
        <w:rPr>
          <w:rFonts w:ascii="Verdana" w:hAnsi="Verdana"/>
          <w:i/>
          <w:iCs/>
          <w:sz w:val="18"/>
          <w:szCs w:val="18"/>
          <w:lang w:val="es-ES_tradnl"/>
        </w:rPr>
      </w:pPr>
      <w:r w:rsidRPr="00B966C6">
        <w:rPr>
          <w:rFonts w:ascii="Verdana" w:hAnsi="Verdana" w:cs="CIDFont+F7"/>
          <w:i/>
          <w:iCs/>
          <w:sz w:val="16"/>
          <w:szCs w:val="16"/>
          <w:lang w:val="es-CO" w:eastAsia="en-US"/>
        </w:rPr>
        <w:t>Nota: Los anteriores datos, se calcularon de la siguiente forma: i) para los procesos que no surtieron modificaciones en sus polígonos, el área s tomó del último dato reportado en el shapefile, ii) para los procesos que presentaron modificación en el polígono, en el polígono, se tomó el último dato reportado en el shapefile (Cálculo en Magna Sirgas Origen Nacional)  por la Corporación atendiendo a los avances en el marco de la Ruta para la declaratoria de áreas protegidas</w:t>
      </w:r>
      <w:r w:rsidR="00165824" w:rsidRPr="00B966C6">
        <w:rPr>
          <w:rFonts w:ascii="Verdana" w:hAnsi="Verdana" w:cs="CIDFont+F7"/>
          <w:i/>
          <w:iCs/>
          <w:sz w:val="18"/>
          <w:szCs w:val="18"/>
          <w:lang w:val="es-CO" w:eastAsia="en-US"/>
        </w:rPr>
        <w:t>.</w:t>
      </w:r>
    </w:p>
    <w:p w14:paraId="0646F94F" w14:textId="77777777" w:rsidR="00165824" w:rsidRPr="00B966C6" w:rsidRDefault="00165824" w:rsidP="00E461AA">
      <w:pPr>
        <w:jc w:val="both"/>
        <w:rPr>
          <w:rFonts w:ascii="Verdana" w:hAnsi="Verdana"/>
          <w:i/>
          <w:iCs/>
          <w:lang w:val="es-ES_tradnl"/>
        </w:rPr>
      </w:pPr>
    </w:p>
    <w:p w14:paraId="341BFB18" w14:textId="676B087A" w:rsidR="00165824" w:rsidRPr="00B966C6" w:rsidRDefault="00165824" w:rsidP="00E461AA">
      <w:pPr>
        <w:jc w:val="both"/>
        <w:rPr>
          <w:rFonts w:ascii="Verdana" w:hAnsi="Verdana"/>
          <w:i/>
          <w:iCs/>
          <w:sz w:val="22"/>
          <w:szCs w:val="22"/>
          <w:lang w:val="es-ES_tradnl"/>
        </w:rPr>
      </w:pPr>
      <w:r w:rsidRPr="00B966C6">
        <w:rPr>
          <w:rFonts w:ascii="Verdana" w:hAnsi="Verdana"/>
          <w:i/>
          <w:iCs/>
          <w:sz w:val="22"/>
          <w:szCs w:val="22"/>
          <w:lang w:val="es-ES_tradnl"/>
        </w:rPr>
        <w:t>(…)</w:t>
      </w:r>
    </w:p>
    <w:p w14:paraId="4639E33A" w14:textId="77777777" w:rsidR="00165824" w:rsidRPr="00B966C6" w:rsidRDefault="00165824" w:rsidP="00E461AA">
      <w:pPr>
        <w:jc w:val="both"/>
        <w:rPr>
          <w:rFonts w:ascii="Verdana" w:hAnsi="Verdana"/>
          <w:i/>
          <w:iCs/>
          <w:sz w:val="22"/>
          <w:szCs w:val="22"/>
          <w:lang w:val="es-ES_tradnl"/>
        </w:rPr>
      </w:pPr>
    </w:p>
    <w:p w14:paraId="61D97D57" w14:textId="77777777" w:rsidR="0048516D" w:rsidRPr="0048516D" w:rsidRDefault="0048516D" w:rsidP="0048516D">
      <w:pPr>
        <w:jc w:val="both"/>
        <w:rPr>
          <w:rFonts w:ascii="Verdana" w:hAnsi="Verdana"/>
          <w:i/>
          <w:iCs/>
          <w:sz w:val="22"/>
          <w:szCs w:val="22"/>
          <w:lang w:val="es-CO"/>
        </w:rPr>
      </w:pPr>
      <w:bookmarkStart w:id="14" w:name="_Hlk147388130"/>
      <w:r w:rsidRPr="0048516D">
        <w:rPr>
          <w:rFonts w:ascii="Verdana" w:hAnsi="Verdana"/>
          <w:i/>
          <w:iCs/>
          <w:sz w:val="22"/>
          <w:szCs w:val="22"/>
          <w:lang w:val="es-CO"/>
        </w:rPr>
        <w:t xml:space="preserve">Frente al rediseño del </w:t>
      </w:r>
      <w:r w:rsidRPr="0048516D">
        <w:rPr>
          <w:rFonts w:ascii="Verdana" w:hAnsi="Verdana"/>
          <w:b/>
          <w:bCs/>
          <w:i/>
          <w:iCs/>
          <w:sz w:val="22"/>
          <w:szCs w:val="22"/>
          <w:lang w:val="es-CO"/>
        </w:rPr>
        <w:t>polígono 49 Área protegida microcuenca Rio Tona</w:t>
      </w:r>
      <w:r w:rsidRPr="0048516D">
        <w:rPr>
          <w:rFonts w:ascii="Verdana" w:hAnsi="Verdana"/>
          <w:i/>
          <w:iCs/>
          <w:sz w:val="22"/>
          <w:szCs w:val="22"/>
          <w:lang w:val="es-CO"/>
        </w:rPr>
        <w:t xml:space="preserve"> a ser declarada como área protegida, la CDMB informó que fue necesario dividir el área a declarar en dos polígonos, y actualizar la información cartográfica y socioeconómica del territorio dado que se encuentra modificado el uso del suelo donde están incluidos centros poblados (Centro poblado de Bocas – municipio de Girón y Casco urbano de Tona) al interior de los polígonos 47 y 49 por lo tanto no es compatible con el ordenamiento de las áreas protegidas incluir usos urbanos.</w:t>
      </w:r>
    </w:p>
    <w:p w14:paraId="6FAA5AC1" w14:textId="77777777" w:rsidR="0048516D" w:rsidRPr="0048516D" w:rsidRDefault="0048516D" w:rsidP="0048516D">
      <w:pPr>
        <w:jc w:val="both"/>
        <w:rPr>
          <w:rFonts w:ascii="Verdana" w:hAnsi="Verdana"/>
          <w:i/>
          <w:iCs/>
          <w:sz w:val="22"/>
          <w:szCs w:val="22"/>
          <w:lang w:val="es-ES_tradnl"/>
        </w:rPr>
      </w:pPr>
    </w:p>
    <w:p w14:paraId="75688A62" w14:textId="77777777" w:rsidR="0048516D" w:rsidRPr="0048516D" w:rsidRDefault="0048516D" w:rsidP="0048516D">
      <w:pPr>
        <w:jc w:val="both"/>
        <w:rPr>
          <w:rFonts w:ascii="Verdana" w:hAnsi="Verdana"/>
          <w:i/>
          <w:iCs/>
          <w:sz w:val="22"/>
          <w:szCs w:val="22"/>
          <w:lang w:val="es-ES_tradnl"/>
        </w:rPr>
      </w:pPr>
      <w:r w:rsidRPr="0048516D">
        <w:rPr>
          <w:rFonts w:ascii="Verdana" w:hAnsi="Verdana"/>
          <w:i/>
          <w:iCs/>
          <w:sz w:val="22"/>
          <w:szCs w:val="22"/>
          <w:lang w:val="es-ES_tradnl"/>
        </w:rPr>
        <w:t xml:space="preserve">Teniendo en cuenta el significativo cambio que presenta el </w:t>
      </w:r>
      <w:r w:rsidRPr="0048516D">
        <w:rPr>
          <w:rFonts w:ascii="Verdana" w:hAnsi="Verdana"/>
          <w:b/>
          <w:bCs/>
          <w:i/>
          <w:iCs/>
          <w:sz w:val="22"/>
          <w:szCs w:val="22"/>
          <w:lang w:val="es-ES_tradnl"/>
        </w:rPr>
        <w:t>polígono 49 Área protegida microcuenca Rio Tona</w:t>
      </w:r>
      <w:r w:rsidRPr="0048516D">
        <w:rPr>
          <w:rFonts w:ascii="Verdana" w:hAnsi="Verdana"/>
          <w:i/>
          <w:iCs/>
          <w:sz w:val="22"/>
          <w:szCs w:val="22"/>
          <w:lang w:val="es-ES_tradnl"/>
        </w:rPr>
        <w:t xml:space="preserve"> del polígono contenido en la Resolución 1125 de 2021, y en el cual la corporación adelantaría la declaratoria de dos áreas protegidas, se anexa al presente documento una ficha técnica que describe en detalle las razones que expresa la corporación, para sustentar dicha división del polígono (anexo 3). El anexo en mención constituye parte integral de este documento, el archivo geográfico la cartografía digital en formato .shape, que contiene las áreas que serían incluidas en la eventual prórroga de la resolución en mención.</w:t>
      </w:r>
    </w:p>
    <w:p w14:paraId="4691BD93" w14:textId="77777777" w:rsidR="0048516D" w:rsidRPr="0048516D" w:rsidRDefault="0048516D" w:rsidP="0048516D">
      <w:pPr>
        <w:jc w:val="both"/>
        <w:rPr>
          <w:rFonts w:ascii="Verdana" w:hAnsi="Verdana"/>
          <w:i/>
          <w:iCs/>
          <w:sz w:val="22"/>
          <w:szCs w:val="22"/>
          <w:lang w:val="es-ES_tradnl"/>
        </w:rPr>
      </w:pPr>
    </w:p>
    <w:p w14:paraId="60228080" w14:textId="467F1E59" w:rsidR="0048516D" w:rsidRPr="0048516D" w:rsidRDefault="0048516D" w:rsidP="0048516D">
      <w:pPr>
        <w:jc w:val="both"/>
        <w:rPr>
          <w:rFonts w:ascii="Verdana" w:hAnsi="Verdana"/>
          <w:i/>
          <w:iCs/>
          <w:sz w:val="22"/>
          <w:szCs w:val="22"/>
          <w:lang w:val="es-ES_tradnl"/>
        </w:rPr>
      </w:pPr>
      <w:r w:rsidRPr="0048516D">
        <w:rPr>
          <w:rFonts w:ascii="Verdana" w:hAnsi="Verdana"/>
          <w:i/>
          <w:iCs/>
          <w:sz w:val="22"/>
          <w:szCs w:val="22"/>
          <w:lang w:val="es-ES_tradnl"/>
        </w:rPr>
        <w:t xml:space="preserve">Finalmente, CORPONOR precisó a este Ministerio, que los </w:t>
      </w:r>
      <w:r w:rsidRPr="0048516D">
        <w:rPr>
          <w:rFonts w:ascii="Verdana" w:hAnsi="Verdana"/>
          <w:b/>
          <w:bCs/>
          <w:i/>
          <w:iCs/>
          <w:sz w:val="22"/>
          <w:szCs w:val="22"/>
          <w:lang w:val="es-ES_tradnl"/>
        </w:rPr>
        <w:t>polígonos 24 Reserva Forestal Protectora Jurisdicciones</w:t>
      </w:r>
      <w:r w:rsidRPr="0048516D">
        <w:rPr>
          <w:rFonts w:ascii="Verdana" w:hAnsi="Verdana"/>
          <w:i/>
          <w:iCs/>
          <w:sz w:val="22"/>
          <w:szCs w:val="22"/>
          <w:lang w:val="es-ES_tradnl"/>
        </w:rPr>
        <w:t xml:space="preserve"> y </w:t>
      </w:r>
      <w:r w:rsidRPr="0048516D">
        <w:rPr>
          <w:rFonts w:ascii="Verdana" w:hAnsi="Verdana"/>
          <w:b/>
          <w:bCs/>
          <w:i/>
          <w:iCs/>
          <w:sz w:val="22"/>
          <w:szCs w:val="22"/>
          <w:lang w:val="es-ES_tradnl"/>
        </w:rPr>
        <w:t>polígono 40PNR Almorzadero</w:t>
      </w:r>
      <w:r w:rsidRPr="0048516D">
        <w:rPr>
          <w:rFonts w:ascii="Verdana" w:hAnsi="Verdana"/>
          <w:i/>
          <w:iCs/>
          <w:sz w:val="22"/>
          <w:szCs w:val="22"/>
          <w:lang w:val="es-ES_tradnl"/>
        </w:rPr>
        <w:t xml:space="preserve"> sobre estas áreas:</w:t>
      </w:r>
    </w:p>
    <w:p w14:paraId="26A88F02" w14:textId="77777777" w:rsidR="0048516D" w:rsidRPr="0048516D" w:rsidRDefault="0048516D" w:rsidP="0048516D">
      <w:pPr>
        <w:jc w:val="both"/>
        <w:rPr>
          <w:rFonts w:ascii="Verdana" w:hAnsi="Verdana"/>
          <w:i/>
          <w:iCs/>
          <w:sz w:val="22"/>
          <w:szCs w:val="22"/>
          <w:lang w:val="es-ES_tradnl"/>
        </w:rPr>
      </w:pPr>
    </w:p>
    <w:p w14:paraId="2B8317C5" w14:textId="77777777" w:rsidR="0048516D" w:rsidRPr="0048516D" w:rsidRDefault="0048516D" w:rsidP="0048516D">
      <w:pPr>
        <w:ind w:left="708"/>
        <w:jc w:val="both"/>
        <w:rPr>
          <w:rFonts w:ascii="Verdana" w:hAnsi="Verdana"/>
          <w:i/>
          <w:iCs/>
          <w:sz w:val="22"/>
          <w:szCs w:val="22"/>
          <w:lang w:val="es-ES_tradnl"/>
        </w:rPr>
      </w:pPr>
      <w:r w:rsidRPr="0048516D">
        <w:rPr>
          <w:rFonts w:ascii="Verdana" w:hAnsi="Verdana"/>
          <w:i/>
          <w:iCs/>
          <w:sz w:val="22"/>
          <w:szCs w:val="22"/>
          <w:lang w:val="es-ES_tradnl"/>
        </w:rPr>
        <w:t xml:space="preserve">“(…) Sobre las dos (2) áreas propuestas no se dieron avances en razón a la falta de recursos para financiar las subsiguientes etapas de la ruta de declaratoria. </w:t>
      </w:r>
    </w:p>
    <w:p w14:paraId="5F33A473" w14:textId="77777777" w:rsidR="0048516D" w:rsidRPr="0048516D" w:rsidRDefault="0048516D" w:rsidP="0048516D">
      <w:pPr>
        <w:ind w:left="708"/>
        <w:jc w:val="both"/>
        <w:rPr>
          <w:rFonts w:ascii="Verdana" w:hAnsi="Verdana"/>
          <w:i/>
          <w:iCs/>
          <w:sz w:val="22"/>
          <w:szCs w:val="22"/>
          <w:lang w:val="es-ES_tradnl"/>
        </w:rPr>
      </w:pPr>
    </w:p>
    <w:p w14:paraId="5B38BF58" w14:textId="77777777" w:rsidR="0048516D" w:rsidRPr="0048516D" w:rsidRDefault="0048516D" w:rsidP="0048516D">
      <w:pPr>
        <w:ind w:left="708"/>
        <w:jc w:val="both"/>
        <w:rPr>
          <w:rFonts w:ascii="Verdana" w:hAnsi="Verdana"/>
          <w:i/>
          <w:iCs/>
          <w:sz w:val="22"/>
          <w:szCs w:val="22"/>
          <w:lang w:val="es-ES_tradnl"/>
        </w:rPr>
      </w:pPr>
      <w:r w:rsidRPr="0048516D">
        <w:rPr>
          <w:rFonts w:ascii="Verdana" w:hAnsi="Verdana"/>
          <w:i/>
          <w:iCs/>
          <w:sz w:val="22"/>
          <w:szCs w:val="22"/>
          <w:lang w:val="es-ES_tradnl"/>
        </w:rPr>
        <w:t>En razón a que para 2024 se tendría un nuevo Plan de Acción de Corporativo y se tienen los compromisos de asignar recursos para financiar los Planes de Manejo de las áreas ya declaradas y además que sobre las mismas se superpone la Estrategia de Conservación de los páramos delimitados Almorzadero (Resolución 152 de 2018) y Jurisdicciones Santurbán-Berlín (resolución 2090 de 2014), la Coporación libera los polígonos 24 y 40 de la Resolución 1125 de 2021 y anexa los respectivos shape file para los fines pertinentes”.</w:t>
      </w:r>
    </w:p>
    <w:p w14:paraId="2B117E91" w14:textId="77777777" w:rsidR="0048516D" w:rsidRPr="0048516D" w:rsidRDefault="0048516D" w:rsidP="0048516D">
      <w:pPr>
        <w:jc w:val="both"/>
        <w:rPr>
          <w:rFonts w:ascii="Verdana" w:hAnsi="Verdana"/>
          <w:i/>
          <w:iCs/>
          <w:sz w:val="22"/>
          <w:szCs w:val="22"/>
          <w:lang w:val="es-ES_tradnl"/>
        </w:rPr>
      </w:pPr>
    </w:p>
    <w:p w14:paraId="59315438" w14:textId="77777777" w:rsidR="0048516D" w:rsidRPr="0048516D" w:rsidRDefault="0048516D" w:rsidP="0048516D">
      <w:pPr>
        <w:jc w:val="both"/>
        <w:rPr>
          <w:rFonts w:ascii="Verdana" w:hAnsi="Verdana"/>
          <w:i/>
          <w:iCs/>
          <w:sz w:val="22"/>
          <w:szCs w:val="22"/>
          <w:lang w:val="es-ES_tradnl"/>
        </w:rPr>
      </w:pPr>
      <w:r w:rsidRPr="0048516D">
        <w:rPr>
          <w:rFonts w:ascii="Verdana" w:hAnsi="Verdana"/>
          <w:i/>
          <w:iCs/>
          <w:sz w:val="22"/>
          <w:szCs w:val="22"/>
          <w:lang w:val="es-ES_tradnl"/>
        </w:rPr>
        <w:t>Teniendo en cuenta lo expuesto y como resultado de la aplicación de la ruta declaratoria, para los dos (2) polígonos mencionados, la corporación correspondiente comunicó la decisión de liberar el mismo.</w:t>
      </w:r>
    </w:p>
    <w:p w14:paraId="5478D67D" w14:textId="77777777" w:rsidR="0048516D" w:rsidRPr="0048516D" w:rsidRDefault="0048516D" w:rsidP="0048516D">
      <w:pPr>
        <w:jc w:val="both"/>
        <w:rPr>
          <w:rFonts w:ascii="Verdana" w:hAnsi="Verdana"/>
          <w:i/>
          <w:iCs/>
          <w:szCs w:val="24"/>
          <w:lang w:val="es-ES_tradnl"/>
        </w:rPr>
      </w:pPr>
    </w:p>
    <w:p w14:paraId="3AC953B3" w14:textId="2F59F2B5" w:rsidR="0048516D" w:rsidRPr="0048516D" w:rsidRDefault="0048516D" w:rsidP="0048516D">
      <w:pPr>
        <w:keepNext/>
        <w:spacing w:after="200"/>
        <w:jc w:val="center"/>
        <w:rPr>
          <w:rFonts w:ascii="Verdana" w:hAnsi="Verdana"/>
          <w:i/>
          <w:iCs/>
          <w:sz w:val="18"/>
          <w:szCs w:val="18"/>
          <w:lang w:val="es-ES_tradnl"/>
        </w:rPr>
      </w:pPr>
      <w:r w:rsidRPr="0048516D">
        <w:rPr>
          <w:rFonts w:ascii="Verdana" w:hAnsi="Verdana"/>
          <w:i/>
          <w:iCs/>
          <w:sz w:val="18"/>
          <w:szCs w:val="18"/>
          <w:lang w:val="es-ES_tradnl"/>
        </w:rPr>
        <w:lastRenderedPageBreak/>
        <w:t xml:space="preserve">Tabla </w:t>
      </w:r>
      <w:r w:rsidRPr="0048516D">
        <w:rPr>
          <w:rFonts w:ascii="Verdana" w:hAnsi="Verdana"/>
          <w:i/>
          <w:iCs/>
          <w:sz w:val="18"/>
          <w:szCs w:val="18"/>
          <w:lang w:val="es-ES_tradnl"/>
        </w:rPr>
        <w:fldChar w:fldCharType="begin"/>
      </w:r>
      <w:r w:rsidRPr="0048516D">
        <w:rPr>
          <w:rFonts w:ascii="Verdana" w:hAnsi="Verdana"/>
          <w:i/>
          <w:iCs/>
          <w:sz w:val="18"/>
          <w:szCs w:val="18"/>
          <w:lang w:val="es-ES_tradnl"/>
        </w:rPr>
        <w:instrText xml:space="preserve"> SEQ Tabla \* ARABIC </w:instrText>
      </w:r>
      <w:r w:rsidRPr="0048516D">
        <w:rPr>
          <w:rFonts w:ascii="Verdana" w:hAnsi="Verdana"/>
          <w:i/>
          <w:iCs/>
          <w:sz w:val="18"/>
          <w:szCs w:val="18"/>
          <w:lang w:val="es-ES_tradnl"/>
        </w:rPr>
        <w:fldChar w:fldCharType="separate"/>
      </w:r>
      <w:r w:rsidR="001F2062">
        <w:rPr>
          <w:rFonts w:ascii="Verdana" w:hAnsi="Verdana"/>
          <w:i/>
          <w:iCs/>
          <w:noProof/>
          <w:sz w:val="18"/>
          <w:szCs w:val="18"/>
          <w:lang w:val="es-ES_tradnl"/>
        </w:rPr>
        <w:t>6</w:t>
      </w:r>
      <w:r w:rsidRPr="0048516D">
        <w:rPr>
          <w:rFonts w:ascii="Verdana" w:hAnsi="Verdana"/>
          <w:i/>
          <w:iCs/>
          <w:sz w:val="18"/>
          <w:szCs w:val="18"/>
          <w:lang w:val="es-ES_tradnl"/>
        </w:rPr>
        <w:fldChar w:fldCharType="end"/>
      </w:r>
      <w:r w:rsidRPr="0048516D">
        <w:rPr>
          <w:rFonts w:ascii="Verdana" w:hAnsi="Verdana"/>
          <w:i/>
          <w:iCs/>
          <w:sz w:val="18"/>
          <w:szCs w:val="18"/>
          <w:lang w:val="es-ES_tradnl"/>
        </w:rPr>
        <w:t xml:space="preserve">. </w:t>
      </w:r>
      <w:r w:rsidRPr="00B966C6">
        <w:rPr>
          <w:rFonts w:ascii="Verdana" w:hAnsi="Verdana"/>
          <w:i/>
          <w:iCs/>
          <w:sz w:val="18"/>
          <w:szCs w:val="18"/>
          <w:lang w:val="es-ES_tradnl"/>
        </w:rPr>
        <w:t>Polígonos para liberar</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193"/>
        <w:gridCol w:w="2007"/>
        <w:gridCol w:w="3944"/>
        <w:gridCol w:w="2060"/>
      </w:tblGrid>
      <w:tr w:rsidR="0048516D" w:rsidRPr="00B966C6" w14:paraId="2AC698C5" w14:textId="77777777" w:rsidTr="0048516D">
        <w:trPr>
          <w:trHeight w:val="70"/>
          <w:jc w:val="center"/>
        </w:trPr>
        <w:tc>
          <w:tcPr>
            <w:tcW w:w="872" w:type="pct"/>
            <w:shd w:val="clear" w:color="auto" w:fill="D9D9D9"/>
            <w:vAlign w:val="center"/>
            <w:hideMark/>
          </w:tcPr>
          <w:p w14:paraId="589CCF25" w14:textId="77777777" w:rsidR="0048516D" w:rsidRPr="0048516D" w:rsidRDefault="0048516D" w:rsidP="0048516D">
            <w:pPr>
              <w:jc w:val="center"/>
              <w:rPr>
                <w:rFonts w:ascii="Verdana" w:hAnsi="Verdana"/>
                <w:b/>
                <w:bCs/>
                <w:i/>
                <w:iCs/>
                <w:sz w:val="18"/>
                <w:szCs w:val="18"/>
                <w:lang w:val="es-CO" w:eastAsia="es-CO"/>
              </w:rPr>
            </w:pPr>
            <w:r w:rsidRPr="0048516D">
              <w:rPr>
                <w:rFonts w:ascii="Verdana" w:hAnsi="Verdana"/>
                <w:b/>
                <w:bCs/>
                <w:i/>
                <w:iCs/>
                <w:sz w:val="18"/>
                <w:szCs w:val="18"/>
                <w:lang w:val="es-CO" w:eastAsia="es-CO"/>
              </w:rPr>
              <w:t>Polígono N°</w:t>
            </w:r>
          </w:p>
        </w:tc>
        <w:tc>
          <w:tcPr>
            <w:tcW w:w="1314" w:type="pct"/>
            <w:shd w:val="clear" w:color="auto" w:fill="D9D9D9"/>
            <w:vAlign w:val="center"/>
            <w:hideMark/>
          </w:tcPr>
          <w:p w14:paraId="12C3A579" w14:textId="77777777" w:rsidR="0048516D" w:rsidRPr="0048516D" w:rsidRDefault="0048516D" w:rsidP="0048516D">
            <w:pPr>
              <w:jc w:val="center"/>
              <w:rPr>
                <w:rFonts w:ascii="Verdana" w:hAnsi="Verdana"/>
                <w:b/>
                <w:bCs/>
                <w:i/>
                <w:iCs/>
                <w:sz w:val="18"/>
                <w:szCs w:val="18"/>
                <w:lang w:val="es-CO" w:eastAsia="es-CO"/>
              </w:rPr>
            </w:pPr>
            <w:r w:rsidRPr="0048516D">
              <w:rPr>
                <w:rFonts w:ascii="Verdana" w:hAnsi="Verdana"/>
                <w:b/>
                <w:bCs/>
                <w:i/>
                <w:iCs/>
                <w:sz w:val="18"/>
                <w:szCs w:val="18"/>
                <w:lang w:val="es-CO" w:eastAsia="es-CO"/>
              </w:rPr>
              <w:t>Autoridad Ambiental</w:t>
            </w:r>
          </w:p>
        </w:tc>
        <w:tc>
          <w:tcPr>
            <w:tcW w:w="1471" w:type="pct"/>
            <w:shd w:val="clear" w:color="auto" w:fill="D9D9D9"/>
            <w:vAlign w:val="center"/>
            <w:hideMark/>
          </w:tcPr>
          <w:p w14:paraId="76AFBD10" w14:textId="77777777" w:rsidR="0048516D" w:rsidRPr="0048516D" w:rsidRDefault="0048516D" w:rsidP="0048516D">
            <w:pPr>
              <w:jc w:val="center"/>
              <w:rPr>
                <w:rFonts w:ascii="Verdana" w:hAnsi="Verdana"/>
                <w:b/>
                <w:bCs/>
                <w:i/>
                <w:iCs/>
                <w:sz w:val="18"/>
                <w:szCs w:val="18"/>
                <w:lang w:val="es-CO" w:eastAsia="es-CO"/>
              </w:rPr>
            </w:pPr>
            <w:r w:rsidRPr="0048516D">
              <w:rPr>
                <w:rFonts w:ascii="Verdana" w:hAnsi="Verdana"/>
                <w:b/>
                <w:bCs/>
                <w:i/>
                <w:iCs/>
                <w:sz w:val="18"/>
                <w:szCs w:val="18"/>
                <w:lang w:val="es-CO" w:eastAsia="es-CO"/>
              </w:rPr>
              <w:t>Nombre Área Protegida</w:t>
            </w:r>
          </w:p>
        </w:tc>
        <w:tc>
          <w:tcPr>
            <w:tcW w:w="1344" w:type="pct"/>
            <w:shd w:val="clear" w:color="auto" w:fill="D9D9D9"/>
            <w:vAlign w:val="center"/>
            <w:hideMark/>
          </w:tcPr>
          <w:p w14:paraId="4EF51229" w14:textId="77777777" w:rsidR="0048516D" w:rsidRPr="0048516D" w:rsidRDefault="0048516D" w:rsidP="0048516D">
            <w:pPr>
              <w:jc w:val="center"/>
              <w:rPr>
                <w:rFonts w:ascii="Verdana" w:hAnsi="Verdana"/>
                <w:b/>
                <w:bCs/>
                <w:i/>
                <w:iCs/>
                <w:sz w:val="18"/>
                <w:szCs w:val="18"/>
                <w:lang w:val="es-CO" w:eastAsia="es-CO"/>
              </w:rPr>
            </w:pPr>
            <w:r w:rsidRPr="0048516D">
              <w:rPr>
                <w:rFonts w:ascii="Verdana" w:hAnsi="Verdana"/>
                <w:b/>
                <w:bCs/>
                <w:i/>
                <w:iCs/>
                <w:sz w:val="18"/>
                <w:szCs w:val="18"/>
                <w:lang w:val="es-CO" w:eastAsia="es-CO"/>
              </w:rPr>
              <w:t>Resolución 1125 (ha)</w:t>
            </w:r>
          </w:p>
        </w:tc>
      </w:tr>
      <w:tr w:rsidR="0048516D" w:rsidRPr="0048516D" w14:paraId="74D68907" w14:textId="77777777" w:rsidTr="00B92E27">
        <w:trPr>
          <w:trHeight w:val="300"/>
          <w:jc w:val="center"/>
        </w:trPr>
        <w:tc>
          <w:tcPr>
            <w:tcW w:w="872" w:type="pct"/>
            <w:shd w:val="clear" w:color="auto" w:fill="auto"/>
            <w:noWrap/>
            <w:vAlign w:val="center"/>
            <w:hideMark/>
          </w:tcPr>
          <w:p w14:paraId="1FDF8A4C" w14:textId="77777777" w:rsidR="0048516D" w:rsidRPr="0048516D" w:rsidRDefault="0048516D" w:rsidP="0048516D">
            <w:pPr>
              <w:jc w:val="center"/>
              <w:rPr>
                <w:rFonts w:ascii="Verdana" w:hAnsi="Verdana"/>
                <w:i/>
                <w:iCs/>
                <w:sz w:val="18"/>
                <w:szCs w:val="18"/>
                <w:lang w:val="es-CO" w:eastAsia="es-CO"/>
              </w:rPr>
            </w:pPr>
            <w:r w:rsidRPr="0048516D">
              <w:rPr>
                <w:rFonts w:ascii="Verdana" w:hAnsi="Verdana"/>
                <w:i/>
                <w:iCs/>
                <w:sz w:val="18"/>
                <w:szCs w:val="18"/>
                <w:lang w:val="es-CO" w:eastAsia="es-CO"/>
              </w:rPr>
              <w:t>24</w:t>
            </w:r>
          </w:p>
        </w:tc>
        <w:tc>
          <w:tcPr>
            <w:tcW w:w="1314" w:type="pct"/>
            <w:shd w:val="clear" w:color="auto" w:fill="auto"/>
            <w:noWrap/>
            <w:vAlign w:val="center"/>
            <w:hideMark/>
          </w:tcPr>
          <w:p w14:paraId="5DC93915" w14:textId="77777777" w:rsidR="0048516D" w:rsidRPr="0048516D" w:rsidRDefault="0048516D" w:rsidP="0048516D">
            <w:pPr>
              <w:rPr>
                <w:rFonts w:ascii="Verdana" w:hAnsi="Verdana"/>
                <w:i/>
                <w:iCs/>
                <w:sz w:val="18"/>
                <w:szCs w:val="18"/>
                <w:lang w:val="es-CO" w:eastAsia="es-CO"/>
              </w:rPr>
            </w:pPr>
            <w:r w:rsidRPr="0048516D">
              <w:rPr>
                <w:rFonts w:ascii="Verdana" w:hAnsi="Verdana"/>
                <w:i/>
                <w:iCs/>
                <w:sz w:val="18"/>
                <w:szCs w:val="18"/>
                <w:lang w:val="es-CO" w:eastAsia="es-CO"/>
              </w:rPr>
              <w:t>CORPONOR</w:t>
            </w:r>
          </w:p>
        </w:tc>
        <w:tc>
          <w:tcPr>
            <w:tcW w:w="1471" w:type="pct"/>
            <w:shd w:val="clear" w:color="auto" w:fill="auto"/>
            <w:noWrap/>
            <w:vAlign w:val="center"/>
            <w:hideMark/>
          </w:tcPr>
          <w:p w14:paraId="0B9FD2AB" w14:textId="77777777" w:rsidR="0048516D" w:rsidRPr="0048516D" w:rsidRDefault="0048516D" w:rsidP="0048516D">
            <w:pPr>
              <w:rPr>
                <w:rFonts w:ascii="Verdana" w:hAnsi="Verdana"/>
                <w:i/>
                <w:iCs/>
                <w:sz w:val="18"/>
                <w:szCs w:val="18"/>
                <w:lang w:val="es-CO" w:eastAsia="es-CO"/>
              </w:rPr>
            </w:pPr>
            <w:r w:rsidRPr="0048516D">
              <w:rPr>
                <w:rFonts w:ascii="Verdana" w:hAnsi="Verdana"/>
                <w:i/>
                <w:iCs/>
                <w:sz w:val="18"/>
                <w:szCs w:val="18"/>
                <w:lang w:val="es-CO" w:eastAsia="es-CO"/>
              </w:rPr>
              <w:t>Reserva Forestal Protectora Jurisdicciones</w:t>
            </w:r>
          </w:p>
        </w:tc>
        <w:tc>
          <w:tcPr>
            <w:tcW w:w="1344" w:type="pct"/>
            <w:shd w:val="clear" w:color="auto" w:fill="auto"/>
            <w:vAlign w:val="center"/>
            <w:hideMark/>
          </w:tcPr>
          <w:p w14:paraId="0D619D27" w14:textId="77777777" w:rsidR="0048516D" w:rsidRPr="0048516D" w:rsidRDefault="0048516D" w:rsidP="0048516D">
            <w:pPr>
              <w:jc w:val="center"/>
              <w:rPr>
                <w:rFonts w:ascii="Verdana" w:hAnsi="Verdana"/>
                <w:i/>
                <w:iCs/>
                <w:sz w:val="18"/>
                <w:szCs w:val="18"/>
                <w:lang w:val="es-CO" w:eastAsia="es-CO"/>
              </w:rPr>
            </w:pPr>
            <w:r w:rsidRPr="0048516D">
              <w:rPr>
                <w:rFonts w:ascii="Verdana" w:hAnsi="Verdana"/>
                <w:i/>
                <w:iCs/>
                <w:sz w:val="18"/>
                <w:szCs w:val="18"/>
                <w:lang w:val="es-CO" w:eastAsia="es-CO"/>
              </w:rPr>
              <w:t>9.706,59</w:t>
            </w:r>
          </w:p>
        </w:tc>
      </w:tr>
      <w:tr w:rsidR="0048516D" w:rsidRPr="0048516D" w14:paraId="37B48B77" w14:textId="77777777" w:rsidTr="00B92E27">
        <w:trPr>
          <w:trHeight w:val="93"/>
          <w:jc w:val="center"/>
        </w:trPr>
        <w:tc>
          <w:tcPr>
            <w:tcW w:w="872" w:type="pct"/>
            <w:shd w:val="clear" w:color="auto" w:fill="auto"/>
            <w:noWrap/>
            <w:vAlign w:val="center"/>
            <w:hideMark/>
          </w:tcPr>
          <w:p w14:paraId="6553C3A8" w14:textId="77777777" w:rsidR="0048516D" w:rsidRPr="0048516D" w:rsidRDefault="0048516D" w:rsidP="0048516D">
            <w:pPr>
              <w:jc w:val="center"/>
              <w:rPr>
                <w:rFonts w:ascii="Verdana" w:hAnsi="Verdana"/>
                <w:i/>
                <w:iCs/>
                <w:sz w:val="18"/>
                <w:szCs w:val="18"/>
                <w:lang w:val="es-CO" w:eastAsia="es-CO"/>
              </w:rPr>
            </w:pPr>
            <w:r w:rsidRPr="0048516D">
              <w:rPr>
                <w:rFonts w:ascii="Verdana" w:hAnsi="Verdana"/>
                <w:i/>
                <w:iCs/>
                <w:sz w:val="18"/>
                <w:szCs w:val="18"/>
                <w:lang w:val="es-CO" w:eastAsia="es-CO"/>
              </w:rPr>
              <w:t>40</w:t>
            </w:r>
          </w:p>
        </w:tc>
        <w:tc>
          <w:tcPr>
            <w:tcW w:w="1314" w:type="pct"/>
            <w:shd w:val="clear" w:color="auto" w:fill="auto"/>
            <w:noWrap/>
            <w:vAlign w:val="center"/>
            <w:hideMark/>
          </w:tcPr>
          <w:p w14:paraId="5985F672" w14:textId="77777777" w:rsidR="0048516D" w:rsidRPr="0048516D" w:rsidRDefault="0048516D" w:rsidP="0048516D">
            <w:pPr>
              <w:rPr>
                <w:rFonts w:ascii="Verdana" w:hAnsi="Verdana"/>
                <w:i/>
                <w:iCs/>
                <w:sz w:val="18"/>
                <w:szCs w:val="18"/>
                <w:lang w:val="es-CO" w:eastAsia="es-CO"/>
              </w:rPr>
            </w:pPr>
            <w:r w:rsidRPr="0048516D">
              <w:rPr>
                <w:rFonts w:ascii="Verdana" w:hAnsi="Verdana"/>
                <w:i/>
                <w:iCs/>
                <w:sz w:val="18"/>
                <w:szCs w:val="18"/>
                <w:lang w:val="es-CO" w:eastAsia="es-CO"/>
              </w:rPr>
              <w:t>CORPONOR</w:t>
            </w:r>
          </w:p>
        </w:tc>
        <w:tc>
          <w:tcPr>
            <w:tcW w:w="1471" w:type="pct"/>
            <w:shd w:val="clear" w:color="auto" w:fill="auto"/>
            <w:noWrap/>
            <w:vAlign w:val="center"/>
            <w:hideMark/>
          </w:tcPr>
          <w:p w14:paraId="034C5B45" w14:textId="77777777" w:rsidR="0048516D" w:rsidRPr="0048516D" w:rsidRDefault="0048516D" w:rsidP="0048516D">
            <w:pPr>
              <w:rPr>
                <w:rFonts w:ascii="Verdana" w:hAnsi="Verdana"/>
                <w:i/>
                <w:iCs/>
                <w:sz w:val="18"/>
                <w:szCs w:val="18"/>
                <w:lang w:val="es-CO" w:eastAsia="es-CO"/>
              </w:rPr>
            </w:pPr>
            <w:r w:rsidRPr="0048516D">
              <w:rPr>
                <w:rFonts w:ascii="Verdana" w:hAnsi="Verdana"/>
                <w:i/>
                <w:iCs/>
                <w:sz w:val="18"/>
                <w:szCs w:val="18"/>
                <w:lang w:val="es-CO" w:eastAsia="es-CO"/>
              </w:rPr>
              <w:t xml:space="preserve"> PNR Almorzadero este</w:t>
            </w:r>
          </w:p>
        </w:tc>
        <w:tc>
          <w:tcPr>
            <w:tcW w:w="1344" w:type="pct"/>
            <w:shd w:val="clear" w:color="auto" w:fill="auto"/>
            <w:vAlign w:val="center"/>
            <w:hideMark/>
          </w:tcPr>
          <w:p w14:paraId="2356101A" w14:textId="77777777" w:rsidR="0048516D" w:rsidRPr="0048516D" w:rsidRDefault="0048516D" w:rsidP="0048516D">
            <w:pPr>
              <w:jc w:val="center"/>
              <w:rPr>
                <w:rFonts w:ascii="Verdana" w:hAnsi="Verdana"/>
                <w:i/>
                <w:iCs/>
                <w:sz w:val="18"/>
                <w:szCs w:val="18"/>
                <w:lang w:val="es-CO" w:eastAsia="es-CO"/>
              </w:rPr>
            </w:pPr>
            <w:r w:rsidRPr="0048516D">
              <w:rPr>
                <w:rFonts w:ascii="Verdana" w:hAnsi="Verdana"/>
                <w:i/>
                <w:iCs/>
                <w:sz w:val="18"/>
                <w:szCs w:val="18"/>
                <w:lang w:val="es-CO" w:eastAsia="es-CO"/>
              </w:rPr>
              <w:t>31.296,12</w:t>
            </w:r>
          </w:p>
        </w:tc>
      </w:tr>
      <w:tr w:rsidR="00B966C6" w:rsidRPr="0048516D" w14:paraId="180D121F" w14:textId="77777777" w:rsidTr="0048516D">
        <w:trPr>
          <w:trHeight w:val="227"/>
          <w:jc w:val="center"/>
        </w:trPr>
        <w:tc>
          <w:tcPr>
            <w:tcW w:w="3656" w:type="pct"/>
            <w:gridSpan w:val="3"/>
            <w:shd w:val="clear" w:color="auto" w:fill="D9D9D9"/>
            <w:noWrap/>
            <w:vAlign w:val="center"/>
          </w:tcPr>
          <w:p w14:paraId="245732CB" w14:textId="77777777" w:rsidR="0048516D" w:rsidRPr="0048516D" w:rsidRDefault="0048516D" w:rsidP="0048516D">
            <w:pPr>
              <w:jc w:val="center"/>
              <w:rPr>
                <w:rFonts w:ascii="Verdana" w:hAnsi="Verdana"/>
                <w:b/>
                <w:bCs/>
                <w:i/>
                <w:iCs/>
                <w:sz w:val="18"/>
                <w:szCs w:val="18"/>
                <w:lang w:val="es-CO" w:eastAsia="es-CO"/>
              </w:rPr>
            </w:pPr>
            <w:r w:rsidRPr="0048516D">
              <w:rPr>
                <w:rFonts w:ascii="Verdana" w:hAnsi="Verdana"/>
                <w:b/>
                <w:bCs/>
                <w:i/>
                <w:iCs/>
                <w:sz w:val="18"/>
                <w:szCs w:val="18"/>
                <w:lang w:val="es-CO" w:eastAsia="es-CO"/>
              </w:rPr>
              <w:t>Total a liberar</w:t>
            </w:r>
          </w:p>
        </w:tc>
        <w:tc>
          <w:tcPr>
            <w:tcW w:w="1344" w:type="pct"/>
            <w:shd w:val="clear" w:color="auto" w:fill="D9D9D9"/>
            <w:vAlign w:val="center"/>
          </w:tcPr>
          <w:p w14:paraId="40445210" w14:textId="77777777" w:rsidR="0048516D" w:rsidRPr="0048516D" w:rsidRDefault="0048516D" w:rsidP="0048516D">
            <w:pPr>
              <w:jc w:val="center"/>
              <w:rPr>
                <w:rFonts w:ascii="Verdana" w:hAnsi="Verdana"/>
                <w:b/>
                <w:bCs/>
                <w:i/>
                <w:iCs/>
                <w:sz w:val="18"/>
                <w:szCs w:val="18"/>
                <w:lang w:val="es-ES_tradnl"/>
              </w:rPr>
            </w:pPr>
            <w:r w:rsidRPr="0048516D">
              <w:rPr>
                <w:rFonts w:ascii="Verdana" w:hAnsi="Verdana"/>
                <w:b/>
                <w:bCs/>
                <w:i/>
                <w:iCs/>
                <w:sz w:val="18"/>
                <w:szCs w:val="18"/>
                <w:lang w:val="es-ES_tradnl"/>
              </w:rPr>
              <w:t>41.002,71</w:t>
            </w:r>
          </w:p>
        </w:tc>
      </w:tr>
    </w:tbl>
    <w:p w14:paraId="487CEEBA" w14:textId="77777777" w:rsidR="0048516D" w:rsidRPr="0048516D" w:rsidRDefault="0048516D" w:rsidP="0048516D">
      <w:pPr>
        <w:jc w:val="both"/>
        <w:rPr>
          <w:rFonts w:ascii="Verdana" w:hAnsi="Verdana"/>
          <w:i/>
          <w:iCs/>
          <w:szCs w:val="24"/>
          <w:lang w:val="es-ES_tradnl"/>
        </w:rPr>
      </w:pPr>
    </w:p>
    <w:p w14:paraId="7BDF29A3" w14:textId="77777777" w:rsidR="0048516D" w:rsidRPr="0048516D" w:rsidRDefault="0048516D" w:rsidP="0048516D">
      <w:pPr>
        <w:keepNext/>
        <w:keepLines/>
        <w:spacing w:before="240"/>
        <w:outlineLvl w:val="0"/>
        <w:rPr>
          <w:rFonts w:ascii="Verdana" w:hAnsi="Verdana"/>
          <w:b/>
          <w:bCs/>
          <w:i/>
          <w:iCs/>
          <w:sz w:val="22"/>
          <w:szCs w:val="22"/>
          <w:lang w:val="es-ES_tradnl"/>
        </w:rPr>
      </w:pPr>
      <w:bookmarkStart w:id="15" w:name="_Hlk147388298"/>
      <w:bookmarkEnd w:id="14"/>
      <w:r w:rsidRPr="0048516D">
        <w:rPr>
          <w:rFonts w:ascii="Verdana" w:hAnsi="Verdana"/>
          <w:b/>
          <w:bCs/>
          <w:i/>
          <w:iCs/>
          <w:sz w:val="22"/>
          <w:szCs w:val="22"/>
          <w:lang w:val="es-ES_tradnl"/>
        </w:rPr>
        <w:t>NECESIDAD DE UNA ZONA DE PROTECCIÓN Y DESARROLLO DE LOS RECURSOS NATURALES RENOVABLES Y DEL MEDIO AMBIENTE</w:t>
      </w:r>
    </w:p>
    <w:p w14:paraId="3B4D4AC6" w14:textId="77777777" w:rsidR="0048516D" w:rsidRPr="0048516D" w:rsidRDefault="0048516D" w:rsidP="0048516D">
      <w:pPr>
        <w:jc w:val="both"/>
        <w:rPr>
          <w:rFonts w:ascii="Verdana" w:hAnsi="Verdana" w:cs="Arial"/>
          <w:i/>
          <w:iCs/>
          <w:sz w:val="22"/>
          <w:szCs w:val="22"/>
          <w:lang w:val="es-ES_tradnl"/>
        </w:rPr>
      </w:pPr>
    </w:p>
    <w:p w14:paraId="1F3A71D0" w14:textId="77777777" w:rsidR="0048516D" w:rsidRPr="0048516D" w:rsidRDefault="0048516D" w:rsidP="0048516D">
      <w:pPr>
        <w:jc w:val="both"/>
        <w:rPr>
          <w:rFonts w:ascii="Verdana" w:hAnsi="Verdana" w:cs="Arial"/>
          <w:i/>
          <w:iCs/>
          <w:sz w:val="22"/>
          <w:szCs w:val="22"/>
          <w:lang w:val="es-ES_tradnl"/>
        </w:rPr>
      </w:pPr>
      <w:r w:rsidRPr="0048516D">
        <w:rPr>
          <w:rFonts w:ascii="Verdana" w:hAnsi="Verdana" w:cs="Arial"/>
          <w:i/>
          <w:iCs/>
          <w:sz w:val="22"/>
          <w:szCs w:val="22"/>
          <w:lang w:val="es-ES_tradnl"/>
        </w:rPr>
        <w:t>Teniendo en cuenta lo anterior es importante resaltar que si bien han existido significativos avances en la implementación de la ruta declaratoria para cada una de las zonas de protección de interés regional este proceso, conforme lo establecido en la Resolución 1125 de 2015 comprende el desarrollo de tres fases denominadas de preparación, aprestamiento y declaratoria, en el marco de las cuales deben adelantarse estudios técnicos, económicos, sociales y ambientales, así como desarrollar actividades como la presentación, sustentación técnica y ajustes de la iniciativa ante el instituto de investigación correspondiente (conforme el ámbito de jurisdicción de los institutos de investigación adscritos al Ministerio de Ambiente y Desarrollo Sostenible) y de igual manera, llevar a cabo a lo largo de toda la ruta declaratoria, procesos de relacionamiento y coordinación a que haya lugar, con las demás entidades y autoridades de otros sectores con intereses en esos territorios, así como la socialización del proceso con actores sociales e institucionales; procedimientos que en conjunto requieren tiempos considerables para su adecuado desarrollo.</w:t>
      </w:r>
    </w:p>
    <w:p w14:paraId="202CF0E9" w14:textId="77777777" w:rsidR="0048516D" w:rsidRPr="0048516D" w:rsidRDefault="0048516D" w:rsidP="0048516D">
      <w:pPr>
        <w:jc w:val="both"/>
        <w:rPr>
          <w:rFonts w:ascii="Verdana" w:hAnsi="Verdana" w:cs="Arial"/>
          <w:i/>
          <w:iCs/>
          <w:sz w:val="22"/>
          <w:szCs w:val="22"/>
          <w:lang w:val="es-ES_tradnl"/>
        </w:rPr>
      </w:pPr>
    </w:p>
    <w:p w14:paraId="7722E4E5" w14:textId="77777777" w:rsidR="0048516D" w:rsidRPr="0048516D" w:rsidRDefault="0048516D" w:rsidP="0048516D">
      <w:pPr>
        <w:jc w:val="both"/>
        <w:rPr>
          <w:rFonts w:ascii="Verdana" w:hAnsi="Verdana" w:cs="Arial"/>
          <w:i/>
          <w:iCs/>
          <w:sz w:val="22"/>
          <w:szCs w:val="22"/>
          <w:lang w:val="es-ES_tradnl"/>
        </w:rPr>
      </w:pPr>
      <w:r w:rsidRPr="0048516D">
        <w:rPr>
          <w:rFonts w:ascii="Verdana" w:hAnsi="Verdana" w:cs="Arial"/>
          <w:i/>
          <w:iCs/>
          <w:sz w:val="22"/>
          <w:szCs w:val="22"/>
          <w:lang w:val="es-ES_tradnl"/>
        </w:rPr>
        <w:t xml:space="preserve">Por lo cual, aún con los avances en la aplicación de la ruta que se han llevado a cabo en las mencionadas zonas de protección, existen algunas dificultades que dilatan el proceso, y adicionalmente existen acciones que se hace necesario adelantar para lograr la consolidación de las figuras de conservación que garanticen la protección de los valores naturales y culturales presentes en los territorios que comprenden dichas figuras de protección, de entre las cuales, a partir de la información reportada por las autoridades ambientales regionales, se destacan: </w:t>
      </w:r>
    </w:p>
    <w:p w14:paraId="10B4259F" w14:textId="77777777" w:rsidR="0048516D" w:rsidRPr="0048516D" w:rsidRDefault="0048516D" w:rsidP="0048516D">
      <w:pPr>
        <w:jc w:val="both"/>
        <w:rPr>
          <w:rFonts w:ascii="Verdana" w:hAnsi="Verdana" w:cs="Arial"/>
          <w:i/>
          <w:iCs/>
          <w:sz w:val="22"/>
          <w:szCs w:val="22"/>
          <w:lang w:val="es-ES_tradnl"/>
        </w:rPr>
      </w:pPr>
    </w:p>
    <w:p w14:paraId="6A14051F" w14:textId="39CBB18D" w:rsidR="0048516D" w:rsidRPr="0048516D" w:rsidRDefault="0048516D" w:rsidP="0048516D">
      <w:pPr>
        <w:keepNext/>
        <w:spacing w:after="200"/>
        <w:jc w:val="center"/>
        <w:rPr>
          <w:rFonts w:ascii="Verdana" w:hAnsi="Verdana"/>
          <w:i/>
          <w:iCs/>
          <w:sz w:val="18"/>
          <w:szCs w:val="18"/>
          <w:lang w:val="es-ES_tradnl"/>
        </w:rPr>
      </w:pPr>
      <w:r w:rsidRPr="0048516D">
        <w:rPr>
          <w:rFonts w:ascii="Verdana" w:hAnsi="Verdana"/>
          <w:i/>
          <w:iCs/>
          <w:sz w:val="18"/>
          <w:szCs w:val="18"/>
          <w:lang w:val="es-ES_tradnl"/>
        </w:rPr>
        <w:t xml:space="preserve">Tabla </w:t>
      </w:r>
      <w:r w:rsidRPr="0048516D">
        <w:rPr>
          <w:rFonts w:ascii="Verdana" w:hAnsi="Verdana"/>
          <w:i/>
          <w:iCs/>
          <w:sz w:val="18"/>
          <w:szCs w:val="18"/>
          <w:lang w:val="es-ES_tradnl"/>
        </w:rPr>
        <w:fldChar w:fldCharType="begin"/>
      </w:r>
      <w:r w:rsidRPr="0048516D">
        <w:rPr>
          <w:rFonts w:ascii="Verdana" w:hAnsi="Verdana"/>
          <w:i/>
          <w:iCs/>
          <w:sz w:val="18"/>
          <w:szCs w:val="18"/>
          <w:lang w:val="es-ES_tradnl"/>
        </w:rPr>
        <w:instrText xml:space="preserve"> SEQ Tabla \* ARABIC </w:instrText>
      </w:r>
      <w:r w:rsidRPr="0048516D">
        <w:rPr>
          <w:rFonts w:ascii="Verdana" w:hAnsi="Verdana"/>
          <w:i/>
          <w:iCs/>
          <w:sz w:val="18"/>
          <w:szCs w:val="18"/>
          <w:lang w:val="es-ES_tradnl"/>
        </w:rPr>
        <w:fldChar w:fldCharType="separate"/>
      </w:r>
      <w:r w:rsidR="001F2062">
        <w:rPr>
          <w:rFonts w:ascii="Verdana" w:hAnsi="Verdana"/>
          <w:i/>
          <w:iCs/>
          <w:noProof/>
          <w:sz w:val="18"/>
          <w:szCs w:val="18"/>
          <w:lang w:val="es-ES_tradnl"/>
        </w:rPr>
        <w:t>7</w:t>
      </w:r>
      <w:r w:rsidRPr="0048516D">
        <w:rPr>
          <w:rFonts w:ascii="Verdana" w:hAnsi="Verdana"/>
          <w:i/>
          <w:iCs/>
          <w:sz w:val="18"/>
          <w:szCs w:val="18"/>
          <w:lang w:val="es-ES_tradnl"/>
        </w:rPr>
        <w:fldChar w:fldCharType="end"/>
      </w:r>
      <w:r w:rsidRPr="0048516D">
        <w:rPr>
          <w:rFonts w:ascii="Verdana" w:hAnsi="Verdana"/>
          <w:i/>
          <w:iCs/>
          <w:sz w:val="18"/>
          <w:szCs w:val="18"/>
          <w:lang w:val="es-ES_tradnl"/>
        </w:rPr>
        <w:t>. Análisis de las condiciones particulares de cada proceso.</w:t>
      </w:r>
    </w:p>
    <w:tbl>
      <w:tblPr>
        <w:tblW w:w="5000" w:type="pct"/>
        <w:jc w:val="center"/>
        <w:tblLook w:val="06A0" w:firstRow="1" w:lastRow="0" w:firstColumn="1" w:lastColumn="0" w:noHBand="1" w:noVBand="1"/>
      </w:tblPr>
      <w:tblGrid>
        <w:gridCol w:w="1028"/>
        <w:gridCol w:w="1437"/>
        <w:gridCol w:w="2359"/>
        <w:gridCol w:w="4380"/>
      </w:tblGrid>
      <w:tr w:rsidR="0048516D" w:rsidRPr="00B966C6" w14:paraId="17508563" w14:textId="77777777" w:rsidTr="00ED67E9">
        <w:trPr>
          <w:trHeight w:val="300"/>
          <w:jc w:val="center"/>
        </w:trPr>
        <w:tc>
          <w:tcPr>
            <w:tcW w:w="614" w:type="pct"/>
            <w:tcBorders>
              <w:top w:val="single" w:sz="4" w:space="0" w:color="auto"/>
              <w:left w:val="single" w:sz="4" w:space="0" w:color="auto"/>
              <w:bottom w:val="single" w:sz="4" w:space="0" w:color="auto"/>
              <w:right w:val="single" w:sz="4" w:space="0" w:color="auto"/>
            </w:tcBorders>
            <w:shd w:val="clear" w:color="auto" w:fill="BFBFBF"/>
            <w:tcMar>
              <w:top w:w="15" w:type="dxa"/>
              <w:left w:w="15" w:type="dxa"/>
              <w:right w:w="15" w:type="dxa"/>
            </w:tcMar>
            <w:vAlign w:val="center"/>
          </w:tcPr>
          <w:p w14:paraId="1D157797" w14:textId="77777777" w:rsidR="0048516D" w:rsidRPr="0048516D" w:rsidRDefault="0048516D" w:rsidP="0048516D">
            <w:pPr>
              <w:jc w:val="center"/>
              <w:rPr>
                <w:rFonts w:ascii="Verdana" w:hAnsi="Verdana"/>
                <w:i/>
                <w:iCs/>
                <w:sz w:val="20"/>
                <w:lang w:val="es-ES_tradnl"/>
              </w:rPr>
            </w:pPr>
            <w:r w:rsidRPr="0048516D">
              <w:rPr>
                <w:rFonts w:ascii="Verdana" w:eastAsia="Arial Narrow" w:hAnsi="Verdana" w:cs="Arial Narrow"/>
                <w:b/>
                <w:bCs/>
                <w:i/>
                <w:iCs/>
                <w:color w:val="000000"/>
                <w:sz w:val="20"/>
                <w:lang w:val="es-ES_tradnl"/>
              </w:rPr>
              <w:t>N° Polígono</w:t>
            </w:r>
          </w:p>
        </w:tc>
        <w:tc>
          <w:tcPr>
            <w:tcW w:w="614" w:type="pct"/>
            <w:tcBorders>
              <w:top w:val="single" w:sz="4" w:space="0" w:color="auto"/>
              <w:left w:val="single" w:sz="4" w:space="0" w:color="auto"/>
              <w:bottom w:val="single" w:sz="4" w:space="0" w:color="auto"/>
              <w:right w:val="single" w:sz="4" w:space="0" w:color="auto"/>
            </w:tcBorders>
            <w:shd w:val="clear" w:color="auto" w:fill="BFBFBF"/>
            <w:tcMar>
              <w:top w:w="15" w:type="dxa"/>
              <w:left w:w="15" w:type="dxa"/>
              <w:right w:w="15" w:type="dxa"/>
            </w:tcMar>
            <w:vAlign w:val="center"/>
          </w:tcPr>
          <w:p w14:paraId="5B99A2F6" w14:textId="77777777" w:rsidR="0048516D" w:rsidRPr="0048516D" w:rsidRDefault="0048516D" w:rsidP="0048516D">
            <w:pPr>
              <w:jc w:val="center"/>
              <w:rPr>
                <w:rFonts w:ascii="Verdana" w:hAnsi="Verdana"/>
                <w:i/>
                <w:iCs/>
                <w:sz w:val="20"/>
                <w:lang w:val="es-ES_tradnl"/>
              </w:rPr>
            </w:pPr>
            <w:r w:rsidRPr="0048516D">
              <w:rPr>
                <w:rFonts w:ascii="Verdana" w:eastAsia="Arial Narrow" w:hAnsi="Verdana" w:cs="Arial Narrow"/>
                <w:b/>
                <w:bCs/>
                <w:i/>
                <w:iCs/>
                <w:color w:val="000000"/>
                <w:sz w:val="20"/>
                <w:lang w:val="es-ES_tradnl"/>
              </w:rPr>
              <w:t>Corporación</w:t>
            </w:r>
          </w:p>
        </w:tc>
        <w:tc>
          <w:tcPr>
            <w:tcW w:w="1337" w:type="pct"/>
            <w:tcBorders>
              <w:top w:val="single" w:sz="4" w:space="0" w:color="auto"/>
              <w:left w:val="single" w:sz="4" w:space="0" w:color="auto"/>
              <w:bottom w:val="single" w:sz="4" w:space="0" w:color="auto"/>
              <w:right w:val="single" w:sz="4" w:space="0" w:color="auto"/>
            </w:tcBorders>
            <w:shd w:val="clear" w:color="auto" w:fill="BFBFBF"/>
            <w:tcMar>
              <w:top w:w="15" w:type="dxa"/>
              <w:left w:w="15" w:type="dxa"/>
              <w:right w:w="15" w:type="dxa"/>
            </w:tcMar>
            <w:vAlign w:val="center"/>
          </w:tcPr>
          <w:p w14:paraId="300D9FAB" w14:textId="77777777" w:rsidR="0048516D" w:rsidRPr="0048516D" w:rsidRDefault="0048516D" w:rsidP="0048516D">
            <w:pPr>
              <w:jc w:val="center"/>
              <w:rPr>
                <w:rFonts w:ascii="Verdana" w:hAnsi="Verdana"/>
                <w:i/>
                <w:iCs/>
                <w:sz w:val="20"/>
                <w:lang w:val="es-ES_tradnl"/>
              </w:rPr>
            </w:pPr>
            <w:r w:rsidRPr="0048516D">
              <w:rPr>
                <w:rFonts w:ascii="Verdana" w:eastAsia="Arial Narrow" w:hAnsi="Verdana" w:cs="Arial Narrow"/>
                <w:b/>
                <w:bCs/>
                <w:i/>
                <w:iCs/>
                <w:color w:val="000000"/>
                <w:sz w:val="20"/>
                <w:lang w:val="es-ES_tradnl"/>
              </w:rPr>
              <w:t>Nombre del área</w:t>
            </w:r>
          </w:p>
        </w:tc>
        <w:tc>
          <w:tcPr>
            <w:tcW w:w="2435" w:type="pct"/>
            <w:tcBorders>
              <w:top w:val="single" w:sz="4" w:space="0" w:color="auto"/>
              <w:left w:val="single" w:sz="4" w:space="0" w:color="auto"/>
              <w:bottom w:val="single" w:sz="4" w:space="0" w:color="auto"/>
              <w:right w:val="single" w:sz="4" w:space="0" w:color="auto"/>
            </w:tcBorders>
            <w:shd w:val="clear" w:color="auto" w:fill="BFBFBF"/>
            <w:tcMar>
              <w:top w:w="15" w:type="dxa"/>
              <w:left w:w="15" w:type="dxa"/>
              <w:right w:w="15" w:type="dxa"/>
            </w:tcMar>
            <w:vAlign w:val="center"/>
          </w:tcPr>
          <w:p w14:paraId="15B336F8" w14:textId="77777777" w:rsidR="0048516D" w:rsidRPr="0048516D" w:rsidRDefault="0048516D" w:rsidP="0048516D">
            <w:pPr>
              <w:jc w:val="center"/>
              <w:rPr>
                <w:rFonts w:ascii="Verdana" w:hAnsi="Verdana"/>
                <w:i/>
                <w:iCs/>
                <w:sz w:val="20"/>
                <w:lang w:val="es-ES_tradnl"/>
              </w:rPr>
            </w:pPr>
            <w:r w:rsidRPr="0048516D">
              <w:rPr>
                <w:rFonts w:ascii="Verdana" w:eastAsia="Arial Narrow" w:hAnsi="Verdana" w:cs="Arial Narrow"/>
                <w:b/>
                <w:bCs/>
                <w:i/>
                <w:iCs/>
                <w:color w:val="000000"/>
                <w:sz w:val="20"/>
                <w:lang w:val="es-ES_tradnl"/>
              </w:rPr>
              <w:t>Dificultades identificadas y pasos a seguir</w:t>
            </w:r>
          </w:p>
        </w:tc>
      </w:tr>
      <w:tr w:rsidR="0048516D" w:rsidRPr="0048516D" w14:paraId="292DCFEA" w14:textId="77777777" w:rsidTr="00ED67E9">
        <w:trPr>
          <w:trHeight w:val="900"/>
          <w:jc w:val="center"/>
        </w:trPr>
        <w:tc>
          <w:tcPr>
            <w:tcW w:w="614" w:type="pct"/>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0719F0C6" w14:textId="77777777" w:rsidR="0048516D" w:rsidRPr="0048516D" w:rsidRDefault="0048516D" w:rsidP="0048516D">
            <w:pPr>
              <w:jc w:val="both"/>
              <w:rPr>
                <w:rFonts w:ascii="Verdana" w:hAnsi="Verdana"/>
                <w:i/>
                <w:iCs/>
                <w:sz w:val="20"/>
                <w:lang w:val="es-ES_tradnl"/>
              </w:rPr>
            </w:pPr>
            <w:r w:rsidRPr="0048516D">
              <w:rPr>
                <w:rFonts w:ascii="Verdana" w:eastAsia="Arial Narrow" w:hAnsi="Verdana" w:cs="Arial Narrow"/>
                <w:i/>
                <w:iCs/>
                <w:sz w:val="20"/>
                <w:lang w:val="es-ES_tradnl"/>
              </w:rPr>
              <w:t>47</w:t>
            </w:r>
          </w:p>
        </w:tc>
        <w:tc>
          <w:tcPr>
            <w:tcW w:w="614" w:type="pct"/>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09368C30" w14:textId="77777777" w:rsidR="0048516D" w:rsidRPr="0048516D" w:rsidRDefault="0048516D" w:rsidP="0048516D">
            <w:pPr>
              <w:jc w:val="both"/>
              <w:rPr>
                <w:rFonts w:ascii="Verdana" w:hAnsi="Verdana"/>
                <w:i/>
                <w:iCs/>
                <w:sz w:val="20"/>
                <w:lang w:val="es-ES_tradnl"/>
              </w:rPr>
            </w:pPr>
            <w:r w:rsidRPr="0048516D">
              <w:rPr>
                <w:rFonts w:ascii="Verdana" w:eastAsia="Arial Narrow" w:hAnsi="Verdana" w:cs="Arial Narrow"/>
                <w:i/>
                <w:iCs/>
                <w:sz w:val="20"/>
                <w:lang w:val="es-ES_tradnl"/>
              </w:rPr>
              <w:t>CDMB</w:t>
            </w:r>
          </w:p>
        </w:tc>
        <w:tc>
          <w:tcPr>
            <w:tcW w:w="1337" w:type="pct"/>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0CACC004" w14:textId="77777777" w:rsidR="0048516D" w:rsidRPr="0048516D" w:rsidRDefault="0048516D" w:rsidP="0048516D">
            <w:pPr>
              <w:jc w:val="both"/>
              <w:rPr>
                <w:rFonts w:ascii="Verdana" w:hAnsi="Verdana"/>
                <w:i/>
                <w:iCs/>
                <w:sz w:val="20"/>
                <w:lang w:val="es-ES_tradnl"/>
              </w:rPr>
            </w:pPr>
            <w:r w:rsidRPr="0048516D">
              <w:rPr>
                <w:rFonts w:ascii="Verdana" w:eastAsia="Arial Narrow" w:hAnsi="Verdana" w:cs="Arial Narrow"/>
                <w:i/>
                <w:iCs/>
                <w:sz w:val="20"/>
                <w:lang w:val="es-ES_tradnl"/>
              </w:rPr>
              <w:t>Cañón Rio Lebrija</w:t>
            </w:r>
          </w:p>
        </w:tc>
        <w:tc>
          <w:tcPr>
            <w:tcW w:w="2435" w:type="pct"/>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5A4F243B" w14:textId="77777777" w:rsidR="0048516D" w:rsidRPr="0048516D" w:rsidRDefault="0048516D" w:rsidP="0048516D">
            <w:pPr>
              <w:jc w:val="both"/>
              <w:rPr>
                <w:rFonts w:ascii="Verdana" w:hAnsi="Verdana"/>
                <w:i/>
                <w:iCs/>
                <w:sz w:val="20"/>
                <w:lang w:val="es-ES_tradnl"/>
              </w:rPr>
            </w:pPr>
            <w:r w:rsidRPr="0048516D">
              <w:rPr>
                <w:rFonts w:ascii="Verdana" w:eastAsia="Arial Narrow" w:hAnsi="Verdana" w:cs="Arial Narrow"/>
                <w:i/>
                <w:iCs/>
                <w:color w:val="000000"/>
                <w:sz w:val="20"/>
                <w:lang w:val="es-ES_tradnl"/>
              </w:rPr>
              <w:t>La alta fragmentación de las coberturas de la tierra y los usos actuales como suelos urbanos y las actividades que desarrolla la comunidad en el territorio.</w:t>
            </w:r>
            <w:r w:rsidRPr="0048516D">
              <w:rPr>
                <w:rFonts w:ascii="Verdana" w:hAnsi="Verdana"/>
                <w:i/>
                <w:iCs/>
                <w:sz w:val="20"/>
                <w:lang w:val="es-ES_tradnl"/>
              </w:rPr>
              <w:br/>
            </w:r>
            <w:r w:rsidRPr="0048516D">
              <w:rPr>
                <w:rFonts w:ascii="Verdana" w:eastAsia="Arial Narrow" w:hAnsi="Verdana" w:cs="Arial Narrow"/>
                <w:i/>
                <w:iCs/>
                <w:color w:val="000000"/>
                <w:sz w:val="20"/>
                <w:lang w:val="es-ES_tradnl"/>
              </w:rPr>
              <w:t xml:space="preserve"> Continuar fase terminal de aprestamiento y la actualización de la caracterización física del territorio y la fase de formulación y construcción del plan de manejo</w:t>
            </w:r>
          </w:p>
        </w:tc>
      </w:tr>
      <w:tr w:rsidR="0048516D" w:rsidRPr="0048516D" w14:paraId="6C74C203" w14:textId="77777777" w:rsidTr="00ED67E9">
        <w:trPr>
          <w:trHeight w:val="690"/>
          <w:jc w:val="center"/>
        </w:trPr>
        <w:tc>
          <w:tcPr>
            <w:tcW w:w="614" w:type="pct"/>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5D8E0DBC" w14:textId="77777777" w:rsidR="0048516D" w:rsidRPr="0048516D" w:rsidRDefault="0048516D" w:rsidP="0048516D">
            <w:pPr>
              <w:jc w:val="both"/>
              <w:rPr>
                <w:rFonts w:ascii="Verdana" w:hAnsi="Verdana"/>
                <w:i/>
                <w:iCs/>
                <w:sz w:val="20"/>
                <w:lang w:val="es-ES_tradnl"/>
              </w:rPr>
            </w:pPr>
            <w:r w:rsidRPr="0048516D">
              <w:rPr>
                <w:rFonts w:ascii="Verdana" w:eastAsia="Arial Narrow" w:hAnsi="Verdana" w:cs="Arial Narrow"/>
                <w:i/>
                <w:iCs/>
                <w:sz w:val="20"/>
                <w:lang w:val="es-ES_tradnl"/>
              </w:rPr>
              <w:t>49</w:t>
            </w:r>
          </w:p>
        </w:tc>
        <w:tc>
          <w:tcPr>
            <w:tcW w:w="614" w:type="pct"/>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2DB1DB4F" w14:textId="77777777" w:rsidR="0048516D" w:rsidRPr="0048516D" w:rsidRDefault="0048516D" w:rsidP="0048516D">
            <w:pPr>
              <w:jc w:val="both"/>
              <w:rPr>
                <w:rFonts w:ascii="Verdana" w:hAnsi="Verdana"/>
                <w:i/>
                <w:iCs/>
                <w:sz w:val="20"/>
                <w:lang w:val="es-ES_tradnl"/>
              </w:rPr>
            </w:pPr>
            <w:r w:rsidRPr="0048516D">
              <w:rPr>
                <w:rFonts w:ascii="Verdana" w:eastAsia="Arial Narrow" w:hAnsi="Verdana" w:cs="Arial Narrow"/>
                <w:i/>
                <w:iCs/>
                <w:sz w:val="20"/>
                <w:lang w:val="es-ES_tradnl"/>
              </w:rPr>
              <w:t>CDMB</w:t>
            </w:r>
          </w:p>
        </w:tc>
        <w:tc>
          <w:tcPr>
            <w:tcW w:w="1337" w:type="pct"/>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1B3742C3" w14:textId="77777777" w:rsidR="0048516D" w:rsidRPr="0048516D" w:rsidRDefault="0048516D" w:rsidP="0048516D">
            <w:pPr>
              <w:jc w:val="both"/>
              <w:rPr>
                <w:rFonts w:ascii="Verdana" w:hAnsi="Verdana"/>
                <w:i/>
                <w:iCs/>
                <w:sz w:val="20"/>
                <w:lang w:val="es-ES_tradnl"/>
              </w:rPr>
            </w:pPr>
            <w:r w:rsidRPr="0048516D">
              <w:rPr>
                <w:rFonts w:ascii="Verdana" w:eastAsia="Arial Narrow" w:hAnsi="Verdana" w:cs="Arial Narrow"/>
                <w:i/>
                <w:iCs/>
                <w:sz w:val="20"/>
                <w:lang w:val="es-ES_tradnl"/>
              </w:rPr>
              <w:t>Área protegida microcuenca Rio Tona</w:t>
            </w:r>
          </w:p>
        </w:tc>
        <w:tc>
          <w:tcPr>
            <w:tcW w:w="2435" w:type="pct"/>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3208FD3F" w14:textId="77777777" w:rsidR="0048516D" w:rsidRPr="0048516D" w:rsidRDefault="0048516D" w:rsidP="0048516D">
            <w:pPr>
              <w:jc w:val="both"/>
              <w:rPr>
                <w:rFonts w:ascii="Verdana" w:hAnsi="Verdana"/>
                <w:i/>
                <w:iCs/>
                <w:sz w:val="20"/>
                <w:lang w:val="es-ES_tradnl"/>
              </w:rPr>
            </w:pPr>
            <w:r w:rsidRPr="0048516D">
              <w:rPr>
                <w:rFonts w:ascii="Verdana" w:eastAsia="Arial Narrow" w:hAnsi="Verdana" w:cs="Arial Narrow"/>
                <w:i/>
                <w:iCs/>
                <w:color w:val="000000"/>
                <w:sz w:val="20"/>
                <w:lang w:val="es-ES_tradnl"/>
              </w:rPr>
              <w:t>La alta fragmentación de las coberturas de la tierra y los usos actuales que desarrolla la comunidad en el territorio.</w:t>
            </w:r>
          </w:p>
          <w:p w14:paraId="1DE81B87" w14:textId="77777777" w:rsidR="0048516D" w:rsidRPr="0048516D" w:rsidRDefault="0048516D" w:rsidP="0048516D">
            <w:pPr>
              <w:jc w:val="both"/>
              <w:rPr>
                <w:rFonts w:ascii="Verdana" w:hAnsi="Verdana"/>
                <w:i/>
                <w:iCs/>
                <w:sz w:val="20"/>
                <w:lang w:val="es-ES_tradnl"/>
              </w:rPr>
            </w:pPr>
            <w:r w:rsidRPr="0048516D">
              <w:rPr>
                <w:rFonts w:ascii="Verdana" w:hAnsi="Verdana"/>
                <w:i/>
                <w:iCs/>
                <w:sz w:val="20"/>
                <w:lang w:val="es-ES_tradnl"/>
              </w:rPr>
              <w:br/>
            </w:r>
            <w:r w:rsidRPr="0048516D">
              <w:rPr>
                <w:rFonts w:ascii="Verdana" w:eastAsia="Arial Narrow" w:hAnsi="Verdana" w:cs="Arial Narrow"/>
                <w:i/>
                <w:iCs/>
                <w:color w:val="000000"/>
                <w:sz w:val="20"/>
                <w:lang w:val="es-ES_tradnl"/>
              </w:rPr>
              <w:t xml:space="preserve">Continuar fase terminal de aprestamiento y la actualización de la caracterización física </w:t>
            </w:r>
            <w:r w:rsidRPr="0048516D">
              <w:rPr>
                <w:rFonts w:ascii="Verdana" w:eastAsia="Arial Narrow" w:hAnsi="Verdana" w:cs="Arial Narrow"/>
                <w:i/>
                <w:iCs/>
                <w:color w:val="000000"/>
                <w:sz w:val="20"/>
                <w:lang w:val="es-ES_tradnl"/>
              </w:rPr>
              <w:lastRenderedPageBreak/>
              <w:t>del territorio y la fase de formulación y construcción del plan de manejo.</w:t>
            </w:r>
          </w:p>
        </w:tc>
      </w:tr>
      <w:tr w:rsidR="0048516D" w:rsidRPr="0048516D" w14:paraId="149363EE" w14:textId="77777777" w:rsidTr="00ED67E9">
        <w:trPr>
          <w:trHeight w:val="870"/>
          <w:jc w:val="center"/>
        </w:trPr>
        <w:tc>
          <w:tcPr>
            <w:tcW w:w="614" w:type="pct"/>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5643E13A" w14:textId="77777777" w:rsidR="0048516D" w:rsidRPr="0048516D" w:rsidRDefault="0048516D" w:rsidP="0048516D">
            <w:pPr>
              <w:jc w:val="both"/>
              <w:rPr>
                <w:rFonts w:ascii="Verdana" w:hAnsi="Verdana"/>
                <w:i/>
                <w:iCs/>
                <w:sz w:val="20"/>
                <w:lang w:val="es-ES_tradnl"/>
              </w:rPr>
            </w:pPr>
            <w:r w:rsidRPr="0048516D">
              <w:rPr>
                <w:rFonts w:ascii="Verdana" w:eastAsia="Arial Narrow" w:hAnsi="Verdana" w:cs="Arial Narrow"/>
                <w:i/>
                <w:iCs/>
                <w:sz w:val="20"/>
                <w:lang w:val="es-ES_tradnl"/>
              </w:rPr>
              <w:lastRenderedPageBreak/>
              <w:t>3</w:t>
            </w:r>
          </w:p>
        </w:tc>
        <w:tc>
          <w:tcPr>
            <w:tcW w:w="614" w:type="pct"/>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05245CE5" w14:textId="77777777" w:rsidR="0048516D" w:rsidRPr="0048516D" w:rsidRDefault="0048516D" w:rsidP="0048516D">
            <w:pPr>
              <w:jc w:val="both"/>
              <w:rPr>
                <w:rFonts w:ascii="Verdana" w:hAnsi="Verdana"/>
                <w:i/>
                <w:iCs/>
                <w:sz w:val="20"/>
                <w:lang w:val="es-ES_tradnl"/>
              </w:rPr>
            </w:pPr>
            <w:r w:rsidRPr="0048516D">
              <w:rPr>
                <w:rFonts w:ascii="Verdana" w:eastAsia="Arial Narrow" w:hAnsi="Verdana" w:cs="Arial Narrow"/>
                <w:i/>
                <w:iCs/>
                <w:sz w:val="20"/>
                <w:lang w:val="es-ES_tradnl"/>
              </w:rPr>
              <w:t>Codechocó</w:t>
            </w:r>
          </w:p>
        </w:tc>
        <w:tc>
          <w:tcPr>
            <w:tcW w:w="1337" w:type="pct"/>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5F0C631B" w14:textId="77777777" w:rsidR="0048516D" w:rsidRPr="0048516D" w:rsidRDefault="0048516D" w:rsidP="0048516D">
            <w:pPr>
              <w:jc w:val="both"/>
              <w:rPr>
                <w:rFonts w:ascii="Verdana" w:hAnsi="Verdana"/>
                <w:i/>
                <w:iCs/>
                <w:sz w:val="20"/>
                <w:lang w:val="es-ES_tradnl"/>
              </w:rPr>
            </w:pPr>
            <w:r w:rsidRPr="0048516D">
              <w:rPr>
                <w:rFonts w:ascii="Verdana" w:eastAsia="Arial Narrow" w:hAnsi="Verdana" w:cs="Arial Narrow"/>
                <w:i/>
                <w:iCs/>
                <w:sz w:val="20"/>
                <w:lang w:val="es-ES_tradnl"/>
              </w:rPr>
              <w:t>Relictos de Caoba de Jurado</w:t>
            </w:r>
          </w:p>
        </w:tc>
        <w:tc>
          <w:tcPr>
            <w:tcW w:w="2435" w:type="pct"/>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7942D933" w14:textId="77777777" w:rsidR="0048516D" w:rsidRPr="0048516D" w:rsidRDefault="0048516D" w:rsidP="0048516D">
            <w:pPr>
              <w:jc w:val="both"/>
              <w:rPr>
                <w:rFonts w:ascii="Verdana" w:hAnsi="Verdana"/>
                <w:i/>
                <w:iCs/>
                <w:sz w:val="20"/>
                <w:lang w:val="es-ES_tradnl"/>
              </w:rPr>
            </w:pPr>
            <w:r w:rsidRPr="0048516D">
              <w:rPr>
                <w:rFonts w:ascii="Verdana" w:eastAsia="Arial Narrow" w:hAnsi="Verdana" w:cs="Arial Narrow"/>
                <w:i/>
                <w:iCs/>
                <w:color w:val="000000"/>
                <w:sz w:val="20"/>
                <w:lang w:val="es-ES_tradnl"/>
              </w:rPr>
              <w:t>Se realizó una solicitud de recursos al proyecto GEF Biocultural, los cuales, por temas administrativos tuvieron unas demoras, sin embargo, en el mes de agosto iniciará la ejecución de la fase de aprestamiento en el marco de la ruta declaratoria Resolución 1125 de 2015.</w:t>
            </w:r>
          </w:p>
        </w:tc>
      </w:tr>
      <w:tr w:rsidR="0048516D" w:rsidRPr="0048516D" w14:paraId="7FB4A100" w14:textId="77777777" w:rsidTr="00ED67E9">
        <w:trPr>
          <w:trHeight w:val="1245"/>
          <w:jc w:val="center"/>
        </w:trPr>
        <w:tc>
          <w:tcPr>
            <w:tcW w:w="614" w:type="pct"/>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756D523C" w14:textId="77777777" w:rsidR="0048516D" w:rsidRPr="0048516D" w:rsidRDefault="0048516D" w:rsidP="0048516D">
            <w:pPr>
              <w:jc w:val="both"/>
              <w:rPr>
                <w:rFonts w:ascii="Verdana" w:hAnsi="Verdana"/>
                <w:i/>
                <w:iCs/>
                <w:sz w:val="20"/>
                <w:lang w:val="es-ES_tradnl"/>
              </w:rPr>
            </w:pPr>
            <w:r w:rsidRPr="0048516D">
              <w:rPr>
                <w:rFonts w:ascii="Verdana" w:eastAsia="Arial Narrow" w:hAnsi="Verdana" w:cs="Arial Narrow"/>
                <w:i/>
                <w:iCs/>
                <w:sz w:val="20"/>
                <w:lang w:val="es-ES_tradnl"/>
              </w:rPr>
              <w:t>14</w:t>
            </w:r>
          </w:p>
        </w:tc>
        <w:tc>
          <w:tcPr>
            <w:tcW w:w="614" w:type="pct"/>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7DF8D183" w14:textId="77777777" w:rsidR="0048516D" w:rsidRPr="0048516D" w:rsidRDefault="0048516D" w:rsidP="0048516D">
            <w:pPr>
              <w:jc w:val="both"/>
              <w:rPr>
                <w:rFonts w:ascii="Verdana" w:hAnsi="Verdana"/>
                <w:i/>
                <w:iCs/>
                <w:sz w:val="20"/>
                <w:lang w:val="es-ES_tradnl"/>
              </w:rPr>
            </w:pPr>
            <w:r w:rsidRPr="0048516D">
              <w:rPr>
                <w:rFonts w:ascii="Verdana" w:eastAsia="Arial Narrow" w:hAnsi="Verdana" w:cs="Arial Narrow"/>
                <w:i/>
                <w:iCs/>
                <w:sz w:val="20"/>
                <w:lang w:val="es-ES_tradnl"/>
              </w:rPr>
              <w:t>Corporinoquia</w:t>
            </w:r>
          </w:p>
        </w:tc>
        <w:tc>
          <w:tcPr>
            <w:tcW w:w="1337" w:type="pct"/>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4D8A8966" w14:textId="77777777" w:rsidR="0048516D" w:rsidRPr="0048516D" w:rsidRDefault="0048516D" w:rsidP="0048516D">
            <w:pPr>
              <w:jc w:val="both"/>
              <w:rPr>
                <w:rFonts w:ascii="Verdana" w:hAnsi="Verdana"/>
                <w:i/>
                <w:iCs/>
                <w:sz w:val="20"/>
                <w:lang w:val="es-ES_tradnl"/>
              </w:rPr>
            </w:pPr>
            <w:r w:rsidRPr="0048516D">
              <w:rPr>
                <w:rFonts w:ascii="Verdana" w:eastAsia="Arial Narrow" w:hAnsi="Verdana" w:cs="Arial Narrow"/>
                <w:i/>
                <w:iCs/>
                <w:sz w:val="20"/>
                <w:lang w:val="es-ES_tradnl"/>
              </w:rPr>
              <w:t>Cerro Zamaricote</w:t>
            </w:r>
          </w:p>
        </w:tc>
        <w:tc>
          <w:tcPr>
            <w:tcW w:w="2435" w:type="pct"/>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56C5DCCE" w14:textId="77777777" w:rsidR="0048516D" w:rsidRPr="0048516D" w:rsidRDefault="0048516D" w:rsidP="0048516D">
            <w:pPr>
              <w:jc w:val="both"/>
              <w:rPr>
                <w:rFonts w:ascii="Verdana" w:hAnsi="Verdana"/>
                <w:i/>
                <w:iCs/>
                <w:sz w:val="20"/>
                <w:lang w:val="es-ES_tradnl"/>
              </w:rPr>
            </w:pPr>
            <w:r w:rsidRPr="0048516D">
              <w:rPr>
                <w:rFonts w:ascii="Verdana" w:eastAsia="Arial Narrow" w:hAnsi="Verdana" w:cs="Arial Narrow"/>
                <w:i/>
                <w:iCs/>
                <w:color w:val="000000"/>
                <w:sz w:val="20"/>
                <w:lang w:val="es-ES_tradnl"/>
              </w:rPr>
              <w:t>Reunir a las administraciones municipales para establecer los parámetros de declaratoria y el trabajo con comunidades.</w:t>
            </w:r>
            <w:r w:rsidRPr="0048516D">
              <w:rPr>
                <w:rFonts w:ascii="Verdana" w:hAnsi="Verdana"/>
                <w:i/>
                <w:iCs/>
                <w:sz w:val="20"/>
                <w:lang w:val="es-ES_tradnl"/>
              </w:rPr>
              <w:br/>
            </w:r>
            <w:r w:rsidRPr="0048516D">
              <w:rPr>
                <w:rFonts w:ascii="Verdana" w:eastAsia="Arial Narrow" w:hAnsi="Verdana" w:cs="Arial Narrow"/>
                <w:i/>
                <w:iCs/>
                <w:color w:val="000000"/>
                <w:sz w:val="20"/>
                <w:lang w:val="es-ES_tradnl"/>
              </w:rPr>
              <w:t xml:space="preserve"> </w:t>
            </w:r>
            <w:r w:rsidRPr="0048516D">
              <w:rPr>
                <w:rFonts w:ascii="Verdana" w:hAnsi="Verdana"/>
                <w:i/>
                <w:iCs/>
                <w:sz w:val="20"/>
                <w:lang w:val="es-ES_tradnl"/>
              </w:rPr>
              <w:br/>
            </w:r>
            <w:r w:rsidRPr="0048516D">
              <w:rPr>
                <w:rFonts w:ascii="Verdana" w:eastAsia="Arial Narrow" w:hAnsi="Verdana" w:cs="Arial Narrow"/>
                <w:i/>
                <w:iCs/>
                <w:color w:val="000000"/>
                <w:sz w:val="20"/>
                <w:lang w:val="es-ES_tradnl"/>
              </w:rPr>
              <w:t>Corporinoquia para lo que queda del año 2023, no cuenta con recursos para continuar con la ruta de declaratoria, se está dando cumplimiento a metas del Plan de Acción 2020 - 2023</w:t>
            </w:r>
          </w:p>
        </w:tc>
      </w:tr>
      <w:tr w:rsidR="0048516D" w:rsidRPr="0048516D" w14:paraId="42D6F6F4" w14:textId="77777777" w:rsidTr="00ED67E9">
        <w:trPr>
          <w:trHeight w:val="300"/>
          <w:jc w:val="center"/>
        </w:trPr>
        <w:tc>
          <w:tcPr>
            <w:tcW w:w="614" w:type="pct"/>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4F9178DB" w14:textId="77777777" w:rsidR="0048516D" w:rsidRPr="0048516D" w:rsidRDefault="0048516D" w:rsidP="0048516D">
            <w:pPr>
              <w:jc w:val="both"/>
              <w:rPr>
                <w:rFonts w:ascii="Verdana" w:hAnsi="Verdana"/>
                <w:i/>
                <w:iCs/>
                <w:sz w:val="20"/>
                <w:lang w:val="es-ES_tradnl"/>
              </w:rPr>
            </w:pPr>
            <w:r w:rsidRPr="0048516D">
              <w:rPr>
                <w:rFonts w:ascii="Verdana" w:eastAsia="Arial Narrow" w:hAnsi="Verdana" w:cs="Arial Narrow"/>
                <w:i/>
                <w:iCs/>
                <w:sz w:val="20"/>
                <w:lang w:val="es-ES_tradnl"/>
              </w:rPr>
              <w:t>17</w:t>
            </w:r>
          </w:p>
        </w:tc>
        <w:tc>
          <w:tcPr>
            <w:tcW w:w="614" w:type="pct"/>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1AD64D24" w14:textId="77777777" w:rsidR="0048516D" w:rsidRPr="0048516D" w:rsidRDefault="0048516D" w:rsidP="0048516D">
            <w:pPr>
              <w:jc w:val="both"/>
              <w:rPr>
                <w:rFonts w:ascii="Verdana" w:hAnsi="Verdana"/>
                <w:i/>
                <w:iCs/>
                <w:sz w:val="20"/>
                <w:lang w:val="es-ES_tradnl"/>
              </w:rPr>
            </w:pPr>
            <w:r w:rsidRPr="0048516D">
              <w:rPr>
                <w:rFonts w:ascii="Verdana" w:eastAsia="Arial Narrow" w:hAnsi="Verdana" w:cs="Arial Narrow"/>
                <w:i/>
                <w:iCs/>
                <w:sz w:val="20"/>
                <w:lang w:val="es-ES_tradnl"/>
              </w:rPr>
              <w:t>Cortolima</w:t>
            </w:r>
          </w:p>
        </w:tc>
        <w:tc>
          <w:tcPr>
            <w:tcW w:w="1337" w:type="pct"/>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2A5A20EA" w14:textId="77777777" w:rsidR="0048516D" w:rsidRPr="0048516D" w:rsidRDefault="0048516D" w:rsidP="0048516D">
            <w:pPr>
              <w:jc w:val="both"/>
              <w:rPr>
                <w:rFonts w:ascii="Verdana" w:hAnsi="Verdana"/>
                <w:i/>
                <w:iCs/>
                <w:sz w:val="20"/>
                <w:lang w:val="es-ES_tradnl"/>
              </w:rPr>
            </w:pPr>
            <w:r w:rsidRPr="0048516D">
              <w:rPr>
                <w:rFonts w:ascii="Verdana" w:eastAsia="Arial Narrow" w:hAnsi="Verdana" w:cs="Arial Narrow"/>
                <w:i/>
                <w:iCs/>
                <w:sz w:val="20"/>
                <w:lang w:val="es-ES_tradnl"/>
              </w:rPr>
              <w:t>Los Limones</w:t>
            </w:r>
          </w:p>
        </w:tc>
        <w:tc>
          <w:tcPr>
            <w:tcW w:w="2435" w:type="pct"/>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5EAD8BBF" w14:textId="77777777" w:rsidR="0048516D" w:rsidRPr="0048516D" w:rsidRDefault="0048516D" w:rsidP="0048516D">
            <w:pPr>
              <w:jc w:val="both"/>
              <w:rPr>
                <w:rFonts w:ascii="Verdana" w:hAnsi="Verdana"/>
                <w:i/>
                <w:iCs/>
                <w:sz w:val="20"/>
                <w:lang w:val="es-ES_tradnl"/>
              </w:rPr>
            </w:pPr>
            <w:r w:rsidRPr="0048516D">
              <w:rPr>
                <w:rFonts w:ascii="Verdana" w:eastAsia="Arial Narrow" w:hAnsi="Verdana" w:cs="Arial Narrow"/>
                <w:i/>
                <w:iCs/>
                <w:color w:val="000000"/>
                <w:sz w:val="20"/>
                <w:lang w:val="es-ES_tradnl"/>
              </w:rPr>
              <w:t>A la fecha no se tienen avances en la misma y no se está adelantando el proceso en el marco de la resolución 1125 del 2015 del Ministerio de Ambiente y Desarrollo Sostenible.</w:t>
            </w:r>
          </w:p>
        </w:tc>
      </w:tr>
      <w:tr w:rsidR="0048516D" w:rsidRPr="0048516D" w14:paraId="5E41A348" w14:textId="77777777" w:rsidTr="00ED67E9">
        <w:trPr>
          <w:trHeight w:val="330"/>
          <w:jc w:val="center"/>
        </w:trPr>
        <w:tc>
          <w:tcPr>
            <w:tcW w:w="614" w:type="pct"/>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4BCCBCF1" w14:textId="77777777" w:rsidR="0048516D" w:rsidRPr="0048516D" w:rsidRDefault="0048516D" w:rsidP="0048516D">
            <w:pPr>
              <w:jc w:val="both"/>
              <w:rPr>
                <w:rFonts w:ascii="Verdana" w:hAnsi="Verdana"/>
                <w:i/>
                <w:iCs/>
                <w:sz w:val="20"/>
                <w:lang w:val="es-ES_tradnl"/>
              </w:rPr>
            </w:pPr>
            <w:r w:rsidRPr="0048516D">
              <w:rPr>
                <w:rFonts w:ascii="Verdana" w:eastAsia="Arial Narrow" w:hAnsi="Verdana" w:cs="Arial Narrow"/>
                <w:i/>
                <w:iCs/>
                <w:sz w:val="20"/>
                <w:lang w:val="es-ES_tradnl"/>
              </w:rPr>
              <w:t>11</w:t>
            </w:r>
          </w:p>
        </w:tc>
        <w:tc>
          <w:tcPr>
            <w:tcW w:w="614" w:type="pct"/>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08793C46" w14:textId="77777777" w:rsidR="0048516D" w:rsidRPr="0048516D" w:rsidRDefault="0048516D" w:rsidP="0048516D">
            <w:pPr>
              <w:jc w:val="both"/>
              <w:rPr>
                <w:rFonts w:ascii="Verdana" w:hAnsi="Verdana"/>
                <w:i/>
                <w:iCs/>
                <w:sz w:val="20"/>
                <w:lang w:val="es-ES_tradnl"/>
              </w:rPr>
            </w:pPr>
            <w:r w:rsidRPr="0048516D">
              <w:rPr>
                <w:rFonts w:ascii="Verdana" w:eastAsia="Arial Narrow" w:hAnsi="Verdana" w:cs="Arial Narrow"/>
                <w:i/>
                <w:iCs/>
                <w:sz w:val="20"/>
                <w:lang w:val="es-ES_tradnl"/>
              </w:rPr>
              <w:t>Corpocaldas</w:t>
            </w:r>
          </w:p>
        </w:tc>
        <w:tc>
          <w:tcPr>
            <w:tcW w:w="1337" w:type="pct"/>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2E0A114A" w14:textId="77777777" w:rsidR="0048516D" w:rsidRPr="0048516D" w:rsidRDefault="0048516D" w:rsidP="0048516D">
            <w:pPr>
              <w:jc w:val="both"/>
              <w:rPr>
                <w:rFonts w:ascii="Verdana" w:hAnsi="Verdana"/>
                <w:i/>
                <w:iCs/>
                <w:sz w:val="20"/>
                <w:lang w:val="es-ES_tradnl"/>
              </w:rPr>
            </w:pPr>
            <w:r w:rsidRPr="0048516D">
              <w:rPr>
                <w:rFonts w:ascii="Verdana" w:eastAsia="Arial Narrow" w:hAnsi="Verdana" w:cs="Arial Narrow"/>
                <w:i/>
                <w:iCs/>
                <w:sz w:val="20"/>
                <w:lang w:val="es-ES_tradnl"/>
              </w:rPr>
              <w:t>Área Corozal</w:t>
            </w:r>
          </w:p>
        </w:tc>
        <w:tc>
          <w:tcPr>
            <w:tcW w:w="2435" w:type="pct"/>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5345FEC7" w14:textId="77777777" w:rsidR="0048516D" w:rsidRPr="0048516D" w:rsidRDefault="0048516D" w:rsidP="0048516D">
            <w:pPr>
              <w:jc w:val="both"/>
              <w:rPr>
                <w:rFonts w:ascii="Verdana" w:hAnsi="Verdana"/>
                <w:i/>
                <w:iCs/>
                <w:sz w:val="20"/>
                <w:lang w:val="es-ES_tradnl"/>
              </w:rPr>
            </w:pPr>
            <w:r w:rsidRPr="0048516D">
              <w:rPr>
                <w:rFonts w:ascii="Verdana" w:eastAsia="Arial Narrow" w:hAnsi="Verdana" w:cs="Arial Narrow"/>
                <w:i/>
                <w:iCs/>
                <w:color w:val="000000"/>
                <w:sz w:val="20"/>
                <w:lang w:val="es-ES_tradnl"/>
              </w:rPr>
              <w:t>Algunos productos del gremio piscícola y aguacatero se oponen a la creación del área, por las restricciones sobre el área.</w:t>
            </w:r>
          </w:p>
          <w:p w14:paraId="3F4BE94A" w14:textId="77777777" w:rsidR="0048516D" w:rsidRPr="0048516D" w:rsidRDefault="0048516D" w:rsidP="0048516D">
            <w:pPr>
              <w:jc w:val="both"/>
              <w:rPr>
                <w:rFonts w:ascii="Verdana" w:hAnsi="Verdana"/>
                <w:i/>
                <w:iCs/>
                <w:sz w:val="20"/>
                <w:lang w:val="es-ES_tradnl"/>
              </w:rPr>
            </w:pPr>
            <w:r w:rsidRPr="0048516D">
              <w:rPr>
                <w:rFonts w:ascii="Verdana" w:hAnsi="Verdana"/>
                <w:i/>
                <w:iCs/>
                <w:sz w:val="20"/>
                <w:lang w:val="es-ES_tradnl"/>
              </w:rPr>
              <w:br/>
            </w:r>
            <w:r w:rsidRPr="0048516D">
              <w:rPr>
                <w:rFonts w:ascii="Verdana" w:eastAsia="Arial Narrow" w:hAnsi="Verdana" w:cs="Arial Narrow"/>
                <w:i/>
                <w:iCs/>
                <w:color w:val="000000"/>
                <w:sz w:val="20"/>
                <w:lang w:val="es-ES_tradnl"/>
              </w:rPr>
              <w:t>Reunión con actores.</w:t>
            </w:r>
          </w:p>
        </w:tc>
      </w:tr>
      <w:tr w:rsidR="0048516D" w:rsidRPr="0048516D" w14:paraId="64A9D344" w14:textId="77777777" w:rsidTr="00ED67E9">
        <w:trPr>
          <w:trHeight w:val="2730"/>
          <w:jc w:val="center"/>
        </w:trPr>
        <w:tc>
          <w:tcPr>
            <w:tcW w:w="614" w:type="pct"/>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1721F479" w14:textId="77777777" w:rsidR="0048516D" w:rsidRPr="0048516D" w:rsidRDefault="0048516D" w:rsidP="0048516D">
            <w:pPr>
              <w:jc w:val="both"/>
              <w:rPr>
                <w:rFonts w:ascii="Verdana" w:hAnsi="Verdana"/>
                <w:i/>
                <w:iCs/>
                <w:sz w:val="20"/>
                <w:lang w:val="es-ES_tradnl"/>
              </w:rPr>
            </w:pPr>
            <w:r w:rsidRPr="0048516D">
              <w:rPr>
                <w:rFonts w:ascii="Verdana" w:eastAsia="Arial Narrow" w:hAnsi="Verdana" w:cs="Arial Narrow"/>
                <w:i/>
                <w:iCs/>
                <w:sz w:val="20"/>
                <w:lang w:val="es-ES_tradnl"/>
              </w:rPr>
              <w:t>41</w:t>
            </w:r>
          </w:p>
        </w:tc>
        <w:tc>
          <w:tcPr>
            <w:tcW w:w="614" w:type="pct"/>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0CAC8E57" w14:textId="77777777" w:rsidR="0048516D" w:rsidRPr="0048516D" w:rsidRDefault="0048516D" w:rsidP="0048516D">
            <w:pPr>
              <w:jc w:val="both"/>
              <w:rPr>
                <w:rFonts w:ascii="Verdana" w:hAnsi="Verdana"/>
                <w:i/>
                <w:iCs/>
                <w:sz w:val="20"/>
                <w:lang w:val="es-ES_tradnl"/>
              </w:rPr>
            </w:pPr>
            <w:r w:rsidRPr="0048516D">
              <w:rPr>
                <w:rFonts w:ascii="Verdana" w:eastAsia="Arial Narrow" w:hAnsi="Verdana" w:cs="Arial Narrow"/>
                <w:i/>
                <w:iCs/>
                <w:sz w:val="20"/>
                <w:lang w:val="es-ES_tradnl"/>
              </w:rPr>
              <w:t>Corpoguajira</w:t>
            </w:r>
          </w:p>
        </w:tc>
        <w:tc>
          <w:tcPr>
            <w:tcW w:w="1337" w:type="pct"/>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52DD64EA" w14:textId="77777777" w:rsidR="0048516D" w:rsidRPr="0048516D" w:rsidRDefault="0048516D" w:rsidP="0048516D">
            <w:pPr>
              <w:jc w:val="both"/>
              <w:rPr>
                <w:rFonts w:ascii="Verdana" w:hAnsi="Verdana"/>
                <w:i/>
                <w:iCs/>
                <w:sz w:val="20"/>
                <w:lang w:val="es-ES_tradnl"/>
              </w:rPr>
            </w:pPr>
            <w:r w:rsidRPr="0048516D">
              <w:rPr>
                <w:rFonts w:ascii="Verdana" w:eastAsia="Arial Narrow" w:hAnsi="Verdana" w:cs="Arial Narrow"/>
                <w:i/>
                <w:iCs/>
                <w:sz w:val="20"/>
                <w:lang w:val="es-ES_tradnl"/>
              </w:rPr>
              <w:t>Bahía Honda - Hondita</w:t>
            </w:r>
          </w:p>
        </w:tc>
        <w:tc>
          <w:tcPr>
            <w:tcW w:w="2435" w:type="pct"/>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12753F86" w14:textId="77777777" w:rsidR="0048516D" w:rsidRPr="0048516D" w:rsidRDefault="0048516D" w:rsidP="0048516D">
            <w:pPr>
              <w:jc w:val="both"/>
              <w:rPr>
                <w:rFonts w:ascii="Verdana" w:hAnsi="Verdana"/>
                <w:i/>
                <w:iCs/>
                <w:sz w:val="20"/>
                <w:lang w:val="es-ES_tradnl"/>
              </w:rPr>
            </w:pPr>
            <w:r w:rsidRPr="0048516D">
              <w:rPr>
                <w:rFonts w:ascii="Verdana" w:eastAsia="Arial Narrow" w:hAnsi="Verdana" w:cs="Arial Narrow"/>
                <w:i/>
                <w:iCs/>
                <w:color w:val="000000"/>
                <w:sz w:val="20"/>
                <w:lang w:val="es-ES_tradnl"/>
              </w:rPr>
              <w:t xml:space="preserve">Dificultad en concertar las reuniones de Consulta Previa con las comunidades que faltan del proceso, escasez de recursos económicos y logísticos en CORPOGUAJIRA para finalizar la consulta previa, el fenómeno del niño 2023, diferencias claniles entre miembros de comunidades Wayuu, diferentes pretensiones de comunidades Wayuu en el momento de definir los acuerdos del proceso consultivo, indisposición y/o desconfianza en el territorio del resguardo indígena de la Media y Alta Guajira a los procesos de consulta previa. </w:t>
            </w:r>
          </w:p>
          <w:p w14:paraId="3712BB57" w14:textId="77777777" w:rsidR="0048516D" w:rsidRPr="0048516D" w:rsidRDefault="0048516D" w:rsidP="0048516D">
            <w:pPr>
              <w:jc w:val="both"/>
              <w:rPr>
                <w:rFonts w:ascii="Verdana" w:eastAsia="Arial Narrow" w:hAnsi="Verdana" w:cs="Arial Narrow"/>
                <w:i/>
                <w:iCs/>
                <w:color w:val="000000"/>
                <w:sz w:val="20"/>
                <w:lang w:val="es-ES_tradnl"/>
              </w:rPr>
            </w:pPr>
            <w:r w:rsidRPr="0048516D">
              <w:rPr>
                <w:rFonts w:ascii="Verdana" w:hAnsi="Verdana"/>
                <w:i/>
                <w:iCs/>
                <w:sz w:val="20"/>
                <w:lang w:val="es-ES_tradnl"/>
              </w:rPr>
              <w:br/>
            </w:r>
            <w:r w:rsidRPr="0048516D">
              <w:rPr>
                <w:rFonts w:ascii="Verdana" w:eastAsia="Arial Narrow" w:hAnsi="Verdana" w:cs="Arial Narrow"/>
                <w:i/>
                <w:iCs/>
                <w:color w:val="000000"/>
                <w:sz w:val="20"/>
                <w:lang w:val="es-ES_tradnl"/>
              </w:rPr>
              <w:t>Concertación fechas de reuniones de Consulta Previa.</w:t>
            </w:r>
            <w:r w:rsidRPr="0048516D">
              <w:rPr>
                <w:rFonts w:ascii="Verdana" w:hAnsi="Verdana"/>
                <w:i/>
                <w:iCs/>
                <w:sz w:val="20"/>
                <w:lang w:val="es-ES_tradnl"/>
              </w:rPr>
              <w:br/>
            </w:r>
            <w:r w:rsidRPr="0048516D">
              <w:rPr>
                <w:rFonts w:ascii="Verdana" w:eastAsia="Arial Narrow" w:hAnsi="Verdana" w:cs="Arial Narrow"/>
                <w:i/>
                <w:iCs/>
                <w:color w:val="000000"/>
                <w:sz w:val="20"/>
                <w:lang w:val="es-ES_tradnl"/>
              </w:rPr>
              <w:t>Finalización Consulta Previa.</w:t>
            </w:r>
            <w:r w:rsidRPr="0048516D">
              <w:rPr>
                <w:rFonts w:ascii="Verdana" w:hAnsi="Verdana"/>
                <w:i/>
                <w:iCs/>
                <w:sz w:val="20"/>
                <w:lang w:val="es-ES_tradnl"/>
              </w:rPr>
              <w:br/>
            </w:r>
            <w:r w:rsidRPr="0048516D">
              <w:rPr>
                <w:rFonts w:ascii="Verdana" w:eastAsia="Arial Narrow" w:hAnsi="Verdana" w:cs="Arial Narrow"/>
                <w:i/>
                <w:iCs/>
                <w:color w:val="000000"/>
                <w:sz w:val="20"/>
                <w:lang w:val="es-ES_tradnl"/>
              </w:rPr>
              <w:t>Obtención concepto de viabilidad de INVEMAR.</w:t>
            </w:r>
            <w:r w:rsidRPr="0048516D">
              <w:rPr>
                <w:rFonts w:ascii="Verdana" w:hAnsi="Verdana"/>
                <w:i/>
                <w:iCs/>
                <w:sz w:val="20"/>
                <w:lang w:val="es-ES_tradnl"/>
              </w:rPr>
              <w:br/>
            </w:r>
            <w:r w:rsidRPr="0048516D">
              <w:rPr>
                <w:rFonts w:ascii="Verdana" w:eastAsia="Arial Narrow" w:hAnsi="Verdana" w:cs="Arial Narrow"/>
                <w:i/>
                <w:iCs/>
                <w:color w:val="000000"/>
                <w:sz w:val="20"/>
                <w:lang w:val="es-ES_tradnl"/>
              </w:rPr>
              <w:t>Declaración del área protegida regional.</w:t>
            </w:r>
          </w:p>
        </w:tc>
      </w:tr>
      <w:tr w:rsidR="0048516D" w:rsidRPr="0048516D" w14:paraId="72837713" w14:textId="77777777" w:rsidTr="00ED67E9">
        <w:trPr>
          <w:trHeight w:val="300"/>
          <w:jc w:val="center"/>
        </w:trPr>
        <w:tc>
          <w:tcPr>
            <w:tcW w:w="614" w:type="pct"/>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621ACFA9" w14:textId="77777777" w:rsidR="0048516D" w:rsidRPr="0048516D" w:rsidRDefault="0048516D" w:rsidP="0048516D">
            <w:pPr>
              <w:jc w:val="both"/>
              <w:rPr>
                <w:rFonts w:ascii="Verdana" w:hAnsi="Verdana"/>
                <w:i/>
                <w:iCs/>
                <w:sz w:val="20"/>
                <w:lang w:val="es-ES_tradnl"/>
              </w:rPr>
            </w:pPr>
            <w:r w:rsidRPr="0048516D">
              <w:rPr>
                <w:rFonts w:ascii="Verdana" w:eastAsia="Arial Narrow" w:hAnsi="Verdana" w:cs="Arial Narrow"/>
                <w:i/>
                <w:iCs/>
                <w:sz w:val="20"/>
                <w:lang w:val="es-ES_tradnl"/>
              </w:rPr>
              <w:t>51</w:t>
            </w:r>
          </w:p>
        </w:tc>
        <w:tc>
          <w:tcPr>
            <w:tcW w:w="614" w:type="pct"/>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399D7F2E" w14:textId="77777777" w:rsidR="0048516D" w:rsidRPr="0048516D" w:rsidRDefault="0048516D" w:rsidP="0048516D">
            <w:pPr>
              <w:jc w:val="both"/>
              <w:rPr>
                <w:rFonts w:ascii="Verdana" w:hAnsi="Verdana"/>
                <w:i/>
                <w:iCs/>
                <w:sz w:val="20"/>
                <w:lang w:val="es-ES_tradnl"/>
              </w:rPr>
            </w:pPr>
            <w:r w:rsidRPr="0048516D">
              <w:rPr>
                <w:rFonts w:ascii="Verdana" w:eastAsia="Arial Narrow" w:hAnsi="Verdana" w:cs="Arial Narrow"/>
                <w:i/>
                <w:iCs/>
                <w:sz w:val="20"/>
                <w:lang w:val="es-ES_tradnl"/>
              </w:rPr>
              <w:t>Corponariño</w:t>
            </w:r>
          </w:p>
        </w:tc>
        <w:tc>
          <w:tcPr>
            <w:tcW w:w="1337" w:type="pct"/>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6A24DA0E" w14:textId="77777777" w:rsidR="0048516D" w:rsidRPr="0048516D" w:rsidRDefault="0048516D" w:rsidP="0048516D">
            <w:pPr>
              <w:jc w:val="both"/>
              <w:rPr>
                <w:rFonts w:ascii="Verdana" w:hAnsi="Verdana"/>
                <w:i/>
                <w:iCs/>
                <w:sz w:val="20"/>
                <w:lang w:val="es-ES_tradnl"/>
              </w:rPr>
            </w:pPr>
            <w:r w:rsidRPr="0048516D">
              <w:rPr>
                <w:rFonts w:ascii="Verdana" w:eastAsia="Arial Narrow" w:hAnsi="Verdana" w:cs="Arial Narrow"/>
                <w:i/>
                <w:iCs/>
                <w:sz w:val="20"/>
                <w:lang w:val="es-ES_tradnl"/>
              </w:rPr>
              <w:t>Andino Pacífica</w:t>
            </w:r>
          </w:p>
        </w:tc>
        <w:tc>
          <w:tcPr>
            <w:tcW w:w="2435" w:type="pct"/>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22CE3CD4" w14:textId="77777777" w:rsidR="0048516D" w:rsidRPr="0048516D" w:rsidRDefault="0048516D" w:rsidP="0048516D">
            <w:pPr>
              <w:jc w:val="both"/>
              <w:rPr>
                <w:rFonts w:ascii="Verdana" w:hAnsi="Verdana"/>
                <w:i/>
                <w:iCs/>
                <w:sz w:val="20"/>
                <w:lang w:val="es-ES_tradnl"/>
              </w:rPr>
            </w:pPr>
            <w:r w:rsidRPr="0048516D">
              <w:rPr>
                <w:rFonts w:ascii="Verdana" w:eastAsia="Arial Narrow" w:hAnsi="Verdana" w:cs="Arial Narrow"/>
                <w:i/>
                <w:iCs/>
                <w:sz w:val="20"/>
                <w:lang w:val="es-ES_tradnl"/>
              </w:rPr>
              <w:t>Orden Público, Cultivos uso ilícito, explotación minera.</w:t>
            </w:r>
          </w:p>
          <w:p w14:paraId="5D006083" w14:textId="77777777" w:rsidR="0048516D" w:rsidRPr="0048516D" w:rsidRDefault="0048516D" w:rsidP="0048516D">
            <w:pPr>
              <w:jc w:val="both"/>
              <w:rPr>
                <w:rFonts w:ascii="Verdana" w:hAnsi="Verdana"/>
                <w:i/>
                <w:iCs/>
                <w:sz w:val="20"/>
                <w:lang w:val="es-ES_tradnl"/>
              </w:rPr>
            </w:pPr>
            <w:r w:rsidRPr="0048516D">
              <w:rPr>
                <w:rFonts w:ascii="Verdana" w:hAnsi="Verdana"/>
                <w:i/>
                <w:iCs/>
                <w:sz w:val="20"/>
                <w:lang w:val="es-ES_tradnl"/>
              </w:rPr>
              <w:br/>
            </w:r>
            <w:r w:rsidRPr="0048516D">
              <w:rPr>
                <w:rFonts w:ascii="Verdana" w:eastAsia="Arial Narrow" w:hAnsi="Verdana" w:cs="Arial Narrow"/>
                <w:i/>
                <w:iCs/>
                <w:sz w:val="20"/>
                <w:lang w:val="es-ES_tradnl"/>
              </w:rPr>
              <w:t>Si el proyecto es aprobado, se inicia el proceso de aprestamiento</w:t>
            </w:r>
          </w:p>
        </w:tc>
      </w:tr>
      <w:tr w:rsidR="0048516D" w:rsidRPr="0048516D" w14:paraId="49932298" w14:textId="77777777" w:rsidTr="00ED67E9">
        <w:trPr>
          <w:trHeight w:val="300"/>
          <w:jc w:val="center"/>
        </w:trPr>
        <w:tc>
          <w:tcPr>
            <w:tcW w:w="614" w:type="pct"/>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387C0CEA" w14:textId="77777777" w:rsidR="0048516D" w:rsidRPr="0048516D" w:rsidRDefault="0048516D" w:rsidP="0048516D">
            <w:pPr>
              <w:jc w:val="both"/>
              <w:rPr>
                <w:rFonts w:ascii="Verdana" w:eastAsia="Arial Narrow" w:hAnsi="Verdana" w:cs="Arial Narrow"/>
                <w:i/>
                <w:iCs/>
                <w:sz w:val="20"/>
                <w:lang w:val="es-ES_tradnl"/>
              </w:rPr>
            </w:pPr>
            <w:r w:rsidRPr="0048516D">
              <w:rPr>
                <w:rFonts w:ascii="Verdana" w:eastAsia="Arial Narrow" w:hAnsi="Verdana" w:cs="Arial Narrow"/>
                <w:i/>
                <w:iCs/>
                <w:sz w:val="20"/>
                <w:lang w:val="es-ES_tradnl"/>
              </w:rPr>
              <w:t>8</w:t>
            </w:r>
          </w:p>
        </w:tc>
        <w:tc>
          <w:tcPr>
            <w:tcW w:w="614" w:type="pct"/>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0A082DF9" w14:textId="77777777" w:rsidR="0048516D" w:rsidRPr="0048516D" w:rsidRDefault="0048516D" w:rsidP="0048516D">
            <w:pPr>
              <w:jc w:val="both"/>
              <w:rPr>
                <w:rFonts w:ascii="Verdana" w:eastAsia="Arial Narrow" w:hAnsi="Verdana" w:cs="Arial Narrow"/>
                <w:i/>
                <w:iCs/>
                <w:sz w:val="20"/>
                <w:lang w:val="es-ES_tradnl"/>
              </w:rPr>
            </w:pPr>
            <w:r w:rsidRPr="0048516D">
              <w:rPr>
                <w:rFonts w:ascii="Verdana" w:eastAsia="Arial Narrow" w:hAnsi="Verdana" w:cs="Arial Narrow"/>
                <w:i/>
                <w:iCs/>
                <w:sz w:val="20"/>
                <w:lang w:val="es-ES_tradnl"/>
              </w:rPr>
              <w:t>Corantioquia</w:t>
            </w:r>
          </w:p>
        </w:tc>
        <w:tc>
          <w:tcPr>
            <w:tcW w:w="1337" w:type="pct"/>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76D86F70" w14:textId="77777777" w:rsidR="0048516D" w:rsidRPr="0048516D" w:rsidRDefault="0048516D" w:rsidP="0048516D">
            <w:pPr>
              <w:jc w:val="both"/>
              <w:rPr>
                <w:rFonts w:ascii="Verdana" w:eastAsia="Arial Narrow" w:hAnsi="Verdana" w:cs="Arial Narrow"/>
                <w:i/>
                <w:iCs/>
                <w:sz w:val="20"/>
                <w:lang w:val="es-ES_tradnl"/>
              </w:rPr>
            </w:pPr>
            <w:r w:rsidRPr="0048516D">
              <w:rPr>
                <w:rFonts w:ascii="Verdana" w:eastAsia="Arial Narrow" w:hAnsi="Verdana" w:cs="Arial Narrow"/>
                <w:i/>
                <w:iCs/>
                <w:sz w:val="20"/>
                <w:lang w:val="es-ES_tradnl"/>
              </w:rPr>
              <w:t>Bajo Cauca Nechi</w:t>
            </w:r>
          </w:p>
        </w:tc>
        <w:tc>
          <w:tcPr>
            <w:tcW w:w="2435" w:type="pct"/>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68380E8D" w14:textId="77777777" w:rsidR="0048516D" w:rsidRPr="0048516D" w:rsidRDefault="0048516D" w:rsidP="0048516D">
            <w:pPr>
              <w:jc w:val="both"/>
              <w:rPr>
                <w:rFonts w:ascii="Verdana" w:eastAsia="Arial Narrow" w:hAnsi="Verdana" w:cs="Arial Narrow"/>
                <w:i/>
                <w:iCs/>
                <w:sz w:val="20"/>
                <w:lang w:val="es-ES_tradnl"/>
              </w:rPr>
            </w:pPr>
            <w:r w:rsidRPr="0048516D">
              <w:rPr>
                <w:rFonts w:ascii="Verdana" w:eastAsia="Arial Narrow" w:hAnsi="Verdana" w:cs="Arial Narrow"/>
                <w:i/>
                <w:iCs/>
                <w:sz w:val="20"/>
                <w:lang w:val="es-ES_tradnl"/>
              </w:rPr>
              <w:t xml:space="preserve">La Corporación, señala que se debe surtir la protocolización de la consulta se remitirá el </w:t>
            </w:r>
            <w:r w:rsidRPr="0048516D">
              <w:rPr>
                <w:rFonts w:ascii="Verdana" w:eastAsia="Arial Narrow" w:hAnsi="Verdana" w:cs="Arial Narrow"/>
                <w:i/>
                <w:iCs/>
                <w:sz w:val="20"/>
                <w:lang w:val="es-ES_tradnl"/>
              </w:rPr>
              <w:lastRenderedPageBreak/>
              <w:t>documento síntesis al Instituto de Investigación de Recursos Biológicos Alexander Von Humboldt, para el Concepto Previo Favorable, precisándose que ya se realizó una primera entrega de información.</w:t>
            </w:r>
          </w:p>
        </w:tc>
      </w:tr>
    </w:tbl>
    <w:p w14:paraId="2CA30639" w14:textId="77777777" w:rsidR="0048516D" w:rsidRPr="0048516D" w:rsidRDefault="0048516D" w:rsidP="0048516D">
      <w:pPr>
        <w:jc w:val="both"/>
        <w:rPr>
          <w:rFonts w:ascii="Verdana" w:hAnsi="Verdana" w:cs="Arial"/>
          <w:i/>
          <w:iCs/>
          <w:szCs w:val="24"/>
          <w:lang w:val="es-CO"/>
        </w:rPr>
      </w:pPr>
    </w:p>
    <w:p w14:paraId="05328CDB" w14:textId="77777777" w:rsidR="0048516D" w:rsidRPr="0048516D" w:rsidRDefault="0048516D" w:rsidP="0048516D">
      <w:pPr>
        <w:jc w:val="both"/>
        <w:rPr>
          <w:rFonts w:ascii="Verdana" w:hAnsi="Verdana" w:cs="Arial"/>
          <w:i/>
          <w:iCs/>
          <w:sz w:val="22"/>
          <w:szCs w:val="22"/>
          <w:lang w:val="es-ES_tradnl"/>
        </w:rPr>
      </w:pPr>
      <w:r w:rsidRPr="0048516D">
        <w:rPr>
          <w:rFonts w:ascii="Verdana" w:hAnsi="Verdana" w:cs="Arial"/>
          <w:i/>
          <w:iCs/>
          <w:sz w:val="22"/>
          <w:szCs w:val="22"/>
          <w:lang w:val="es-ES_tradnl"/>
        </w:rPr>
        <w:t>Tomando como base lo señalado anteriormente, se evidencia entonces la necesidad de garantizar la continuidad de los efectos de las zonas de protección declaradas mediante la Resolución 1125 de 2021, para de esta manera continuar protegiendo la diversidad biológica presente en dichos territorios mientras se surte todo el proceso administrativo de declaratoria específica y definitiva por parte de las autoridades competentes.</w:t>
      </w:r>
    </w:p>
    <w:p w14:paraId="7F52605B" w14:textId="77777777" w:rsidR="0048516D" w:rsidRPr="0048516D" w:rsidRDefault="0048516D" w:rsidP="0048516D">
      <w:pPr>
        <w:jc w:val="both"/>
        <w:rPr>
          <w:rFonts w:ascii="Verdana" w:hAnsi="Verdana" w:cs="Arial"/>
          <w:i/>
          <w:iCs/>
          <w:sz w:val="22"/>
          <w:szCs w:val="22"/>
          <w:lang w:val="es-ES_tradnl"/>
        </w:rPr>
      </w:pPr>
    </w:p>
    <w:p w14:paraId="1647891C" w14:textId="77777777" w:rsidR="0048516D" w:rsidRPr="0048516D" w:rsidRDefault="0048516D" w:rsidP="0048516D">
      <w:pPr>
        <w:jc w:val="both"/>
        <w:rPr>
          <w:rFonts w:ascii="Verdana" w:hAnsi="Verdana" w:cs="Arial"/>
          <w:i/>
          <w:iCs/>
          <w:sz w:val="22"/>
          <w:szCs w:val="22"/>
          <w:lang w:val="es-ES_tradnl"/>
        </w:rPr>
      </w:pPr>
      <w:r w:rsidRPr="0048516D">
        <w:rPr>
          <w:rFonts w:ascii="Verdana" w:hAnsi="Verdana" w:cs="Arial"/>
          <w:i/>
          <w:iCs/>
          <w:sz w:val="22"/>
          <w:szCs w:val="22"/>
          <w:lang w:val="es-ES_tradnl"/>
        </w:rPr>
        <w:t>Que así las cosas, aun cuando han habido significativos avances en la implementación de la ruta declaratoria para cada una de las zonas de protección contenidas en la Resolución No. 1125 de 2021, es de precisar que este proceso, conforme con lo establecido en la Resolución No. 1125 de 2015 comprende el desarrollo de tres fases denominadas de preparación, aprestamiento y declaratoria, en el marco de las cuales deben adelantarse estudios técnicos, económicos, sociales y ambientales así como desarrollar actividades como la preparación y sustentación de un documento síntesis que consolide la propuesta de declaratoria, el cual debe ser presentado para la emisión de un concepto técnico, por parte del instituto de investigación científica correspondiente.</w:t>
      </w:r>
    </w:p>
    <w:p w14:paraId="5163A900" w14:textId="77777777" w:rsidR="0048516D" w:rsidRPr="0048516D" w:rsidRDefault="0048516D" w:rsidP="0048516D">
      <w:pPr>
        <w:jc w:val="both"/>
        <w:rPr>
          <w:rFonts w:ascii="Verdana" w:hAnsi="Verdana" w:cs="Arial"/>
          <w:i/>
          <w:iCs/>
          <w:sz w:val="22"/>
          <w:szCs w:val="22"/>
          <w:lang w:val="es-ES_tradnl"/>
        </w:rPr>
      </w:pPr>
    </w:p>
    <w:p w14:paraId="775736D2" w14:textId="77777777" w:rsidR="0048516D" w:rsidRPr="0048516D" w:rsidRDefault="0048516D" w:rsidP="0048516D">
      <w:pPr>
        <w:jc w:val="both"/>
        <w:rPr>
          <w:rFonts w:ascii="Verdana" w:hAnsi="Verdana" w:cs="Arial"/>
          <w:i/>
          <w:iCs/>
          <w:sz w:val="22"/>
          <w:szCs w:val="22"/>
          <w:lang w:val="es-ES_tradnl"/>
        </w:rPr>
      </w:pPr>
      <w:r w:rsidRPr="0048516D">
        <w:rPr>
          <w:rFonts w:ascii="Verdana" w:hAnsi="Verdana" w:cs="Arial"/>
          <w:i/>
          <w:iCs/>
          <w:sz w:val="22"/>
          <w:szCs w:val="22"/>
          <w:lang w:val="es-ES_tradnl"/>
        </w:rPr>
        <w:t>Contribuyendo de esta manera a favorecer la culminación de la implementación de la ruta declaratoria de nuevas áreas protegidas, con lo cual se espera aumentar la representatividad ecológica del Sistema Nacional de Área Protegidas-SINAP, con miras al cumplimiento de las metas Kunming-Montreal 2022, además de garantizar la protección de ecosistemas reconocidos como únicos a nivel nacional y mundial.</w:t>
      </w:r>
    </w:p>
    <w:p w14:paraId="67DEFD9D" w14:textId="77777777" w:rsidR="0048516D" w:rsidRPr="0048516D" w:rsidRDefault="0048516D" w:rsidP="0048516D">
      <w:pPr>
        <w:jc w:val="both"/>
        <w:rPr>
          <w:rFonts w:ascii="Verdana" w:hAnsi="Verdana" w:cs="Arial"/>
          <w:i/>
          <w:iCs/>
          <w:sz w:val="22"/>
          <w:szCs w:val="22"/>
          <w:lang w:val="es-ES_tradnl"/>
        </w:rPr>
      </w:pPr>
    </w:p>
    <w:p w14:paraId="2BB159D5" w14:textId="77777777" w:rsidR="002277C9" w:rsidRPr="00B966C6" w:rsidRDefault="0048516D" w:rsidP="00165824">
      <w:pPr>
        <w:jc w:val="both"/>
        <w:rPr>
          <w:rFonts w:ascii="Verdana" w:hAnsi="Verdana" w:cs="Arial"/>
          <w:i/>
          <w:iCs/>
          <w:sz w:val="22"/>
          <w:szCs w:val="22"/>
          <w:lang w:val="es-ES_tradnl"/>
        </w:rPr>
      </w:pPr>
      <w:r w:rsidRPr="0048516D">
        <w:rPr>
          <w:rFonts w:ascii="Verdana" w:hAnsi="Verdana" w:cs="Arial"/>
          <w:i/>
          <w:iCs/>
          <w:sz w:val="22"/>
          <w:szCs w:val="22"/>
          <w:lang w:val="es-ES_tradnl"/>
        </w:rPr>
        <w:t>Teniendo en cuenta que gran parte de los procesos requieren que se les dé continuidad o que aún se encuentran pendientes por iniciar, corresponden principalmente a procesos de relacionamiento social, institucional y sectorial, los cuales y a partir de la experiencia acumulada de los diferentes procesos de declaratoria ya culminados, toman tiempos considerables para su desarrollo y consolidación, se estima conveniente técnicamente prorrogar los efectos de las mencionadas zonas de protección por un periodo de dos (2) años</w:t>
      </w:r>
      <w:r w:rsidRPr="0048516D">
        <w:rPr>
          <w:rFonts w:ascii="Verdana" w:hAnsi="Verdana"/>
          <w:i/>
          <w:iCs/>
          <w:sz w:val="22"/>
          <w:szCs w:val="22"/>
          <w:lang w:val="es-ES_tradnl"/>
        </w:rPr>
        <w:t xml:space="preserve">, </w:t>
      </w:r>
      <w:r w:rsidRPr="0048516D">
        <w:rPr>
          <w:rFonts w:ascii="Verdana" w:hAnsi="Verdana" w:cs="Arial"/>
          <w:i/>
          <w:iCs/>
          <w:sz w:val="22"/>
          <w:szCs w:val="22"/>
          <w:lang w:val="es-ES_tradnl"/>
        </w:rPr>
        <w:t>para de esta forma garantizar que no se adelante la adjudicación de nuevos títulos mineros en dichas zonas</w:t>
      </w:r>
    </w:p>
    <w:p w14:paraId="400F901B" w14:textId="77777777" w:rsidR="002277C9" w:rsidRPr="00B966C6" w:rsidRDefault="002277C9" w:rsidP="00165824">
      <w:pPr>
        <w:jc w:val="both"/>
        <w:rPr>
          <w:rFonts w:ascii="Verdana" w:hAnsi="Verdana" w:cs="Arial"/>
          <w:i/>
          <w:iCs/>
          <w:sz w:val="22"/>
          <w:szCs w:val="22"/>
          <w:lang w:val="es-ES_tradnl"/>
        </w:rPr>
      </w:pPr>
    </w:p>
    <w:p w14:paraId="49848019" w14:textId="457F4D17" w:rsidR="00165824" w:rsidRPr="00B966C6" w:rsidRDefault="002277C9" w:rsidP="00165824">
      <w:pPr>
        <w:jc w:val="both"/>
        <w:rPr>
          <w:rFonts w:ascii="Verdana" w:hAnsi="Verdana" w:cs="Arial"/>
          <w:i/>
          <w:iCs/>
          <w:sz w:val="22"/>
          <w:szCs w:val="22"/>
          <w:lang w:val="es-ES_tradnl"/>
        </w:rPr>
      </w:pPr>
      <w:r w:rsidRPr="00B966C6">
        <w:rPr>
          <w:rFonts w:ascii="Verdana" w:hAnsi="Verdana" w:cs="Arial"/>
          <w:i/>
          <w:iCs/>
          <w:sz w:val="22"/>
          <w:szCs w:val="22"/>
          <w:lang w:val="es-ES_tradnl"/>
        </w:rPr>
        <w:t>por último, es necesario precisar que las áreas de la Resolución 1125 de 2021 fueron calculadas en el sistema de referencia MAGNA SIRGAS Origen Bogotá, sin embargo, de acuerdo con las especificaciones técnicas del literal a del numeral i de la Resolución 471 de 2020 del IGAC, las áreas calculadas en la presente resolución corresponden al Sistema de referencia horizontal. MAGNA SIRGAS Origen Nacional. Este cambio del sistema de referencia puede generar cambios en las áreas, sin embargo, no en los límites de los polígonos</w:t>
      </w:r>
      <w:r w:rsidR="0048516D" w:rsidRPr="0048516D">
        <w:rPr>
          <w:rFonts w:ascii="Verdana" w:hAnsi="Verdana" w:cs="Arial"/>
          <w:i/>
          <w:iCs/>
          <w:sz w:val="22"/>
          <w:szCs w:val="22"/>
          <w:lang w:val="es-ES_tradnl"/>
        </w:rPr>
        <w:t>.</w:t>
      </w:r>
      <w:bookmarkEnd w:id="15"/>
      <w:r w:rsidR="00DC5E21" w:rsidRPr="00B966C6">
        <w:rPr>
          <w:rFonts w:ascii="Verdana" w:hAnsi="Verdana" w:cs="Arial"/>
          <w:i/>
          <w:iCs/>
          <w:sz w:val="22"/>
          <w:szCs w:val="22"/>
          <w:lang w:val="es-ES_tradnl"/>
        </w:rPr>
        <w:t>”</w:t>
      </w:r>
    </w:p>
    <w:p w14:paraId="7B332D73" w14:textId="77777777" w:rsidR="00165824" w:rsidRPr="00B966C6" w:rsidRDefault="00165824" w:rsidP="00165824">
      <w:pPr>
        <w:jc w:val="both"/>
        <w:rPr>
          <w:rFonts w:ascii="Verdana" w:hAnsi="Verdana" w:cs="Arial"/>
          <w:sz w:val="22"/>
          <w:szCs w:val="22"/>
          <w:lang w:val="es-ES_tradnl"/>
        </w:rPr>
      </w:pPr>
    </w:p>
    <w:p w14:paraId="6AFC21C9" w14:textId="6A4809B3" w:rsidR="00ED67E9" w:rsidRPr="00B966C6" w:rsidRDefault="002277C9" w:rsidP="003675E8">
      <w:pPr>
        <w:ind w:left="-284"/>
        <w:jc w:val="both"/>
        <w:rPr>
          <w:rFonts w:ascii="Verdana" w:hAnsi="Verdana" w:cs="Arial"/>
          <w:sz w:val="22"/>
          <w:szCs w:val="22"/>
          <w:lang w:val="es-CO"/>
        </w:rPr>
      </w:pPr>
      <w:r w:rsidRPr="00B966C6">
        <w:rPr>
          <w:rFonts w:ascii="Verdana" w:hAnsi="Verdana" w:cs="Arial"/>
          <w:sz w:val="22"/>
          <w:szCs w:val="22"/>
          <w:lang w:val="es-CO"/>
        </w:rPr>
        <w:t>Que conforme a lo anterior, este Ministerio procederá a través del presente acto administrativo prorrogar por</w:t>
      </w:r>
      <w:r w:rsidR="003675E8" w:rsidRPr="00B966C6">
        <w:rPr>
          <w:rFonts w:ascii="Verdana" w:hAnsi="Verdana" w:cs="Arial"/>
          <w:sz w:val="22"/>
          <w:szCs w:val="22"/>
          <w:lang w:val="es-CO"/>
        </w:rPr>
        <w:t xml:space="preserve"> el termino de</w:t>
      </w:r>
      <w:r w:rsidRPr="00B966C6">
        <w:rPr>
          <w:rFonts w:ascii="Verdana" w:hAnsi="Verdana" w:cs="Arial"/>
          <w:sz w:val="22"/>
          <w:szCs w:val="22"/>
          <w:lang w:val="es-CO"/>
        </w:rPr>
        <w:t xml:space="preserve"> dos (2) años, contado a partir de la expedición, los efectos y las zonas de protección y desarrollo de los recursos naturales renovables y del medio ambiente para los polígonos de la Resolución número 1125 de </w:t>
      </w:r>
      <w:r w:rsidRPr="00B966C6">
        <w:rPr>
          <w:rFonts w:ascii="Verdana" w:hAnsi="Verdana" w:cs="Arial"/>
          <w:sz w:val="22"/>
          <w:szCs w:val="22"/>
          <w:lang w:val="es-CO"/>
        </w:rPr>
        <w:lastRenderedPageBreak/>
        <w:t xml:space="preserve">2021, para un total de diez (10) polígonos, de los cuales 4 mantendrán los mismos </w:t>
      </w:r>
      <w:r w:rsidR="003675E8" w:rsidRPr="00B966C6">
        <w:rPr>
          <w:rFonts w:ascii="Verdana" w:hAnsi="Verdana" w:cs="Arial"/>
          <w:sz w:val="22"/>
          <w:szCs w:val="22"/>
          <w:lang w:val="es-CO"/>
        </w:rPr>
        <w:t xml:space="preserve">límites de los </w:t>
      </w:r>
      <w:r w:rsidRPr="00B966C6">
        <w:rPr>
          <w:rFonts w:ascii="Verdana" w:hAnsi="Verdana" w:cs="Arial"/>
          <w:sz w:val="22"/>
          <w:szCs w:val="22"/>
          <w:lang w:val="es-CO"/>
        </w:rPr>
        <w:t>polígonos</w:t>
      </w:r>
      <w:r w:rsidR="003675E8" w:rsidRPr="00B966C6">
        <w:rPr>
          <w:rFonts w:ascii="Verdana" w:hAnsi="Verdana" w:cs="Arial"/>
          <w:sz w:val="22"/>
          <w:szCs w:val="22"/>
          <w:lang w:val="es-CO"/>
        </w:rPr>
        <w:t xml:space="preserve">, 4 sufrieron modificaciones por ampliación y disminución y 1 área fue divida en 2 polígonos, esto derivado de los diferentes análisis técnicos para el diseño de las áreas por parte de las Corporaciones Autónomas Regionales, de conformidad con el archivo geográfico en </w:t>
      </w:r>
      <w:r w:rsidR="003675E8" w:rsidRPr="00B966C6">
        <w:rPr>
          <w:rFonts w:ascii="Verdana" w:hAnsi="Verdana" w:cs="Arial"/>
          <w:i/>
          <w:iCs/>
          <w:sz w:val="22"/>
          <w:szCs w:val="22"/>
          <w:lang w:val="es-CO"/>
        </w:rPr>
        <w:t>formato .shape que</w:t>
      </w:r>
      <w:r w:rsidR="003675E8" w:rsidRPr="00B966C6">
        <w:rPr>
          <w:rFonts w:ascii="Verdana" w:hAnsi="Verdana" w:cs="Arial"/>
          <w:sz w:val="22"/>
          <w:szCs w:val="22"/>
          <w:lang w:val="es-CO"/>
        </w:rPr>
        <w:t xml:space="preserve"> se anexa al presente acto administrativo.</w:t>
      </w:r>
    </w:p>
    <w:p w14:paraId="3992E90B" w14:textId="77777777" w:rsidR="00DC5E21" w:rsidRPr="00B966C6" w:rsidRDefault="00DC5E21" w:rsidP="00691E92">
      <w:pPr>
        <w:ind w:left="-284"/>
        <w:jc w:val="both"/>
        <w:rPr>
          <w:rFonts w:ascii="Verdana" w:hAnsi="Verdana" w:cs="Arial"/>
          <w:sz w:val="22"/>
          <w:szCs w:val="22"/>
          <w:lang w:val="es-CO"/>
        </w:rPr>
      </w:pPr>
    </w:p>
    <w:p w14:paraId="3BB7DF54" w14:textId="3DD266C0" w:rsidR="000E1C01" w:rsidRPr="00B966C6" w:rsidRDefault="000E1C01" w:rsidP="000E1C01">
      <w:pPr>
        <w:ind w:left="-284"/>
        <w:jc w:val="both"/>
        <w:rPr>
          <w:rFonts w:ascii="Verdana" w:hAnsi="Verdana" w:cs="Arial"/>
          <w:sz w:val="22"/>
          <w:szCs w:val="22"/>
        </w:rPr>
      </w:pPr>
      <w:r w:rsidRPr="00B966C6">
        <w:rPr>
          <w:rFonts w:ascii="Verdana" w:hAnsi="Verdana" w:cs="Arial"/>
          <w:sz w:val="22"/>
          <w:szCs w:val="22"/>
        </w:rPr>
        <w:t>Que en mérito de lo expuesto,</w:t>
      </w:r>
    </w:p>
    <w:p w14:paraId="17FF765B" w14:textId="77777777" w:rsidR="000E1C01" w:rsidRPr="00B966C6" w:rsidRDefault="000E1C01" w:rsidP="000E1C01">
      <w:pPr>
        <w:ind w:left="-284"/>
        <w:jc w:val="both"/>
        <w:rPr>
          <w:rFonts w:ascii="Verdana" w:hAnsi="Verdana" w:cs="Arial"/>
          <w:sz w:val="22"/>
          <w:szCs w:val="22"/>
        </w:rPr>
      </w:pPr>
    </w:p>
    <w:p w14:paraId="3E6C368F" w14:textId="77777777" w:rsidR="000E1C01" w:rsidRPr="00B966C6" w:rsidRDefault="000E1C01" w:rsidP="000E1C01">
      <w:pPr>
        <w:ind w:left="-284"/>
        <w:jc w:val="both"/>
        <w:rPr>
          <w:rFonts w:ascii="Verdana" w:hAnsi="Verdana" w:cs="Arial"/>
          <w:b/>
          <w:sz w:val="22"/>
          <w:szCs w:val="22"/>
          <w:lang w:val="es-ES_tradnl"/>
        </w:rPr>
      </w:pPr>
    </w:p>
    <w:p w14:paraId="33DD144A" w14:textId="77777777" w:rsidR="00872327" w:rsidRDefault="00872327" w:rsidP="00872327">
      <w:pPr>
        <w:pStyle w:val="Textoindependiente2"/>
        <w:tabs>
          <w:tab w:val="left" w:pos="3515"/>
        </w:tabs>
        <w:spacing w:line="240" w:lineRule="auto"/>
        <w:ind w:left="-284"/>
        <w:jc w:val="center"/>
        <w:rPr>
          <w:rFonts w:ascii="Verdana" w:hAnsi="Verdana" w:cs="Arial"/>
          <w:b/>
          <w:sz w:val="22"/>
          <w:szCs w:val="22"/>
        </w:rPr>
      </w:pPr>
      <w:proofErr w:type="gramStart"/>
      <w:r w:rsidRPr="00B966C6">
        <w:rPr>
          <w:rFonts w:ascii="Verdana" w:hAnsi="Verdana" w:cs="Arial"/>
          <w:b/>
          <w:sz w:val="22"/>
          <w:szCs w:val="22"/>
        </w:rPr>
        <w:t>R  E</w:t>
      </w:r>
      <w:proofErr w:type="gramEnd"/>
      <w:r w:rsidRPr="00B966C6">
        <w:rPr>
          <w:rFonts w:ascii="Verdana" w:hAnsi="Verdana" w:cs="Arial"/>
          <w:b/>
          <w:sz w:val="22"/>
          <w:szCs w:val="22"/>
        </w:rPr>
        <w:t xml:space="preserve">  S  U  E  L  V  E</w:t>
      </w:r>
    </w:p>
    <w:p w14:paraId="20D6AA31" w14:textId="77777777" w:rsidR="006D1BDC" w:rsidRDefault="006D1BDC" w:rsidP="00872327">
      <w:pPr>
        <w:pStyle w:val="Textoindependiente2"/>
        <w:tabs>
          <w:tab w:val="left" w:pos="3515"/>
        </w:tabs>
        <w:spacing w:line="240" w:lineRule="auto"/>
        <w:ind w:left="-284"/>
        <w:jc w:val="center"/>
        <w:rPr>
          <w:rFonts w:ascii="Verdana" w:hAnsi="Verdana" w:cs="Arial"/>
          <w:b/>
          <w:sz w:val="22"/>
          <w:szCs w:val="22"/>
        </w:rPr>
      </w:pPr>
    </w:p>
    <w:p w14:paraId="09DD371E" w14:textId="77777777" w:rsidR="006D1BDC" w:rsidRPr="00B966C6" w:rsidRDefault="006D1BDC" w:rsidP="00872327">
      <w:pPr>
        <w:pStyle w:val="Textoindependiente2"/>
        <w:tabs>
          <w:tab w:val="left" w:pos="3515"/>
        </w:tabs>
        <w:spacing w:line="240" w:lineRule="auto"/>
        <w:ind w:left="-284"/>
        <w:jc w:val="center"/>
        <w:rPr>
          <w:rFonts w:ascii="Verdana" w:hAnsi="Verdana" w:cs="Arial"/>
          <w:b/>
          <w:sz w:val="22"/>
          <w:szCs w:val="22"/>
        </w:rPr>
      </w:pPr>
    </w:p>
    <w:p w14:paraId="4DA58BF8" w14:textId="77777777" w:rsidR="00674FA3" w:rsidRPr="00B966C6" w:rsidRDefault="00674FA3" w:rsidP="00A01C64">
      <w:pPr>
        <w:ind w:right="80"/>
        <w:jc w:val="both"/>
        <w:rPr>
          <w:rFonts w:ascii="Verdana" w:eastAsia="Arial" w:hAnsi="Verdana" w:cs="Arial"/>
          <w:b/>
          <w:spacing w:val="-5"/>
          <w:sz w:val="22"/>
          <w:szCs w:val="22"/>
          <w:lang w:val="es-CO"/>
        </w:rPr>
      </w:pPr>
    </w:p>
    <w:p w14:paraId="47DC3AA9" w14:textId="10B9E7AA" w:rsidR="00674FA3" w:rsidRDefault="00674FA3" w:rsidP="00674FA3">
      <w:pPr>
        <w:ind w:left="-284"/>
        <w:jc w:val="both"/>
        <w:rPr>
          <w:rFonts w:ascii="Verdana" w:hAnsi="Verdana" w:cs="Arial"/>
          <w:sz w:val="22"/>
          <w:szCs w:val="22"/>
          <w:lang w:val="es-CO"/>
        </w:rPr>
      </w:pPr>
      <w:r w:rsidRPr="00B966C6">
        <w:rPr>
          <w:rFonts w:ascii="Verdana" w:hAnsi="Verdana" w:cs="Arial"/>
          <w:b/>
          <w:sz w:val="22"/>
          <w:szCs w:val="22"/>
          <w:lang w:val="es-CO"/>
        </w:rPr>
        <w:t xml:space="preserve">Artículo 1.- Prórroga. </w:t>
      </w:r>
      <w:r w:rsidRPr="00B966C6">
        <w:rPr>
          <w:rFonts w:ascii="Verdana" w:hAnsi="Verdana" w:cs="Arial"/>
          <w:sz w:val="22"/>
          <w:szCs w:val="22"/>
          <w:lang w:val="es-CO"/>
        </w:rPr>
        <w:t>Prorrogar por el término de dos (2) años, contados a partir de la expedición del presente acto administrativo, los efectos jurídicos de las zonas de protección y desarrollo de los recursos naturales renovables y del medio ambiente, de acuerdo con los límites establecidos en las Resoluciones 1814 de 2015 de este Ministerio modificada por las Resoluciones 2157 de 2017, 1987 de 2018, 1675 de 2019 y 1125 de 2021, para los polígonos identificados así:</w:t>
      </w:r>
    </w:p>
    <w:p w14:paraId="1722CCC6" w14:textId="77777777" w:rsidR="006D1BDC" w:rsidRPr="00B966C6" w:rsidRDefault="006D1BDC" w:rsidP="00674FA3">
      <w:pPr>
        <w:ind w:left="-284"/>
        <w:jc w:val="both"/>
        <w:rPr>
          <w:rFonts w:ascii="Verdana" w:hAnsi="Verdana" w:cs="Arial"/>
          <w:sz w:val="22"/>
          <w:szCs w:val="22"/>
          <w:lang w:val="es-CO"/>
        </w:rPr>
      </w:pPr>
    </w:p>
    <w:p w14:paraId="66C349A6" w14:textId="77777777" w:rsidR="00674FA3" w:rsidRPr="00B966C6" w:rsidRDefault="00674FA3" w:rsidP="00674FA3">
      <w:pPr>
        <w:ind w:left="-284"/>
        <w:jc w:val="both"/>
        <w:rPr>
          <w:rFonts w:ascii="Verdana" w:hAnsi="Verdana" w:cs="Arial"/>
          <w:sz w:val="22"/>
          <w:szCs w:val="22"/>
          <w:lang w:val="es-CO"/>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962"/>
        <w:gridCol w:w="3183"/>
        <w:gridCol w:w="1905"/>
        <w:gridCol w:w="2154"/>
      </w:tblGrid>
      <w:tr w:rsidR="00674FA3" w:rsidRPr="00B966C6" w14:paraId="753A33E7" w14:textId="77777777" w:rsidTr="00B966C6">
        <w:trPr>
          <w:trHeight w:val="288"/>
          <w:jc w:val="center"/>
        </w:trPr>
        <w:tc>
          <w:tcPr>
            <w:tcW w:w="1066" w:type="pct"/>
            <w:shd w:val="clear" w:color="000000" w:fill="BFBFBF"/>
            <w:noWrap/>
            <w:vAlign w:val="center"/>
            <w:hideMark/>
          </w:tcPr>
          <w:p w14:paraId="313FD6C5" w14:textId="77777777" w:rsidR="00674FA3" w:rsidRPr="00B966C6" w:rsidRDefault="00674FA3" w:rsidP="00674FA3">
            <w:pPr>
              <w:jc w:val="center"/>
              <w:rPr>
                <w:rFonts w:ascii="Verdana" w:hAnsi="Verdana" w:cs="Calibri"/>
                <w:b/>
                <w:bCs/>
                <w:color w:val="000000"/>
                <w:sz w:val="18"/>
                <w:szCs w:val="18"/>
                <w:lang w:val="es-CO" w:eastAsia="es-CO"/>
              </w:rPr>
            </w:pPr>
            <w:r w:rsidRPr="00B966C6">
              <w:rPr>
                <w:rFonts w:ascii="Verdana" w:hAnsi="Verdana" w:cs="Calibri"/>
                <w:b/>
                <w:bCs/>
                <w:color w:val="000000"/>
                <w:sz w:val="18"/>
                <w:szCs w:val="18"/>
                <w:lang w:val="es-CO" w:eastAsia="es-CO"/>
              </w:rPr>
              <w:t>Polígono Número</w:t>
            </w:r>
          </w:p>
        </w:tc>
        <w:tc>
          <w:tcPr>
            <w:tcW w:w="1729" w:type="pct"/>
            <w:shd w:val="clear" w:color="000000" w:fill="BFBFBF"/>
            <w:noWrap/>
            <w:vAlign w:val="center"/>
            <w:hideMark/>
          </w:tcPr>
          <w:p w14:paraId="791F1F5A" w14:textId="77777777" w:rsidR="00674FA3" w:rsidRPr="00B966C6" w:rsidRDefault="00674FA3" w:rsidP="00674FA3">
            <w:pPr>
              <w:jc w:val="center"/>
              <w:rPr>
                <w:rFonts w:ascii="Verdana" w:hAnsi="Verdana" w:cs="Calibri"/>
                <w:b/>
                <w:bCs/>
                <w:color w:val="000000"/>
                <w:sz w:val="18"/>
                <w:szCs w:val="18"/>
                <w:lang w:val="es-CO" w:eastAsia="es-CO"/>
              </w:rPr>
            </w:pPr>
            <w:r w:rsidRPr="00B966C6">
              <w:rPr>
                <w:rFonts w:ascii="Verdana" w:hAnsi="Verdana" w:cs="Calibri"/>
                <w:b/>
                <w:bCs/>
                <w:color w:val="000000"/>
                <w:sz w:val="18"/>
                <w:szCs w:val="18"/>
                <w:lang w:val="es-CO" w:eastAsia="es-CO"/>
              </w:rPr>
              <w:t>Nombre del Área</w:t>
            </w:r>
          </w:p>
        </w:tc>
        <w:tc>
          <w:tcPr>
            <w:tcW w:w="1034" w:type="pct"/>
            <w:shd w:val="clear" w:color="000000" w:fill="BFBFBF"/>
            <w:noWrap/>
            <w:vAlign w:val="center"/>
            <w:hideMark/>
          </w:tcPr>
          <w:p w14:paraId="3A02AD17" w14:textId="77777777" w:rsidR="00674FA3" w:rsidRPr="00B966C6" w:rsidRDefault="00674FA3" w:rsidP="00674FA3">
            <w:pPr>
              <w:jc w:val="center"/>
              <w:rPr>
                <w:rFonts w:ascii="Verdana" w:hAnsi="Verdana" w:cs="Calibri"/>
                <w:b/>
                <w:bCs/>
                <w:color w:val="000000"/>
                <w:sz w:val="18"/>
                <w:szCs w:val="18"/>
                <w:lang w:val="es-CO" w:eastAsia="es-CO"/>
              </w:rPr>
            </w:pPr>
            <w:r w:rsidRPr="00B966C6">
              <w:rPr>
                <w:rFonts w:ascii="Verdana" w:hAnsi="Verdana" w:cs="Calibri"/>
                <w:b/>
                <w:bCs/>
                <w:color w:val="000000"/>
                <w:sz w:val="18"/>
                <w:szCs w:val="18"/>
                <w:lang w:val="es-CO" w:eastAsia="es-CO"/>
              </w:rPr>
              <w:t>Corporación</w:t>
            </w:r>
          </w:p>
        </w:tc>
        <w:tc>
          <w:tcPr>
            <w:tcW w:w="1170" w:type="pct"/>
            <w:shd w:val="clear" w:color="000000" w:fill="BFBFBF"/>
            <w:noWrap/>
            <w:vAlign w:val="center"/>
            <w:hideMark/>
          </w:tcPr>
          <w:p w14:paraId="13B72CB1" w14:textId="77777777" w:rsidR="00674FA3" w:rsidRPr="00B966C6" w:rsidRDefault="00674FA3" w:rsidP="00674FA3">
            <w:pPr>
              <w:jc w:val="center"/>
              <w:rPr>
                <w:rFonts w:ascii="Verdana" w:hAnsi="Verdana" w:cs="Calibri"/>
                <w:b/>
                <w:bCs/>
                <w:color w:val="000000"/>
                <w:sz w:val="18"/>
                <w:szCs w:val="18"/>
                <w:lang w:val="es-CO" w:eastAsia="es-CO"/>
              </w:rPr>
            </w:pPr>
            <w:r w:rsidRPr="00B966C6">
              <w:rPr>
                <w:rFonts w:ascii="Verdana" w:hAnsi="Verdana" w:cs="Calibri"/>
                <w:b/>
                <w:bCs/>
                <w:color w:val="000000"/>
                <w:sz w:val="18"/>
                <w:szCs w:val="18"/>
                <w:lang w:val="es-CO" w:eastAsia="es-CO"/>
              </w:rPr>
              <w:t>Área (ha)</w:t>
            </w:r>
          </w:p>
        </w:tc>
      </w:tr>
      <w:tr w:rsidR="00674FA3" w:rsidRPr="00B966C6" w14:paraId="294FA9DA" w14:textId="77777777" w:rsidTr="00B966C6">
        <w:trPr>
          <w:trHeight w:val="300"/>
          <w:jc w:val="center"/>
        </w:trPr>
        <w:tc>
          <w:tcPr>
            <w:tcW w:w="1066" w:type="pct"/>
            <w:shd w:val="clear" w:color="auto" w:fill="auto"/>
            <w:noWrap/>
            <w:vAlign w:val="center"/>
            <w:hideMark/>
          </w:tcPr>
          <w:p w14:paraId="54E60832" w14:textId="77777777" w:rsidR="00674FA3" w:rsidRPr="00B966C6" w:rsidRDefault="00674FA3" w:rsidP="00674FA3">
            <w:pPr>
              <w:jc w:val="center"/>
              <w:rPr>
                <w:rFonts w:ascii="Verdana" w:hAnsi="Verdana" w:cs="Calibri"/>
                <w:color w:val="000000"/>
                <w:sz w:val="18"/>
                <w:szCs w:val="18"/>
                <w:lang w:val="es-CO" w:eastAsia="es-CO"/>
              </w:rPr>
            </w:pPr>
            <w:r w:rsidRPr="00B966C6">
              <w:rPr>
                <w:rFonts w:ascii="Verdana" w:hAnsi="Verdana" w:cs="Calibri"/>
                <w:color w:val="000000"/>
                <w:sz w:val="18"/>
                <w:szCs w:val="18"/>
                <w:lang w:val="es-CO" w:eastAsia="es-CO"/>
              </w:rPr>
              <w:t>3</w:t>
            </w:r>
          </w:p>
        </w:tc>
        <w:tc>
          <w:tcPr>
            <w:tcW w:w="1729" w:type="pct"/>
            <w:shd w:val="clear" w:color="auto" w:fill="auto"/>
            <w:noWrap/>
            <w:vAlign w:val="center"/>
            <w:hideMark/>
          </w:tcPr>
          <w:p w14:paraId="17D559EE" w14:textId="77777777" w:rsidR="00674FA3" w:rsidRPr="00B966C6" w:rsidRDefault="00674FA3" w:rsidP="00674FA3">
            <w:pPr>
              <w:jc w:val="center"/>
              <w:rPr>
                <w:rFonts w:ascii="Verdana" w:hAnsi="Verdana" w:cs="Calibri"/>
                <w:color w:val="000000"/>
                <w:sz w:val="18"/>
                <w:szCs w:val="18"/>
                <w:lang w:val="es-CO" w:eastAsia="es-CO"/>
              </w:rPr>
            </w:pPr>
            <w:r w:rsidRPr="00B966C6">
              <w:rPr>
                <w:rFonts w:ascii="Verdana" w:hAnsi="Verdana" w:cs="Calibri"/>
                <w:color w:val="000000"/>
                <w:sz w:val="18"/>
                <w:szCs w:val="18"/>
                <w:lang w:val="es-CO" w:eastAsia="es-CO"/>
              </w:rPr>
              <w:t xml:space="preserve">Relictos de Caoba de Jurado </w:t>
            </w:r>
          </w:p>
        </w:tc>
        <w:tc>
          <w:tcPr>
            <w:tcW w:w="1034" w:type="pct"/>
            <w:shd w:val="clear" w:color="auto" w:fill="auto"/>
            <w:noWrap/>
            <w:vAlign w:val="center"/>
            <w:hideMark/>
          </w:tcPr>
          <w:p w14:paraId="6EE7CB49" w14:textId="77777777" w:rsidR="00674FA3" w:rsidRPr="00B966C6" w:rsidRDefault="00674FA3" w:rsidP="00674FA3">
            <w:pPr>
              <w:jc w:val="center"/>
              <w:rPr>
                <w:rFonts w:ascii="Verdana" w:hAnsi="Verdana" w:cs="Calibri"/>
                <w:color w:val="000000"/>
                <w:sz w:val="18"/>
                <w:szCs w:val="18"/>
                <w:lang w:val="es-CO" w:eastAsia="es-CO"/>
              </w:rPr>
            </w:pPr>
            <w:r w:rsidRPr="00B966C6">
              <w:rPr>
                <w:rFonts w:ascii="Verdana" w:hAnsi="Verdana" w:cs="Calibri"/>
                <w:color w:val="000000"/>
                <w:sz w:val="18"/>
                <w:szCs w:val="18"/>
                <w:lang w:val="es-CO" w:eastAsia="es-CO"/>
              </w:rPr>
              <w:t xml:space="preserve">CODECHOCÓ </w:t>
            </w:r>
          </w:p>
        </w:tc>
        <w:tc>
          <w:tcPr>
            <w:tcW w:w="1170" w:type="pct"/>
            <w:shd w:val="clear" w:color="auto" w:fill="auto"/>
            <w:noWrap/>
            <w:vAlign w:val="center"/>
            <w:hideMark/>
          </w:tcPr>
          <w:p w14:paraId="4D6EA8D4" w14:textId="77777777" w:rsidR="00674FA3" w:rsidRPr="00B966C6" w:rsidRDefault="00674FA3" w:rsidP="00674FA3">
            <w:pPr>
              <w:jc w:val="center"/>
              <w:rPr>
                <w:rFonts w:ascii="Verdana" w:hAnsi="Verdana" w:cs="Calibri"/>
                <w:color w:val="000000"/>
                <w:sz w:val="18"/>
                <w:szCs w:val="18"/>
                <w:lang w:val="es-CO" w:eastAsia="es-CO"/>
              </w:rPr>
            </w:pPr>
            <w:r w:rsidRPr="00B966C6">
              <w:rPr>
                <w:rFonts w:ascii="Verdana" w:hAnsi="Verdana" w:cs="Calibri"/>
                <w:color w:val="000000"/>
                <w:sz w:val="18"/>
                <w:szCs w:val="18"/>
                <w:lang w:val="es-CO" w:eastAsia="es-CO"/>
              </w:rPr>
              <w:t>67.025,46</w:t>
            </w:r>
          </w:p>
        </w:tc>
      </w:tr>
      <w:tr w:rsidR="00674FA3" w:rsidRPr="00B966C6" w14:paraId="5CBD1FE6" w14:textId="77777777" w:rsidTr="00B966C6">
        <w:trPr>
          <w:trHeight w:val="300"/>
          <w:jc w:val="center"/>
        </w:trPr>
        <w:tc>
          <w:tcPr>
            <w:tcW w:w="1066" w:type="pct"/>
            <w:shd w:val="clear" w:color="auto" w:fill="auto"/>
            <w:noWrap/>
            <w:vAlign w:val="center"/>
            <w:hideMark/>
          </w:tcPr>
          <w:p w14:paraId="7033EC0E" w14:textId="77777777" w:rsidR="00674FA3" w:rsidRPr="00B966C6" w:rsidRDefault="00674FA3" w:rsidP="00674FA3">
            <w:pPr>
              <w:jc w:val="center"/>
              <w:rPr>
                <w:rFonts w:ascii="Verdana" w:hAnsi="Verdana" w:cs="Calibri"/>
                <w:color w:val="000000"/>
                <w:sz w:val="18"/>
                <w:szCs w:val="18"/>
                <w:lang w:val="es-CO" w:eastAsia="es-CO"/>
              </w:rPr>
            </w:pPr>
            <w:r w:rsidRPr="00B966C6">
              <w:rPr>
                <w:rFonts w:ascii="Verdana" w:hAnsi="Verdana" w:cs="Calibri"/>
                <w:color w:val="000000"/>
                <w:sz w:val="18"/>
                <w:szCs w:val="18"/>
                <w:lang w:val="es-ES_tradnl" w:eastAsia="es-CO"/>
              </w:rPr>
              <w:t>8</w:t>
            </w:r>
          </w:p>
        </w:tc>
        <w:tc>
          <w:tcPr>
            <w:tcW w:w="1729" w:type="pct"/>
            <w:shd w:val="clear" w:color="auto" w:fill="auto"/>
            <w:noWrap/>
            <w:vAlign w:val="center"/>
            <w:hideMark/>
          </w:tcPr>
          <w:p w14:paraId="12F3C974" w14:textId="77777777" w:rsidR="00674FA3" w:rsidRPr="00B966C6" w:rsidRDefault="00674FA3" w:rsidP="00674FA3">
            <w:pPr>
              <w:jc w:val="center"/>
              <w:rPr>
                <w:rFonts w:ascii="Verdana" w:hAnsi="Verdana" w:cs="Calibri"/>
                <w:color w:val="000000"/>
                <w:sz w:val="18"/>
                <w:szCs w:val="18"/>
                <w:lang w:val="es-CO" w:eastAsia="es-CO"/>
              </w:rPr>
            </w:pPr>
            <w:r w:rsidRPr="00B966C6">
              <w:rPr>
                <w:rFonts w:ascii="Verdana" w:hAnsi="Verdana" w:cs="Calibri"/>
                <w:color w:val="000000"/>
                <w:sz w:val="18"/>
                <w:szCs w:val="18"/>
                <w:lang w:val="es-ES_tradnl" w:eastAsia="es-CO"/>
              </w:rPr>
              <w:t>Bajo Cauca Nechi</w:t>
            </w:r>
          </w:p>
        </w:tc>
        <w:tc>
          <w:tcPr>
            <w:tcW w:w="1034" w:type="pct"/>
            <w:shd w:val="clear" w:color="auto" w:fill="auto"/>
            <w:noWrap/>
            <w:vAlign w:val="center"/>
            <w:hideMark/>
          </w:tcPr>
          <w:p w14:paraId="2D841E11" w14:textId="77777777" w:rsidR="00674FA3" w:rsidRPr="00B966C6" w:rsidRDefault="00674FA3" w:rsidP="00674FA3">
            <w:pPr>
              <w:jc w:val="center"/>
              <w:rPr>
                <w:rFonts w:ascii="Verdana" w:hAnsi="Verdana" w:cs="Calibri"/>
                <w:color w:val="000000"/>
                <w:sz w:val="18"/>
                <w:szCs w:val="18"/>
                <w:lang w:val="es-CO" w:eastAsia="es-CO"/>
              </w:rPr>
            </w:pPr>
            <w:r w:rsidRPr="00B966C6">
              <w:rPr>
                <w:rFonts w:ascii="Verdana" w:hAnsi="Verdana" w:cs="Calibri"/>
                <w:color w:val="000000"/>
                <w:sz w:val="18"/>
                <w:szCs w:val="18"/>
                <w:lang w:val="es-ES_tradnl" w:eastAsia="es-CO"/>
              </w:rPr>
              <w:t>CORANTIOQUIA</w:t>
            </w:r>
          </w:p>
        </w:tc>
        <w:tc>
          <w:tcPr>
            <w:tcW w:w="1170" w:type="pct"/>
            <w:shd w:val="clear" w:color="auto" w:fill="auto"/>
            <w:noWrap/>
            <w:vAlign w:val="center"/>
            <w:hideMark/>
          </w:tcPr>
          <w:p w14:paraId="40822B1F" w14:textId="77777777" w:rsidR="00674FA3" w:rsidRPr="00B966C6" w:rsidRDefault="00674FA3" w:rsidP="00674FA3">
            <w:pPr>
              <w:jc w:val="center"/>
              <w:rPr>
                <w:rFonts w:ascii="Verdana" w:hAnsi="Verdana" w:cs="Calibri"/>
                <w:color w:val="000000"/>
                <w:sz w:val="18"/>
                <w:szCs w:val="18"/>
                <w:lang w:val="es-CO" w:eastAsia="es-CO"/>
              </w:rPr>
            </w:pPr>
            <w:r w:rsidRPr="00B966C6">
              <w:rPr>
                <w:rFonts w:ascii="Verdana" w:hAnsi="Verdana" w:cs="Calibri"/>
                <w:color w:val="000000"/>
                <w:sz w:val="18"/>
                <w:szCs w:val="18"/>
                <w:lang w:val="es-CO" w:eastAsia="es-CO"/>
              </w:rPr>
              <w:t>75.815,61</w:t>
            </w:r>
          </w:p>
        </w:tc>
      </w:tr>
      <w:tr w:rsidR="00674FA3" w:rsidRPr="00B966C6" w14:paraId="73CE30D4" w14:textId="77777777" w:rsidTr="00B966C6">
        <w:trPr>
          <w:trHeight w:val="300"/>
          <w:jc w:val="center"/>
        </w:trPr>
        <w:tc>
          <w:tcPr>
            <w:tcW w:w="1066" w:type="pct"/>
            <w:shd w:val="clear" w:color="auto" w:fill="auto"/>
            <w:noWrap/>
            <w:vAlign w:val="center"/>
            <w:hideMark/>
          </w:tcPr>
          <w:p w14:paraId="5E7D9A03" w14:textId="77777777" w:rsidR="00674FA3" w:rsidRPr="00B966C6" w:rsidRDefault="00674FA3" w:rsidP="00674FA3">
            <w:pPr>
              <w:jc w:val="center"/>
              <w:rPr>
                <w:rFonts w:ascii="Verdana" w:hAnsi="Verdana" w:cs="Calibri"/>
                <w:color w:val="000000"/>
                <w:sz w:val="18"/>
                <w:szCs w:val="18"/>
                <w:lang w:val="es-CO" w:eastAsia="es-CO"/>
              </w:rPr>
            </w:pPr>
            <w:r w:rsidRPr="00B966C6">
              <w:rPr>
                <w:rFonts w:ascii="Verdana" w:hAnsi="Verdana" w:cs="Calibri"/>
                <w:color w:val="000000"/>
                <w:sz w:val="18"/>
                <w:szCs w:val="18"/>
                <w:lang w:val="es-ES_tradnl" w:eastAsia="es-CO"/>
              </w:rPr>
              <w:t>17</w:t>
            </w:r>
          </w:p>
        </w:tc>
        <w:tc>
          <w:tcPr>
            <w:tcW w:w="1729" w:type="pct"/>
            <w:shd w:val="clear" w:color="auto" w:fill="auto"/>
            <w:noWrap/>
            <w:vAlign w:val="center"/>
            <w:hideMark/>
          </w:tcPr>
          <w:p w14:paraId="138A4EAB" w14:textId="77777777" w:rsidR="00674FA3" w:rsidRPr="00B966C6" w:rsidRDefault="00674FA3" w:rsidP="00674FA3">
            <w:pPr>
              <w:jc w:val="center"/>
              <w:rPr>
                <w:rFonts w:ascii="Verdana" w:hAnsi="Verdana" w:cs="Calibri"/>
                <w:color w:val="000000"/>
                <w:sz w:val="18"/>
                <w:szCs w:val="18"/>
                <w:lang w:val="es-CO" w:eastAsia="es-CO"/>
              </w:rPr>
            </w:pPr>
            <w:r w:rsidRPr="00B966C6">
              <w:rPr>
                <w:rFonts w:ascii="Verdana" w:hAnsi="Verdana" w:cs="Calibri"/>
                <w:color w:val="000000"/>
                <w:sz w:val="18"/>
                <w:szCs w:val="18"/>
                <w:lang w:val="es-ES_tradnl" w:eastAsia="es-CO"/>
              </w:rPr>
              <w:t>Los Limones</w:t>
            </w:r>
          </w:p>
        </w:tc>
        <w:tc>
          <w:tcPr>
            <w:tcW w:w="1034" w:type="pct"/>
            <w:shd w:val="clear" w:color="auto" w:fill="auto"/>
            <w:noWrap/>
            <w:vAlign w:val="center"/>
            <w:hideMark/>
          </w:tcPr>
          <w:p w14:paraId="3BF8A6FA" w14:textId="77777777" w:rsidR="00674FA3" w:rsidRPr="00B966C6" w:rsidRDefault="00674FA3" w:rsidP="00674FA3">
            <w:pPr>
              <w:jc w:val="center"/>
              <w:rPr>
                <w:rFonts w:ascii="Verdana" w:hAnsi="Verdana" w:cs="Calibri"/>
                <w:color w:val="000000"/>
                <w:sz w:val="18"/>
                <w:szCs w:val="18"/>
                <w:lang w:val="es-CO" w:eastAsia="es-CO"/>
              </w:rPr>
            </w:pPr>
            <w:r w:rsidRPr="00B966C6">
              <w:rPr>
                <w:rFonts w:ascii="Verdana" w:hAnsi="Verdana" w:cs="Calibri"/>
                <w:color w:val="000000"/>
                <w:sz w:val="18"/>
                <w:szCs w:val="18"/>
                <w:lang w:val="es-ES_tradnl" w:eastAsia="es-CO"/>
              </w:rPr>
              <w:t>CORTOLIMA</w:t>
            </w:r>
          </w:p>
        </w:tc>
        <w:tc>
          <w:tcPr>
            <w:tcW w:w="1170" w:type="pct"/>
            <w:shd w:val="clear" w:color="auto" w:fill="auto"/>
            <w:noWrap/>
            <w:vAlign w:val="center"/>
            <w:hideMark/>
          </w:tcPr>
          <w:p w14:paraId="4D2A88C8" w14:textId="77777777" w:rsidR="00674FA3" w:rsidRPr="00B966C6" w:rsidRDefault="00674FA3" w:rsidP="00674FA3">
            <w:pPr>
              <w:jc w:val="center"/>
              <w:rPr>
                <w:rFonts w:ascii="Verdana" w:hAnsi="Verdana" w:cs="Calibri"/>
                <w:color w:val="000000"/>
                <w:sz w:val="18"/>
                <w:szCs w:val="18"/>
                <w:lang w:val="es-CO" w:eastAsia="es-CO"/>
              </w:rPr>
            </w:pPr>
            <w:r w:rsidRPr="00B966C6">
              <w:rPr>
                <w:rFonts w:ascii="Verdana" w:hAnsi="Verdana" w:cs="Calibri"/>
                <w:color w:val="000000"/>
                <w:sz w:val="18"/>
                <w:szCs w:val="18"/>
                <w:lang w:val="es-CO" w:eastAsia="es-CO"/>
              </w:rPr>
              <w:t>1.456,26</w:t>
            </w:r>
          </w:p>
        </w:tc>
      </w:tr>
      <w:tr w:rsidR="00674FA3" w:rsidRPr="00B966C6" w14:paraId="0F53F9DB" w14:textId="77777777" w:rsidTr="00B966C6">
        <w:trPr>
          <w:trHeight w:val="288"/>
          <w:jc w:val="center"/>
        </w:trPr>
        <w:tc>
          <w:tcPr>
            <w:tcW w:w="1066" w:type="pct"/>
            <w:shd w:val="clear" w:color="auto" w:fill="auto"/>
            <w:noWrap/>
            <w:vAlign w:val="center"/>
            <w:hideMark/>
          </w:tcPr>
          <w:p w14:paraId="48341C7E" w14:textId="77777777" w:rsidR="00674FA3" w:rsidRPr="00B966C6" w:rsidRDefault="00674FA3" w:rsidP="00674FA3">
            <w:pPr>
              <w:jc w:val="center"/>
              <w:rPr>
                <w:rFonts w:ascii="Verdana" w:hAnsi="Verdana" w:cs="Calibri"/>
                <w:color w:val="000000"/>
                <w:sz w:val="18"/>
                <w:szCs w:val="18"/>
                <w:lang w:val="es-CO" w:eastAsia="es-CO"/>
              </w:rPr>
            </w:pPr>
            <w:r w:rsidRPr="00B966C6">
              <w:rPr>
                <w:rFonts w:ascii="Verdana" w:hAnsi="Verdana" w:cs="Calibri"/>
                <w:color w:val="000000"/>
                <w:sz w:val="18"/>
                <w:szCs w:val="18"/>
                <w:lang w:val="es-ES_tradnl" w:eastAsia="es-CO"/>
              </w:rPr>
              <w:t>41</w:t>
            </w:r>
          </w:p>
        </w:tc>
        <w:tc>
          <w:tcPr>
            <w:tcW w:w="1729" w:type="pct"/>
            <w:shd w:val="clear" w:color="auto" w:fill="auto"/>
            <w:noWrap/>
            <w:vAlign w:val="center"/>
            <w:hideMark/>
          </w:tcPr>
          <w:p w14:paraId="1235E1C5" w14:textId="77777777" w:rsidR="00674FA3" w:rsidRPr="00B966C6" w:rsidRDefault="00674FA3" w:rsidP="00674FA3">
            <w:pPr>
              <w:jc w:val="center"/>
              <w:rPr>
                <w:rFonts w:ascii="Verdana" w:hAnsi="Verdana" w:cs="Calibri"/>
                <w:color w:val="000000"/>
                <w:sz w:val="18"/>
                <w:szCs w:val="18"/>
                <w:lang w:val="es-CO" w:eastAsia="es-CO"/>
              </w:rPr>
            </w:pPr>
            <w:r w:rsidRPr="00B966C6">
              <w:rPr>
                <w:rFonts w:ascii="Verdana" w:hAnsi="Verdana" w:cs="Calibri"/>
                <w:color w:val="000000"/>
                <w:sz w:val="18"/>
                <w:szCs w:val="18"/>
                <w:lang w:val="es-ES_tradnl" w:eastAsia="es-CO"/>
              </w:rPr>
              <w:t>Bahía Honda - Hondita</w:t>
            </w:r>
          </w:p>
        </w:tc>
        <w:tc>
          <w:tcPr>
            <w:tcW w:w="1034" w:type="pct"/>
            <w:shd w:val="clear" w:color="auto" w:fill="auto"/>
            <w:noWrap/>
            <w:vAlign w:val="center"/>
            <w:hideMark/>
          </w:tcPr>
          <w:p w14:paraId="38230DCC" w14:textId="77777777" w:rsidR="00674FA3" w:rsidRPr="00B966C6" w:rsidRDefault="00674FA3" w:rsidP="00674FA3">
            <w:pPr>
              <w:jc w:val="center"/>
              <w:rPr>
                <w:rFonts w:ascii="Verdana" w:hAnsi="Verdana" w:cs="Calibri"/>
                <w:color w:val="000000"/>
                <w:sz w:val="18"/>
                <w:szCs w:val="18"/>
                <w:lang w:val="es-CO" w:eastAsia="es-CO"/>
              </w:rPr>
            </w:pPr>
            <w:r w:rsidRPr="00B966C6">
              <w:rPr>
                <w:rFonts w:ascii="Verdana" w:hAnsi="Verdana" w:cs="Calibri"/>
                <w:color w:val="000000"/>
                <w:sz w:val="18"/>
                <w:szCs w:val="18"/>
                <w:lang w:val="es-ES_tradnl" w:eastAsia="es-CO"/>
              </w:rPr>
              <w:t>CORPOGUAJIRA</w:t>
            </w:r>
          </w:p>
        </w:tc>
        <w:tc>
          <w:tcPr>
            <w:tcW w:w="1170" w:type="pct"/>
            <w:shd w:val="clear" w:color="auto" w:fill="auto"/>
            <w:noWrap/>
            <w:vAlign w:val="center"/>
            <w:hideMark/>
          </w:tcPr>
          <w:p w14:paraId="33D50CAC" w14:textId="77777777" w:rsidR="00674FA3" w:rsidRPr="00B966C6" w:rsidRDefault="00674FA3" w:rsidP="00674FA3">
            <w:pPr>
              <w:jc w:val="center"/>
              <w:rPr>
                <w:rFonts w:ascii="Verdana" w:hAnsi="Verdana" w:cs="Calibri"/>
                <w:color w:val="000000"/>
                <w:sz w:val="18"/>
                <w:szCs w:val="18"/>
                <w:lang w:val="es-CO" w:eastAsia="es-CO"/>
              </w:rPr>
            </w:pPr>
            <w:r w:rsidRPr="00B966C6">
              <w:rPr>
                <w:rFonts w:ascii="Verdana" w:hAnsi="Verdana" w:cs="Calibri"/>
                <w:color w:val="000000"/>
                <w:sz w:val="18"/>
                <w:szCs w:val="18"/>
                <w:lang w:val="es-CO" w:eastAsia="es-CO"/>
              </w:rPr>
              <w:t>36.594,53</w:t>
            </w:r>
          </w:p>
        </w:tc>
      </w:tr>
      <w:tr w:rsidR="00674FA3" w:rsidRPr="00B966C6" w14:paraId="2F84AA88" w14:textId="77777777" w:rsidTr="00B966C6">
        <w:trPr>
          <w:trHeight w:val="288"/>
          <w:jc w:val="center"/>
        </w:trPr>
        <w:tc>
          <w:tcPr>
            <w:tcW w:w="3830" w:type="pct"/>
            <w:gridSpan w:val="3"/>
            <w:shd w:val="clear" w:color="000000" w:fill="BFBFBF"/>
            <w:noWrap/>
            <w:vAlign w:val="center"/>
            <w:hideMark/>
          </w:tcPr>
          <w:p w14:paraId="23A4F218" w14:textId="77777777" w:rsidR="00674FA3" w:rsidRPr="00B966C6" w:rsidRDefault="00674FA3" w:rsidP="00674FA3">
            <w:pPr>
              <w:jc w:val="center"/>
              <w:rPr>
                <w:rFonts w:ascii="Verdana" w:hAnsi="Verdana" w:cs="Calibri"/>
                <w:b/>
                <w:bCs/>
                <w:color w:val="000000"/>
                <w:sz w:val="18"/>
                <w:szCs w:val="18"/>
                <w:lang w:val="es-CO" w:eastAsia="es-CO"/>
              </w:rPr>
            </w:pPr>
            <w:r w:rsidRPr="00B966C6">
              <w:rPr>
                <w:rFonts w:ascii="Verdana" w:hAnsi="Verdana" w:cs="Calibri"/>
                <w:b/>
                <w:bCs/>
                <w:color w:val="000000"/>
                <w:sz w:val="18"/>
                <w:szCs w:val="18"/>
                <w:lang w:val="es-CO" w:eastAsia="es-CO"/>
              </w:rPr>
              <w:t>Total</w:t>
            </w:r>
          </w:p>
        </w:tc>
        <w:tc>
          <w:tcPr>
            <w:tcW w:w="1170" w:type="pct"/>
            <w:shd w:val="clear" w:color="000000" w:fill="BFBFBF"/>
            <w:noWrap/>
            <w:vAlign w:val="center"/>
            <w:hideMark/>
          </w:tcPr>
          <w:p w14:paraId="09E84AA7" w14:textId="77777777" w:rsidR="00674FA3" w:rsidRPr="00B966C6" w:rsidRDefault="00674FA3" w:rsidP="00674FA3">
            <w:pPr>
              <w:jc w:val="center"/>
              <w:rPr>
                <w:rFonts w:ascii="Verdana" w:hAnsi="Verdana" w:cs="Calibri"/>
                <w:b/>
                <w:bCs/>
                <w:color w:val="000000"/>
                <w:sz w:val="18"/>
                <w:szCs w:val="18"/>
                <w:lang w:val="es-CO" w:eastAsia="es-CO"/>
              </w:rPr>
            </w:pPr>
            <w:r w:rsidRPr="00B966C6">
              <w:rPr>
                <w:rFonts w:ascii="Verdana" w:hAnsi="Verdana" w:cs="Calibri"/>
                <w:b/>
                <w:bCs/>
                <w:color w:val="000000"/>
                <w:sz w:val="18"/>
                <w:szCs w:val="18"/>
                <w:lang w:val="es-CO" w:eastAsia="es-CO"/>
              </w:rPr>
              <w:t>180.891,86</w:t>
            </w:r>
          </w:p>
        </w:tc>
      </w:tr>
    </w:tbl>
    <w:p w14:paraId="73F9660E" w14:textId="77777777" w:rsidR="00674FA3" w:rsidRPr="00B966C6" w:rsidRDefault="00674FA3" w:rsidP="00674FA3">
      <w:pPr>
        <w:ind w:left="-284"/>
        <w:jc w:val="both"/>
        <w:rPr>
          <w:rFonts w:ascii="Verdana" w:hAnsi="Verdana" w:cs="Arial"/>
          <w:sz w:val="22"/>
          <w:szCs w:val="22"/>
          <w:lang w:val="es-CO"/>
        </w:rPr>
      </w:pPr>
    </w:p>
    <w:p w14:paraId="56C0B0E2" w14:textId="69EEFBB5" w:rsidR="00901D3C" w:rsidRPr="00B966C6" w:rsidRDefault="00674FA3" w:rsidP="00901D3C">
      <w:pPr>
        <w:ind w:left="-284"/>
        <w:jc w:val="both"/>
        <w:rPr>
          <w:rFonts w:ascii="Verdana" w:hAnsi="Verdana" w:cs="Arial"/>
          <w:sz w:val="22"/>
          <w:szCs w:val="22"/>
          <w:lang w:val="es-CO"/>
        </w:rPr>
      </w:pPr>
      <w:r w:rsidRPr="00B966C6">
        <w:rPr>
          <w:rFonts w:ascii="Verdana" w:hAnsi="Verdana" w:cs="Arial"/>
          <w:b/>
          <w:sz w:val="22"/>
          <w:szCs w:val="22"/>
          <w:lang w:val="es-CO"/>
        </w:rPr>
        <w:t>Parágrafo</w:t>
      </w:r>
      <w:r w:rsidR="00901D3C" w:rsidRPr="00B966C6">
        <w:rPr>
          <w:rFonts w:ascii="Verdana" w:hAnsi="Verdana" w:cs="Arial"/>
          <w:b/>
          <w:sz w:val="22"/>
          <w:szCs w:val="22"/>
          <w:lang w:val="es-CO"/>
        </w:rPr>
        <w:t xml:space="preserve"> 1</w:t>
      </w:r>
      <w:r w:rsidRPr="00B966C6">
        <w:rPr>
          <w:rFonts w:ascii="Verdana" w:hAnsi="Verdana" w:cs="Arial"/>
          <w:b/>
          <w:sz w:val="22"/>
          <w:szCs w:val="22"/>
          <w:lang w:val="es-CO"/>
        </w:rPr>
        <w:t xml:space="preserve">- </w:t>
      </w:r>
      <w:r w:rsidRPr="00B966C6">
        <w:rPr>
          <w:rFonts w:ascii="Verdana" w:hAnsi="Verdana" w:cs="Arial"/>
          <w:sz w:val="22"/>
          <w:szCs w:val="22"/>
          <w:lang w:val="es-CO"/>
        </w:rPr>
        <w:t xml:space="preserve">Los polígonos anteriormente relacionados suman un área de </w:t>
      </w:r>
      <w:r w:rsidRPr="00B966C6">
        <w:rPr>
          <w:rFonts w:ascii="Verdana" w:hAnsi="Verdana" w:cs="Arial"/>
          <w:b/>
          <w:sz w:val="22"/>
          <w:szCs w:val="22"/>
          <w:lang w:val="es-CO"/>
        </w:rPr>
        <w:t xml:space="preserve">180.891,86 hectáreas </w:t>
      </w:r>
      <w:r w:rsidRPr="00B966C6">
        <w:rPr>
          <w:rFonts w:ascii="Verdana" w:hAnsi="Verdana" w:cs="Arial"/>
          <w:sz w:val="22"/>
          <w:szCs w:val="22"/>
          <w:lang w:val="es-CO"/>
        </w:rPr>
        <w:t xml:space="preserve">y </w:t>
      </w:r>
      <w:r w:rsidR="00901D3C" w:rsidRPr="00B966C6">
        <w:rPr>
          <w:rFonts w:ascii="Verdana" w:hAnsi="Verdana" w:cs="Arial"/>
          <w:sz w:val="22"/>
          <w:szCs w:val="22"/>
          <w:lang w:val="es-CO"/>
        </w:rPr>
        <w:t>el archivo geográfico en formato “shape” que delimita las zonas de protección y desarrollo de los recursos naturales renovables y del medio ambiente y que se anexa a este acto administrativo y hace parte integral del mismo, fue generado mediante el software ArcGIS Pro 3.1.2.</w:t>
      </w:r>
    </w:p>
    <w:p w14:paraId="0B68A7EB" w14:textId="394EABEA" w:rsidR="00901D3C" w:rsidRPr="00B966C6" w:rsidRDefault="00901D3C" w:rsidP="00674FA3">
      <w:pPr>
        <w:ind w:left="-284"/>
        <w:jc w:val="both"/>
        <w:rPr>
          <w:rFonts w:ascii="Verdana" w:hAnsi="Verdana" w:cs="Arial"/>
          <w:sz w:val="22"/>
          <w:szCs w:val="22"/>
          <w:lang w:val="es-CO"/>
        </w:rPr>
      </w:pPr>
    </w:p>
    <w:p w14:paraId="19880B09" w14:textId="0D79E2D0" w:rsidR="00901D3C" w:rsidRPr="00B966C6" w:rsidRDefault="00901D3C" w:rsidP="00674FA3">
      <w:pPr>
        <w:ind w:left="-284"/>
        <w:jc w:val="both"/>
        <w:rPr>
          <w:rFonts w:ascii="Verdana" w:hAnsi="Verdana" w:cs="Arial"/>
          <w:sz w:val="22"/>
          <w:szCs w:val="22"/>
          <w:lang w:val="es-CO"/>
        </w:rPr>
      </w:pPr>
      <w:r w:rsidRPr="00B966C6">
        <w:rPr>
          <w:rFonts w:ascii="Verdana" w:hAnsi="Verdana" w:cs="Arial"/>
          <w:b/>
          <w:bCs/>
          <w:sz w:val="22"/>
          <w:szCs w:val="22"/>
          <w:lang w:val="es-CO"/>
        </w:rPr>
        <w:t xml:space="preserve">Parágrafo 2- </w:t>
      </w:r>
      <w:r w:rsidRPr="00B966C6">
        <w:rPr>
          <w:rFonts w:ascii="Verdana" w:hAnsi="Verdana" w:cs="Arial"/>
          <w:sz w:val="22"/>
          <w:szCs w:val="22"/>
          <w:lang w:val="es-CO"/>
        </w:rPr>
        <w:t>Que las áreas de la Resolución 1125 de 2021 fueron calculadas en el sistema de referencia MAGNA SIRGAS Origen Bogotá, sin embargo, de acuerdo con las especificaciones técnicas del literal a del numeral i de la Resolución 471 de 2020 del IGAC, las áreas calculadas en la presente resolución corresponden al Sistema de referencia horizontal MAGNA SIRGAS Origen Nacional. Este cambio del sistema de referencia puede generar cambios en las áreas, sin embargo, no en los límites de los polígonos.</w:t>
      </w:r>
    </w:p>
    <w:p w14:paraId="368849B9" w14:textId="77777777" w:rsidR="00901D3C" w:rsidRPr="00B966C6" w:rsidRDefault="00901D3C" w:rsidP="00674FA3">
      <w:pPr>
        <w:ind w:left="-284"/>
        <w:jc w:val="both"/>
        <w:rPr>
          <w:rFonts w:ascii="Verdana" w:hAnsi="Verdana" w:cs="Arial"/>
          <w:sz w:val="22"/>
          <w:szCs w:val="22"/>
          <w:lang w:val="es-CO"/>
        </w:rPr>
      </w:pPr>
    </w:p>
    <w:p w14:paraId="016C98C7" w14:textId="131C0F6B" w:rsidR="00674FA3" w:rsidRDefault="00674FA3" w:rsidP="00674FA3">
      <w:pPr>
        <w:ind w:left="-284"/>
        <w:jc w:val="both"/>
        <w:rPr>
          <w:rFonts w:ascii="Verdana" w:hAnsi="Verdana" w:cs="Arial"/>
          <w:sz w:val="22"/>
          <w:szCs w:val="22"/>
          <w:lang w:val="es-CO"/>
        </w:rPr>
      </w:pPr>
      <w:r w:rsidRPr="00B966C6">
        <w:rPr>
          <w:rFonts w:ascii="Verdana" w:hAnsi="Verdana" w:cs="Arial"/>
          <w:b/>
          <w:sz w:val="22"/>
          <w:szCs w:val="22"/>
          <w:lang w:val="es-CO"/>
        </w:rPr>
        <w:t xml:space="preserve">Artículo 2.- Disminución de áreas. </w:t>
      </w:r>
      <w:r w:rsidRPr="00B966C6">
        <w:rPr>
          <w:rFonts w:ascii="Verdana" w:hAnsi="Verdana" w:cs="Arial"/>
          <w:sz w:val="22"/>
          <w:szCs w:val="22"/>
          <w:lang w:val="es-CO"/>
        </w:rPr>
        <w:t>Modificar en el sentido de disminuir el área y prorrogar por el término de dos (2) años, contados a partir de la expedición del presente acto administrativo, los efectos jurídicos de las zonas de protección y desarrollo de los recursos naturales renovables y del medio ambiente, de los polígonos identificados así:</w:t>
      </w:r>
    </w:p>
    <w:p w14:paraId="5482FFB1" w14:textId="77777777" w:rsidR="006D1BDC" w:rsidRDefault="006D1BDC" w:rsidP="00674FA3">
      <w:pPr>
        <w:ind w:left="-284"/>
        <w:jc w:val="both"/>
        <w:rPr>
          <w:rFonts w:ascii="Verdana" w:hAnsi="Verdana" w:cs="Arial"/>
          <w:sz w:val="22"/>
          <w:szCs w:val="22"/>
          <w:lang w:val="es-CO"/>
        </w:rPr>
      </w:pPr>
    </w:p>
    <w:p w14:paraId="23360852" w14:textId="77777777" w:rsidR="006D1BDC" w:rsidRPr="00B966C6" w:rsidRDefault="006D1BDC" w:rsidP="00674FA3">
      <w:pPr>
        <w:ind w:left="-284"/>
        <w:jc w:val="both"/>
        <w:rPr>
          <w:rFonts w:ascii="Verdana" w:hAnsi="Verdana" w:cs="Arial"/>
          <w:sz w:val="22"/>
          <w:szCs w:val="22"/>
          <w:lang w:val="es-CO"/>
        </w:rPr>
      </w:pPr>
    </w:p>
    <w:p w14:paraId="3E2DCBDB" w14:textId="77777777" w:rsidR="00674FA3" w:rsidRPr="00B966C6" w:rsidRDefault="00674FA3" w:rsidP="00674FA3">
      <w:pPr>
        <w:ind w:left="-284"/>
        <w:jc w:val="both"/>
        <w:rPr>
          <w:rFonts w:ascii="Verdana" w:hAnsi="Verdana" w:cs="Arial"/>
          <w:sz w:val="22"/>
          <w:szCs w:val="22"/>
          <w:lang w:val="es-CO"/>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159"/>
        <w:gridCol w:w="1568"/>
        <w:gridCol w:w="1310"/>
        <w:gridCol w:w="2760"/>
        <w:gridCol w:w="1116"/>
        <w:gridCol w:w="1291"/>
      </w:tblGrid>
      <w:tr w:rsidR="00674FA3" w:rsidRPr="00B966C6" w14:paraId="7386D0F0" w14:textId="77777777" w:rsidTr="00670CBF">
        <w:trPr>
          <w:trHeight w:val="300"/>
        </w:trPr>
        <w:tc>
          <w:tcPr>
            <w:tcW w:w="630" w:type="pct"/>
            <w:vMerge w:val="restart"/>
            <w:shd w:val="clear" w:color="000000" w:fill="BFBFBF"/>
            <w:noWrap/>
            <w:vAlign w:val="center"/>
            <w:hideMark/>
          </w:tcPr>
          <w:p w14:paraId="64C5F6E2" w14:textId="77777777" w:rsidR="00674FA3" w:rsidRPr="00B966C6" w:rsidRDefault="00674FA3" w:rsidP="00674FA3">
            <w:pPr>
              <w:jc w:val="center"/>
              <w:rPr>
                <w:rFonts w:ascii="Verdana" w:hAnsi="Verdana" w:cs="Calibri"/>
                <w:b/>
                <w:bCs/>
                <w:color w:val="000000"/>
                <w:sz w:val="18"/>
                <w:szCs w:val="18"/>
                <w:lang w:val="es-CO" w:eastAsia="es-CO"/>
              </w:rPr>
            </w:pPr>
            <w:proofErr w:type="spellStart"/>
            <w:r w:rsidRPr="00B966C6">
              <w:rPr>
                <w:rFonts w:ascii="Verdana" w:hAnsi="Verdana" w:cs="Calibri"/>
                <w:b/>
                <w:bCs/>
                <w:color w:val="000000"/>
                <w:sz w:val="18"/>
                <w:szCs w:val="18"/>
                <w:lang w:val="es-CO" w:eastAsia="es-CO"/>
              </w:rPr>
              <w:lastRenderedPageBreak/>
              <w:t>N°</w:t>
            </w:r>
            <w:proofErr w:type="spellEnd"/>
            <w:r w:rsidRPr="00B966C6">
              <w:rPr>
                <w:rFonts w:ascii="Verdana" w:hAnsi="Verdana" w:cs="Calibri"/>
                <w:b/>
                <w:bCs/>
                <w:color w:val="000000"/>
                <w:sz w:val="18"/>
                <w:szCs w:val="18"/>
                <w:lang w:val="es-CO" w:eastAsia="es-CO"/>
              </w:rPr>
              <w:t xml:space="preserve"> Polígono</w:t>
            </w:r>
          </w:p>
        </w:tc>
        <w:tc>
          <w:tcPr>
            <w:tcW w:w="852" w:type="pct"/>
            <w:vMerge w:val="restart"/>
            <w:shd w:val="clear" w:color="000000" w:fill="BFBFBF"/>
            <w:noWrap/>
            <w:vAlign w:val="center"/>
            <w:hideMark/>
          </w:tcPr>
          <w:p w14:paraId="199D21A2" w14:textId="77777777" w:rsidR="00674FA3" w:rsidRPr="00B966C6" w:rsidRDefault="00674FA3" w:rsidP="00674FA3">
            <w:pPr>
              <w:jc w:val="center"/>
              <w:rPr>
                <w:rFonts w:ascii="Verdana" w:hAnsi="Verdana" w:cs="Calibri"/>
                <w:b/>
                <w:bCs/>
                <w:color w:val="000000"/>
                <w:sz w:val="18"/>
                <w:szCs w:val="18"/>
                <w:lang w:val="es-CO" w:eastAsia="es-CO"/>
              </w:rPr>
            </w:pPr>
            <w:r w:rsidRPr="00B966C6">
              <w:rPr>
                <w:rFonts w:ascii="Verdana" w:hAnsi="Verdana" w:cs="Calibri"/>
                <w:b/>
                <w:bCs/>
                <w:color w:val="000000"/>
                <w:sz w:val="18"/>
                <w:szCs w:val="18"/>
                <w:lang w:val="es-CO" w:eastAsia="es-CO"/>
              </w:rPr>
              <w:t>Nombre del área</w:t>
            </w:r>
          </w:p>
        </w:tc>
        <w:tc>
          <w:tcPr>
            <w:tcW w:w="712" w:type="pct"/>
            <w:vMerge w:val="restart"/>
            <w:shd w:val="clear" w:color="000000" w:fill="BFBFBF"/>
            <w:vAlign w:val="center"/>
            <w:hideMark/>
          </w:tcPr>
          <w:p w14:paraId="3C1FFC0C" w14:textId="77777777" w:rsidR="00674FA3" w:rsidRPr="00B966C6" w:rsidRDefault="00674FA3" w:rsidP="00674FA3">
            <w:pPr>
              <w:jc w:val="center"/>
              <w:rPr>
                <w:rFonts w:ascii="Verdana" w:hAnsi="Verdana" w:cs="Calibri"/>
                <w:b/>
                <w:bCs/>
                <w:color w:val="000000"/>
                <w:sz w:val="18"/>
                <w:szCs w:val="18"/>
                <w:lang w:val="es-CO" w:eastAsia="es-CO"/>
              </w:rPr>
            </w:pPr>
            <w:r w:rsidRPr="00B966C6">
              <w:rPr>
                <w:rFonts w:ascii="Verdana" w:hAnsi="Verdana" w:cs="Calibri"/>
                <w:b/>
                <w:bCs/>
                <w:color w:val="000000"/>
                <w:sz w:val="18"/>
                <w:szCs w:val="18"/>
                <w:lang w:val="es-CO" w:eastAsia="es-CO"/>
              </w:rPr>
              <w:t>Corporación</w:t>
            </w:r>
          </w:p>
        </w:tc>
        <w:tc>
          <w:tcPr>
            <w:tcW w:w="2807" w:type="pct"/>
            <w:gridSpan w:val="3"/>
            <w:shd w:val="clear" w:color="000000" w:fill="BFBFBF"/>
            <w:noWrap/>
            <w:vAlign w:val="center"/>
            <w:hideMark/>
          </w:tcPr>
          <w:p w14:paraId="32153B0B" w14:textId="77777777" w:rsidR="00674FA3" w:rsidRPr="00B966C6" w:rsidRDefault="00674FA3" w:rsidP="00674FA3">
            <w:pPr>
              <w:jc w:val="center"/>
              <w:rPr>
                <w:rFonts w:ascii="Verdana" w:hAnsi="Verdana" w:cs="Calibri"/>
                <w:b/>
                <w:bCs/>
                <w:color w:val="000000"/>
                <w:sz w:val="18"/>
                <w:szCs w:val="18"/>
                <w:lang w:val="es-CO" w:eastAsia="es-CO"/>
              </w:rPr>
            </w:pPr>
            <w:r w:rsidRPr="00B966C6">
              <w:rPr>
                <w:rFonts w:ascii="Verdana" w:hAnsi="Verdana" w:cs="Calibri"/>
                <w:b/>
                <w:bCs/>
                <w:color w:val="000000"/>
                <w:sz w:val="18"/>
                <w:szCs w:val="18"/>
                <w:lang w:val="es-CO" w:eastAsia="es-CO"/>
              </w:rPr>
              <w:t>Área (ha)</w:t>
            </w:r>
          </w:p>
        </w:tc>
      </w:tr>
      <w:tr w:rsidR="00901D3C" w:rsidRPr="00B966C6" w14:paraId="73AD8D8C" w14:textId="77777777" w:rsidTr="00670CBF">
        <w:trPr>
          <w:trHeight w:val="300"/>
        </w:trPr>
        <w:tc>
          <w:tcPr>
            <w:tcW w:w="630" w:type="pct"/>
            <w:vMerge/>
            <w:vAlign w:val="center"/>
            <w:hideMark/>
          </w:tcPr>
          <w:p w14:paraId="160A6D05" w14:textId="77777777" w:rsidR="00674FA3" w:rsidRPr="00B966C6" w:rsidRDefault="00674FA3" w:rsidP="00674FA3">
            <w:pPr>
              <w:rPr>
                <w:rFonts w:ascii="Verdana" w:hAnsi="Verdana" w:cs="Calibri"/>
                <w:b/>
                <w:bCs/>
                <w:color w:val="000000"/>
                <w:sz w:val="18"/>
                <w:szCs w:val="18"/>
                <w:lang w:val="es-CO" w:eastAsia="es-CO"/>
              </w:rPr>
            </w:pPr>
          </w:p>
        </w:tc>
        <w:tc>
          <w:tcPr>
            <w:tcW w:w="852" w:type="pct"/>
            <w:vMerge/>
            <w:vAlign w:val="center"/>
            <w:hideMark/>
          </w:tcPr>
          <w:p w14:paraId="29050699" w14:textId="77777777" w:rsidR="00674FA3" w:rsidRPr="00B966C6" w:rsidRDefault="00674FA3" w:rsidP="00674FA3">
            <w:pPr>
              <w:rPr>
                <w:rFonts w:ascii="Verdana" w:hAnsi="Verdana" w:cs="Calibri"/>
                <w:b/>
                <w:bCs/>
                <w:color w:val="000000"/>
                <w:sz w:val="18"/>
                <w:szCs w:val="18"/>
                <w:lang w:val="es-CO" w:eastAsia="es-CO"/>
              </w:rPr>
            </w:pPr>
          </w:p>
        </w:tc>
        <w:tc>
          <w:tcPr>
            <w:tcW w:w="712" w:type="pct"/>
            <w:vMerge/>
            <w:vAlign w:val="center"/>
            <w:hideMark/>
          </w:tcPr>
          <w:p w14:paraId="40DAF4BF" w14:textId="77777777" w:rsidR="00674FA3" w:rsidRPr="00B966C6" w:rsidRDefault="00674FA3" w:rsidP="00674FA3">
            <w:pPr>
              <w:rPr>
                <w:rFonts w:ascii="Verdana" w:hAnsi="Verdana" w:cs="Calibri"/>
                <w:b/>
                <w:bCs/>
                <w:color w:val="000000"/>
                <w:sz w:val="18"/>
                <w:szCs w:val="18"/>
                <w:lang w:val="es-CO" w:eastAsia="es-CO"/>
              </w:rPr>
            </w:pPr>
          </w:p>
        </w:tc>
        <w:tc>
          <w:tcPr>
            <w:tcW w:w="1270" w:type="pct"/>
            <w:shd w:val="clear" w:color="000000" w:fill="BFBFBF"/>
            <w:noWrap/>
            <w:vAlign w:val="center"/>
            <w:hideMark/>
          </w:tcPr>
          <w:p w14:paraId="2AEC2312" w14:textId="77777777" w:rsidR="00674FA3" w:rsidRPr="00B966C6" w:rsidRDefault="00674FA3" w:rsidP="00674FA3">
            <w:pPr>
              <w:jc w:val="center"/>
              <w:rPr>
                <w:rFonts w:ascii="Verdana" w:hAnsi="Verdana" w:cs="Calibri"/>
                <w:b/>
                <w:bCs/>
                <w:color w:val="000000"/>
                <w:sz w:val="18"/>
                <w:szCs w:val="18"/>
                <w:lang w:val="es-CO" w:eastAsia="es-CO"/>
              </w:rPr>
            </w:pPr>
            <w:r w:rsidRPr="00B966C6">
              <w:rPr>
                <w:rFonts w:ascii="Verdana" w:hAnsi="Verdana" w:cs="Calibri"/>
                <w:b/>
                <w:bCs/>
                <w:color w:val="000000"/>
                <w:sz w:val="18"/>
                <w:szCs w:val="18"/>
                <w:lang w:val="es-CO" w:eastAsia="es-CO"/>
              </w:rPr>
              <w:t>Área Resolución 1125 de 2021</w:t>
            </w:r>
          </w:p>
        </w:tc>
        <w:tc>
          <w:tcPr>
            <w:tcW w:w="836" w:type="pct"/>
            <w:shd w:val="clear" w:color="000000" w:fill="BFBFBF"/>
            <w:noWrap/>
            <w:vAlign w:val="center"/>
            <w:hideMark/>
          </w:tcPr>
          <w:p w14:paraId="400A41A8" w14:textId="77777777" w:rsidR="00674FA3" w:rsidRPr="00B966C6" w:rsidRDefault="00674FA3" w:rsidP="00674FA3">
            <w:pPr>
              <w:jc w:val="center"/>
              <w:rPr>
                <w:rFonts w:ascii="Verdana" w:hAnsi="Verdana" w:cs="Calibri"/>
                <w:b/>
                <w:bCs/>
                <w:color w:val="000000"/>
                <w:sz w:val="18"/>
                <w:szCs w:val="18"/>
                <w:lang w:val="es-CO" w:eastAsia="es-CO"/>
              </w:rPr>
            </w:pPr>
            <w:r w:rsidRPr="00B966C6">
              <w:rPr>
                <w:rFonts w:ascii="Verdana" w:hAnsi="Verdana" w:cs="Calibri"/>
                <w:b/>
                <w:bCs/>
                <w:color w:val="000000"/>
                <w:sz w:val="18"/>
                <w:szCs w:val="18"/>
                <w:lang w:val="es-CO" w:eastAsia="es-CO"/>
              </w:rPr>
              <w:t>Área actual</w:t>
            </w:r>
          </w:p>
        </w:tc>
        <w:tc>
          <w:tcPr>
            <w:tcW w:w="701" w:type="pct"/>
            <w:shd w:val="clear" w:color="000000" w:fill="BFBFBF"/>
            <w:noWrap/>
            <w:vAlign w:val="center"/>
            <w:hideMark/>
          </w:tcPr>
          <w:p w14:paraId="648594E2" w14:textId="77777777" w:rsidR="00674FA3" w:rsidRPr="00B966C6" w:rsidRDefault="00674FA3" w:rsidP="00674FA3">
            <w:pPr>
              <w:jc w:val="center"/>
              <w:rPr>
                <w:rFonts w:ascii="Verdana" w:hAnsi="Verdana" w:cs="Calibri"/>
                <w:b/>
                <w:bCs/>
                <w:color w:val="000000"/>
                <w:sz w:val="18"/>
                <w:szCs w:val="18"/>
                <w:lang w:val="es-CO" w:eastAsia="es-CO"/>
              </w:rPr>
            </w:pPr>
            <w:r w:rsidRPr="00B966C6">
              <w:rPr>
                <w:rFonts w:ascii="Verdana" w:hAnsi="Verdana" w:cs="Calibri"/>
                <w:b/>
                <w:bCs/>
                <w:color w:val="000000"/>
                <w:sz w:val="18"/>
                <w:szCs w:val="18"/>
                <w:lang w:val="es-CO" w:eastAsia="es-CO"/>
              </w:rPr>
              <w:t>Área liberada</w:t>
            </w:r>
          </w:p>
        </w:tc>
      </w:tr>
      <w:tr w:rsidR="00901D3C" w:rsidRPr="00B966C6" w14:paraId="21BA76C1" w14:textId="77777777" w:rsidTr="00670CBF">
        <w:trPr>
          <w:trHeight w:val="300"/>
        </w:trPr>
        <w:tc>
          <w:tcPr>
            <w:tcW w:w="630" w:type="pct"/>
            <w:shd w:val="clear" w:color="auto" w:fill="auto"/>
            <w:noWrap/>
            <w:vAlign w:val="center"/>
            <w:hideMark/>
          </w:tcPr>
          <w:p w14:paraId="641C1FD4" w14:textId="77777777" w:rsidR="00674FA3" w:rsidRPr="00B966C6" w:rsidRDefault="00674FA3" w:rsidP="00674FA3">
            <w:pPr>
              <w:jc w:val="center"/>
              <w:rPr>
                <w:rFonts w:ascii="Verdana" w:hAnsi="Verdana" w:cs="Calibri"/>
                <w:color w:val="000000"/>
                <w:sz w:val="18"/>
                <w:szCs w:val="18"/>
                <w:lang w:val="es-CO" w:eastAsia="es-CO"/>
              </w:rPr>
            </w:pPr>
            <w:r w:rsidRPr="00B966C6">
              <w:rPr>
                <w:rFonts w:ascii="Verdana" w:hAnsi="Verdana" w:cs="Calibri"/>
                <w:color w:val="000000"/>
                <w:sz w:val="18"/>
                <w:szCs w:val="18"/>
                <w:lang w:val="es-ES_tradnl" w:eastAsia="es-CO"/>
              </w:rPr>
              <w:t>47</w:t>
            </w:r>
          </w:p>
        </w:tc>
        <w:tc>
          <w:tcPr>
            <w:tcW w:w="852" w:type="pct"/>
            <w:shd w:val="clear" w:color="auto" w:fill="auto"/>
            <w:noWrap/>
            <w:vAlign w:val="center"/>
            <w:hideMark/>
          </w:tcPr>
          <w:p w14:paraId="25FDFE7B" w14:textId="77777777" w:rsidR="00674FA3" w:rsidRPr="00B966C6" w:rsidRDefault="00674FA3" w:rsidP="00674FA3">
            <w:pPr>
              <w:jc w:val="center"/>
              <w:rPr>
                <w:rFonts w:ascii="Verdana" w:hAnsi="Verdana" w:cs="Calibri"/>
                <w:color w:val="000000"/>
                <w:sz w:val="18"/>
                <w:szCs w:val="18"/>
                <w:lang w:val="es-CO" w:eastAsia="es-CO"/>
              </w:rPr>
            </w:pPr>
            <w:r w:rsidRPr="00B966C6">
              <w:rPr>
                <w:rFonts w:ascii="Verdana" w:hAnsi="Verdana" w:cs="Calibri"/>
                <w:color w:val="000000"/>
                <w:sz w:val="18"/>
                <w:szCs w:val="18"/>
                <w:lang w:val="es-ES_tradnl" w:eastAsia="es-CO"/>
              </w:rPr>
              <w:t>Cañón Rio Lebrija</w:t>
            </w:r>
          </w:p>
        </w:tc>
        <w:tc>
          <w:tcPr>
            <w:tcW w:w="712" w:type="pct"/>
            <w:shd w:val="clear" w:color="auto" w:fill="auto"/>
            <w:noWrap/>
            <w:vAlign w:val="center"/>
            <w:hideMark/>
          </w:tcPr>
          <w:p w14:paraId="1C186ED5" w14:textId="77777777" w:rsidR="00674FA3" w:rsidRPr="00B966C6" w:rsidRDefault="00674FA3" w:rsidP="00674FA3">
            <w:pPr>
              <w:jc w:val="center"/>
              <w:rPr>
                <w:rFonts w:ascii="Verdana" w:hAnsi="Verdana" w:cs="Calibri"/>
                <w:color w:val="000000"/>
                <w:sz w:val="18"/>
                <w:szCs w:val="18"/>
                <w:lang w:val="es-CO" w:eastAsia="es-CO"/>
              </w:rPr>
            </w:pPr>
            <w:r w:rsidRPr="00B966C6">
              <w:rPr>
                <w:rFonts w:ascii="Verdana" w:hAnsi="Verdana" w:cs="Calibri"/>
                <w:color w:val="000000"/>
                <w:sz w:val="18"/>
                <w:szCs w:val="18"/>
                <w:lang w:val="es-ES_tradnl" w:eastAsia="es-CO"/>
              </w:rPr>
              <w:t>CDMB</w:t>
            </w:r>
          </w:p>
        </w:tc>
        <w:tc>
          <w:tcPr>
            <w:tcW w:w="1270" w:type="pct"/>
            <w:shd w:val="clear" w:color="auto" w:fill="auto"/>
            <w:noWrap/>
            <w:vAlign w:val="center"/>
            <w:hideMark/>
          </w:tcPr>
          <w:p w14:paraId="7060930E" w14:textId="77777777" w:rsidR="00674FA3" w:rsidRPr="00B966C6" w:rsidRDefault="00674FA3" w:rsidP="00674FA3">
            <w:pPr>
              <w:jc w:val="center"/>
              <w:rPr>
                <w:rFonts w:ascii="Verdana" w:hAnsi="Verdana" w:cs="Calibri"/>
                <w:color w:val="000000"/>
                <w:sz w:val="18"/>
                <w:szCs w:val="18"/>
                <w:lang w:val="es-CO" w:eastAsia="es-CO"/>
              </w:rPr>
            </w:pPr>
            <w:r w:rsidRPr="00B966C6">
              <w:rPr>
                <w:rFonts w:ascii="Verdana" w:hAnsi="Verdana" w:cs="Calibri"/>
                <w:color w:val="000000"/>
                <w:sz w:val="18"/>
                <w:szCs w:val="18"/>
                <w:lang w:val="es-ES_tradnl" w:eastAsia="es-CO"/>
              </w:rPr>
              <w:t>3.912,80</w:t>
            </w:r>
          </w:p>
        </w:tc>
        <w:tc>
          <w:tcPr>
            <w:tcW w:w="836" w:type="pct"/>
            <w:shd w:val="clear" w:color="auto" w:fill="auto"/>
            <w:noWrap/>
            <w:vAlign w:val="center"/>
            <w:hideMark/>
          </w:tcPr>
          <w:p w14:paraId="43F66A56" w14:textId="77777777" w:rsidR="00674FA3" w:rsidRPr="00B966C6" w:rsidRDefault="00674FA3" w:rsidP="00674FA3">
            <w:pPr>
              <w:jc w:val="center"/>
              <w:rPr>
                <w:rFonts w:ascii="Verdana" w:hAnsi="Verdana" w:cs="Calibri"/>
                <w:color w:val="000000"/>
                <w:sz w:val="18"/>
                <w:szCs w:val="18"/>
                <w:lang w:val="es-CO" w:eastAsia="es-CO"/>
              </w:rPr>
            </w:pPr>
            <w:r w:rsidRPr="00B966C6">
              <w:rPr>
                <w:rFonts w:ascii="Verdana" w:hAnsi="Verdana" w:cs="Calibri"/>
                <w:color w:val="000000"/>
                <w:sz w:val="18"/>
                <w:szCs w:val="18"/>
                <w:lang w:val="es-ES_tradnl" w:eastAsia="es-CO"/>
              </w:rPr>
              <w:t>1.857,53</w:t>
            </w:r>
          </w:p>
        </w:tc>
        <w:tc>
          <w:tcPr>
            <w:tcW w:w="701" w:type="pct"/>
            <w:shd w:val="clear" w:color="auto" w:fill="auto"/>
            <w:noWrap/>
            <w:vAlign w:val="center"/>
            <w:hideMark/>
          </w:tcPr>
          <w:p w14:paraId="5F5A2E98" w14:textId="77777777" w:rsidR="00674FA3" w:rsidRPr="00B966C6" w:rsidRDefault="00674FA3" w:rsidP="00674FA3">
            <w:pPr>
              <w:jc w:val="center"/>
              <w:rPr>
                <w:rFonts w:ascii="Verdana" w:hAnsi="Verdana" w:cs="Calibri"/>
                <w:color w:val="000000"/>
                <w:sz w:val="18"/>
                <w:szCs w:val="18"/>
                <w:lang w:val="es-CO" w:eastAsia="es-CO"/>
              </w:rPr>
            </w:pPr>
            <w:r w:rsidRPr="00B966C6">
              <w:rPr>
                <w:rFonts w:ascii="Verdana" w:hAnsi="Verdana" w:cs="Calibri"/>
                <w:color w:val="000000"/>
                <w:sz w:val="18"/>
                <w:szCs w:val="18"/>
                <w:lang w:val="es-ES_tradnl" w:eastAsia="es-CO"/>
              </w:rPr>
              <w:t>2.055,27</w:t>
            </w:r>
          </w:p>
        </w:tc>
      </w:tr>
      <w:tr w:rsidR="00901D3C" w:rsidRPr="00B966C6" w14:paraId="710A80E3" w14:textId="77777777" w:rsidTr="00670CBF">
        <w:trPr>
          <w:trHeight w:val="300"/>
        </w:trPr>
        <w:tc>
          <w:tcPr>
            <w:tcW w:w="630" w:type="pct"/>
            <w:shd w:val="clear" w:color="auto" w:fill="auto"/>
            <w:noWrap/>
            <w:vAlign w:val="center"/>
            <w:hideMark/>
          </w:tcPr>
          <w:p w14:paraId="096A956B" w14:textId="77777777" w:rsidR="00674FA3" w:rsidRPr="00B966C6" w:rsidRDefault="00674FA3" w:rsidP="00674FA3">
            <w:pPr>
              <w:jc w:val="center"/>
              <w:rPr>
                <w:rFonts w:ascii="Verdana" w:hAnsi="Verdana" w:cs="Calibri"/>
                <w:color w:val="000000"/>
                <w:sz w:val="18"/>
                <w:szCs w:val="18"/>
                <w:lang w:val="es-CO" w:eastAsia="es-CO"/>
              </w:rPr>
            </w:pPr>
            <w:r w:rsidRPr="00B966C6">
              <w:rPr>
                <w:rFonts w:ascii="Verdana" w:hAnsi="Verdana" w:cs="Calibri"/>
                <w:color w:val="000000"/>
                <w:sz w:val="18"/>
                <w:szCs w:val="18"/>
                <w:lang w:val="es-ES_tradnl" w:eastAsia="es-CO"/>
              </w:rPr>
              <w:t>51</w:t>
            </w:r>
          </w:p>
        </w:tc>
        <w:tc>
          <w:tcPr>
            <w:tcW w:w="852" w:type="pct"/>
            <w:shd w:val="clear" w:color="auto" w:fill="auto"/>
            <w:noWrap/>
            <w:vAlign w:val="center"/>
            <w:hideMark/>
          </w:tcPr>
          <w:p w14:paraId="58F2F267" w14:textId="77777777" w:rsidR="00674FA3" w:rsidRPr="00B966C6" w:rsidRDefault="00674FA3" w:rsidP="00674FA3">
            <w:pPr>
              <w:jc w:val="center"/>
              <w:rPr>
                <w:rFonts w:ascii="Verdana" w:hAnsi="Verdana" w:cs="Calibri"/>
                <w:color w:val="000000"/>
                <w:sz w:val="18"/>
                <w:szCs w:val="18"/>
                <w:lang w:val="es-CO" w:eastAsia="es-CO"/>
              </w:rPr>
            </w:pPr>
            <w:r w:rsidRPr="00B966C6">
              <w:rPr>
                <w:rFonts w:ascii="Verdana" w:hAnsi="Verdana" w:cs="Calibri"/>
                <w:color w:val="000000"/>
                <w:sz w:val="18"/>
                <w:szCs w:val="18"/>
                <w:lang w:val="es-ES_tradnl" w:eastAsia="es-CO"/>
              </w:rPr>
              <w:t>Andino Pacífica</w:t>
            </w:r>
          </w:p>
        </w:tc>
        <w:tc>
          <w:tcPr>
            <w:tcW w:w="712" w:type="pct"/>
            <w:shd w:val="clear" w:color="auto" w:fill="auto"/>
            <w:noWrap/>
            <w:vAlign w:val="center"/>
            <w:hideMark/>
          </w:tcPr>
          <w:p w14:paraId="7B4A2CA9" w14:textId="77777777" w:rsidR="00674FA3" w:rsidRPr="00B966C6" w:rsidRDefault="00674FA3" w:rsidP="00674FA3">
            <w:pPr>
              <w:jc w:val="center"/>
              <w:rPr>
                <w:rFonts w:ascii="Verdana" w:hAnsi="Verdana" w:cs="Calibri"/>
                <w:color w:val="000000"/>
                <w:sz w:val="18"/>
                <w:szCs w:val="18"/>
                <w:lang w:val="es-CO" w:eastAsia="es-CO"/>
              </w:rPr>
            </w:pPr>
            <w:r w:rsidRPr="00B966C6">
              <w:rPr>
                <w:rFonts w:ascii="Verdana" w:hAnsi="Verdana" w:cs="Calibri"/>
                <w:color w:val="000000"/>
                <w:sz w:val="18"/>
                <w:szCs w:val="18"/>
                <w:lang w:val="es-ES_tradnl" w:eastAsia="es-CO"/>
              </w:rPr>
              <w:t>CORPONARIÑO</w:t>
            </w:r>
          </w:p>
        </w:tc>
        <w:tc>
          <w:tcPr>
            <w:tcW w:w="1270" w:type="pct"/>
            <w:shd w:val="clear" w:color="auto" w:fill="auto"/>
            <w:noWrap/>
            <w:vAlign w:val="center"/>
            <w:hideMark/>
          </w:tcPr>
          <w:p w14:paraId="67A04807" w14:textId="77777777" w:rsidR="00674FA3" w:rsidRPr="00B966C6" w:rsidRDefault="00674FA3" w:rsidP="00674FA3">
            <w:pPr>
              <w:jc w:val="center"/>
              <w:rPr>
                <w:rFonts w:ascii="Verdana" w:hAnsi="Verdana" w:cs="Calibri"/>
                <w:color w:val="000000"/>
                <w:sz w:val="18"/>
                <w:szCs w:val="18"/>
                <w:lang w:val="es-CO" w:eastAsia="es-CO"/>
              </w:rPr>
            </w:pPr>
            <w:r w:rsidRPr="00B966C6">
              <w:rPr>
                <w:rFonts w:ascii="Verdana" w:hAnsi="Verdana" w:cs="Calibri"/>
                <w:color w:val="000000"/>
                <w:sz w:val="18"/>
                <w:szCs w:val="18"/>
                <w:lang w:val="es-ES_tradnl" w:eastAsia="es-CO"/>
              </w:rPr>
              <w:t>19.469,03</w:t>
            </w:r>
          </w:p>
        </w:tc>
        <w:tc>
          <w:tcPr>
            <w:tcW w:w="836" w:type="pct"/>
            <w:shd w:val="clear" w:color="auto" w:fill="auto"/>
            <w:noWrap/>
            <w:vAlign w:val="center"/>
            <w:hideMark/>
          </w:tcPr>
          <w:p w14:paraId="0AF81F78" w14:textId="77777777" w:rsidR="00674FA3" w:rsidRPr="00B966C6" w:rsidRDefault="00674FA3" w:rsidP="00674FA3">
            <w:pPr>
              <w:jc w:val="center"/>
              <w:rPr>
                <w:rFonts w:ascii="Verdana" w:hAnsi="Verdana" w:cs="Calibri"/>
                <w:color w:val="000000"/>
                <w:sz w:val="18"/>
                <w:szCs w:val="18"/>
                <w:lang w:val="es-CO" w:eastAsia="es-CO"/>
              </w:rPr>
            </w:pPr>
            <w:r w:rsidRPr="00B966C6">
              <w:rPr>
                <w:rFonts w:ascii="Verdana" w:hAnsi="Verdana" w:cs="Calibri"/>
                <w:color w:val="000000"/>
                <w:sz w:val="18"/>
                <w:szCs w:val="18"/>
                <w:lang w:val="es-ES_tradnl" w:eastAsia="es-CO"/>
              </w:rPr>
              <w:t>11.761,21</w:t>
            </w:r>
          </w:p>
        </w:tc>
        <w:tc>
          <w:tcPr>
            <w:tcW w:w="701" w:type="pct"/>
            <w:shd w:val="clear" w:color="auto" w:fill="auto"/>
            <w:noWrap/>
            <w:vAlign w:val="center"/>
            <w:hideMark/>
          </w:tcPr>
          <w:p w14:paraId="6BDBF9C9" w14:textId="77777777" w:rsidR="00674FA3" w:rsidRPr="00B966C6" w:rsidRDefault="00674FA3" w:rsidP="00674FA3">
            <w:pPr>
              <w:jc w:val="center"/>
              <w:rPr>
                <w:rFonts w:ascii="Verdana" w:hAnsi="Verdana" w:cs="Calibri"/>
                <w:color w:val="000000"/>
                <w:sz w:val="18"/>
                <w:szCs w:val="18"/>
                <w:lang w:val="es-CO" w:eastAsia="es-CO"/>
              </w:rPr>
            </w:pPr>
            <w:r w:rsidRPr="00B966C6">
              <w:rPr>
                <w:rFonts w:ascii="Verdana" w:hAnsi="Verdana" w:cs="Calibri"/>
                <w:color w:val="000000"/>
                <w:sz w:val="18"/>
                <w:szCs w:val="18"/>
                <w:lang w:val="es-ES_tradnl" w:eastAsia="es-CO"/>
              </w:rPr>
              <w:t>7.707,82</w:t>
            </w:r>
          </w:p>
        </w:tc>
      </w:tr>
      <w:tr w:rsidR="00901D3C" w:rsidRPr="00B966C6" w14:paraId="139CC37D" w14:textId="77777777" w:rsidTr="00670CBF">
        <w:trPr>
          <w:trHeight w:val="300"/>
        </w:trPr>
        <w:tc>
          <w:tcPr>
            <w:tcW w:w="2193" w:type="pct"/>
            <w:gridSpan w:val="3"/>
            <w:shd w:val="clear" w:color="000000" w:fill="BFBFBF"/>
            <w:noWrap/>
            <w:vAlign w:val="center"/>
            <w:hideMark/>
          </w:tcPr>
          <w:p w14:paraId="3AFF81D2" w14:textId="77777777" w:rsidR="00674FA3" w:rsidRPr="00B966C6" w:rsidRDefault="00674FA3" w:rsidP="00674FA3">
            <w:pPr>
              <w:jc w:val="center"/>
              <w:rPr>
                <w:rFonts w:ascii="Verdana" w:hAnsi="Verdana" w:cs="Calibri"/>
                <w:b/>
                <w:bCs/>
                <w:color w:val="000000"/>
                <w:sz w:val="18"/>
                <w:szCs w:val="18"/>
                <w:lang w:val="es-CO" w:eastAsia="es-CO"/>
              </w:rPr>
            </w:pPr>
            <w:r w:rsidRPr="00B966C6">
              <w:rPr>
                <w:rFonts w:ascii="Verdana" w:hAnsi="Verdana" w:cs="Calibri"/>
                <w:b/>
                <w:bCs/>
                <w:color w:val="000000"/>
                <w:sz w:val="18"/>
                <w:szCs w:val="18"/>
                <w:lang w:val="es-CO" w:eastAsia="es-CO"/>
              </w:rPr>
              <w:t>Total</w:t>
            </w:r>
          </w:p>
        </w:tc>
        <w:tc>
          <w:tcPr>
            <w:tcW w:w="1270" w:type="pct"/>
            <w:shd w:val="clear" w:color="000000" w:fill="BFBFBF"/>
            <w:noWrap/>
            <w:vAlign w:val="center"/>
            <w:hideMark/>
          </w:tcPr>
          <w:p w14:paraId="77242AC7" w14:textId="77777777" w:rsidR="00674FA3" w:rsidRPr="00B966C6" w:rsidRDefault="00674FA3" w:rsidP="00674FA3">
            <w:pPr>
              <w:jc w:val="center"/>
              <w:rPr>
                <w:rFonts w:ascii="Verdana" w:hAnsi="Verdana" w:cs="Calibri"/>
                <w:b/>
                <w:bCs/>
                <w:color w:val="000000"/>
                <w:sz w:val="18"/>
                <w:szCs w:val="18"/>
                <w:lang w:val="es-CO" w:eastAsia="es-CO"/>
              </w:rPr>
            </w:pPr>
            <w:r w:rsidRPr="00B966C6">
              <w:rPr>
                <w:rFonts w:ascii="Verdana" w:hAnsi="Verdana" w:cs="Calibri"/>
                <w:b/>
                <w:bCs/>
                <w:color w:val="000000"/>
                <w:sz w:val="18"/>
                <w:szCs w:val="18"/>
                <w:lang w:val="es-CO" w:eastAsia="es-CO"/>
              </w:rPr>
              <w:t>23.381,83</w:t>
            </w:r>
          </w:p>
        </w:tc>
        <w:tc>
          <w:tcPr>
            <w:tcW w:w="836" w:type="pct"/>
            <w:shd w:val="clear" w:color="000000" w:fill="BFBFBF"/>
            <w:noWrap/>
            <w:vAlign w:val="center"/>
            <w:hideMark/>
          </w:tcPr>
          <w:p w14:paraId="418A1E29" w14:textId="77777777" w:rsidR="00674FA3" w:rsidRPr="00B966C6" w:rsidRDefault="00674FA3" w:rsidP="00674FA3">
            <w:pPr>
              <w:jc w:val="center"/>
              <w:rPr>
                <w:rFonts w:ascii="Verdana" w:hAnsi="Verdana" w:cs="Calibri"/>
                <w:b/>
                <w:bCs/>
                <w:color w:val="000000"/>
                <w:sz w:val="18"/>
                <w:szCs w:val="18"/>
                <w:lang w:val="es-CO" w:eastAsia="es-CO"/>
              </w:rPr>
            </w:pPr>
            <w:r w:rsidRPr="00B966C6">
              <w:rPr>
                <w:rFonts w:ascii="Verdana" w:hAnsi="Verdana" w:cs="Calibri"/>
                <w:b/>
                <w:bCs/>
                <w:color w:val="000000"/>
                <w:sz w:val="18"/>
                <w:szCs w:val="18"/>
                <w:lang w:val="es-CO" w:eastAsia="es-CO"/>
              </w:rPr>
              <w:t>13.618,74</w:t>
            </w:r>
          </w:p>
        </w:tc>
        <w:tc>
          <w:tcPr>
            <w:tcW w:w="701" w:type="pct"/>
            <w:shd w:val="clear" w:color="000000" w:fill="BFBFBF"/>
            <w:noWrap/>
            <w:vAlign w:val="center"/>
            <w:hideMark/>
          </w:tcPr>
          <w:p w14:paraId="6AB3ED20" w14:textId="77777777" w:rsidR="00674FA3" w:rsidRPr="00B966C6" w:rsidRDefault="00674FA3" w:rsidP="00674FA3">
            <w:pPr>
              <w:jc w:val="center"/>
              <w:rPr>
                <w:rFonts w:ascii="Verdana" w:hAnsi="Verdana" w:cs="Calibri"/>
                <w:b/>
                <w:bCs/>
                <w:color w:val="000000"/>
                <w:sz w:val="18"/>
                <w:szCs w:val="18"/>
                <w:lang w:val="es-CO" w:eastAsia="es-CO"/>
              </w:rPr>
            </w:pPr>
            <w:r w:rsidRPr="00B966C6">
              <w:rPr>
                <w:rFonts w:ascii="Verdana" w:hAnsi="Verdana" w:cs="Calibri"/>
                <w:b/>
                <w:bCs/>
                <w:color w:val="000000"/>
                <w:sz w:val="18"/>
                <w:szCs w:val="18"/>
                <w:lang w:val="es-CO" w:eastAsia="es-CO"/>
              </w:rPr>
              <w:t>9.763,09</w:t>
            </w:r>
          </w:p>
        </w:tc>
      </w:tr>
    </w:tbl>
    <w:p w14:paraId="43E2DDB8" w14:textId="77777777" w:rsidR="00674FA3" w:rsidRPr="00B966C6" w:rsidRDefault="00674FA3" w:rsidP="00674FA3">
      <w:pPr>
        <w:ind w:left="-284"/>
        <w:jc w:val="both"/>
        <w:rPr>
          <w:rFonts w:ascii="Verdana" w:hAnsi="Verdana" w:cs="Arial"/>
          <w:sz w:val="22"/>
          <w:szCs w:val="22"/>
          <w:lang w:val="es-CO"/>
        </w:rPr>
      </w:pPr>
    </w:p>
    <w:p w14:paraId="7160AD24" w14:textId="545FAB8D" w:rsidR="00674FA3" w:rsidRPr="00B966C6" w:rsidRDefault="00674FA3" w:rsidP="00674FA3">
      <w:pPr>
        <w:ind w:left="-284"/>
        <w:jc w:val="both"/>
        <w:rPr>
          <w:rFonts w:ascii="Verdana" w:hAnsi="Verdana" w:cs="Arial"/>
          <w:sz w:val="22"/>
          <w:szCs w:val="22"/>
          <w:lang w:val="es-CO"/>
        </w:rPr>
      </w:pPr>
      <w:r w:rsidRPr="00B966C6">
        <w:rPr>
          <w:rFonts w:ascii="Verdana" w:hAnsi="Verdana" w:cs="Arial"/>
          <w:b/>
          <w:sz w:val="22"/>
          <w:szCs w:val="22"/>
          <w:lang w:val="es-CO"/>
        </w:rPr>
        <w:t xml:space="preserve">Parágrafo 1.- </w:t>
      </w:r>
      <w:r w:rsidRPr="00B966C6">
        <w:rPr>
          <w:rFonts w:ascii="Verdana" w:hAnsi="Verdana" w:cs="Arial"/>
          <w:sz w:val="22"/>
          <w:szCs w:val="22"/>
          <w:lang w:val="es-CO"/>
        </w:rPr>
        <w:t xml:space="preserve">Los polígonos anteriormente relacionados suman un área de </w:t>
      </w:r>
      <w:r w:rsidRPr="00B966C6">
        <w:rPr>
          <w:rFonts w:ascii="Verdana" w:hAnsi="Verdana" w:cs="Arial"/>
          <w:b/>
          <w:sz w:val="22"/>
          <w:szCs w:val="22"/>
          <w:lang w:val="es-CO"/>
        </w:rPr>
        <w:t xml:space="preserve">13.618,74 hectáreas </w:t>
      </w:r>
      <w:r w:rsidR="000C2D3F" w:rsidRPr="00B966C6">
        <w:rPr>
          <w:rFonts w:ascii="Verdana" w:hAnsi="Verdana" w:cs="Arial"/>
          <w:sz w:val="22"/>
          <w:szCs w:val="22"/>
          <w:lang w:val="es-CO"/>
        </w:rPr>
        <w:t>y el archivo geográfico en formato “shape” que delimita las zonas de protección y desarrollo de los recursos naturales renovables y del medio ambiente y que se anexa a este acto administrativo y hace parte integral del mismo, fue generado mediante el software ArcGIS Pro 3.1.2.</w:t>
      </w:r>
      <w:r w:rsidRPr="00B966C6">
        <w:rPr>
          <w:rFonts w:ascii="Verdana" w:hAnsi="Verdana" w:cs="Arial"/>
          <w:sz w:val="22"/>
          <w:szCs w:val="22"/>
          <w:lang w:val="es-CO"/>
        </w:rPr>
        <w:t>.</w:t>
      </w:r>
    </w:p>
    <w:p w14:paraId="24DF31FF" w14:textId="77777777" w:rsidR="00674FA3" w:rsidRPr="00B966C6" w:rsidRDefault="00674FA3" w:rsidP="00674FA3">
      <w:pPr>
        <w:ind w:left="-284"/>
        <w:jc w:val="both"/>
        <w:rPr>
          <w:rFonts w:ascii="Verdana" w:hAnsi="Verdana" w:cs="Arial"/>
          <w:sz w:val="22"/>
          <w:szCs w:val="22"/>
          <w:lang w:val="es-CO"/>
        </w:rPr>
      </w:pPr>
    </w:p>
    <w:p w14:paraId="46E1CE45" w14:textId="6FE39D8F" w:rsidR="00901D3C" w:rsidRPr="00B966C6" w:rsidRDefault="00674FA3" w:rsidP="00901D3C">
      <w:pPr>
        <w:ind w:left="-284"/>
        <w:jc w:val="both"/>
        <w:rPr>
          <w:rFonts w:ascii="Verdana" w:hAnsi="Verdana" w:cs="Arial"/>
          <w:sz w:val="22"/>
          <w:szCs w:val="22"/>
          <w:lang w:val="es-CO"/>
        </w:rPr>
      </w:pPr>
      <w:r w:rsidRPr="00B966C6">
        <w:rPr>
          <w:rFonts w:ascii="Verdana" w:hAnsi="Verdana" w:cs="Arial"/>
          <w:b/>
          <w:sz w:val="22"/>
          <w:szCs w:val="22"/>
          <w:lang w:val="es-CO"/>
        </w:rPr>
        <w:t xml:space="preserve">Parágrafo 2. </w:t>
      </w:r>
      <w:r w:rsidRPr="00B966C6">
        <w:rPr>
          <w:rFonts w:ascii="Verdana" w:hAnsi="Verdana" w:cs="Arial"/>
          <w:sz w:val="22"/>
          <w:szCs w:val="22"/>
          <w:lang w:val="es-CO"/>
        </w:rPr>
        <w:t>El ajuste de que trata el presente artículo se realiza con fundamento en el informe consolidado por la Dirección de Bosques, Biodiversidad y Servicios Ecosistémicos a partir de la información técnica aportada por las autoridades ambientales regionales.</w:t>
      </w:r>
    </w:p>
    <w:p w14:paraId="54B6A535" w14:textId="77777777" w:rsidR="00674FA3" w:rsidRPr="00B966C6" w:rsidRDefault="00674FA3" w:rsidP="00674FA3">
      <w:pPr>
        <w:ind w:left="-284"/>
        <w:jc w:val="both"/>
        <w:rPr>
          <w:rFonts w:ascii="Verdana" w:hAnsi="Verdana" w:cs="Arial"/>
          <w:sz w:val="22"/>
          <w:szCs w:val="22"/>
          <w:lang w:val="es-CO"/>
        </w:rPr>
      </w:pPr>
    </w:p>
    <w:p w14:paraId="7DECBBA4" w14:textId="77777777" w:rsidR="00674FA3" w:rsidRPr="00B966C6" w:rsidRDefault="00674FA3" w:rsidP="00674FA3">
      <w:pPr>
        <w:ind w:left="-284"/>
        <w:jc w:val="both"/>
        <w:rPr>
          <w:rFonts w:ascii="Verdana" w:hAnsi="Verdana" w:cs="Arial"/>
          <w:sz w:val="22"/>
          <w:szCs w:val="22"/>
          <w:lang w:val="es-CO"/>
        </w:rPr>
      </w:pPr>
      <w:r w:rsidRPr="00B966C6">
        <w:rPr>
          <w:rFonts w:ascii="Verdana" w:hAnsi="Verdana" w:cs="Arial"/>
          <w:b/>
          <w:sz w:val="22"/>
          <w:szCs w:val="22"/>
          <w:lang w:val="es-CO"/>
        </w:rPr>
        <w:t xml:space="preserve">Artículo 3.- Aumento de área. </w:t>
      </w:r>
      <w:r w:rsidRPr="00B966C6">
        <w:rPr>
          <w:rFonts w:ascii="Verdana" w:hAnsi="Verdana" w:cs="Arial"/>
          <w:sz w:val="22"/>
          <w:szCs w:val="22"/>
          <w:lang w:val="es-CO"/>
        </w:rPr>
        <w:t>Modificar en el sentido de aumentar el área y prorrogar por el término de dos (2) años, contados a partir de la expedición del presente acto administrativo, los efectos jurídicos de las zonas de protección y desarrollo de los recursos naturales renovables y del medio ambiente, de los polígonos identificados así:</w:t>
      </w:r>
    </w:p>
    <w:p w14:paraId="09623DC9" w14:textId="77777777" w:rsidR="00674FA3" w:rsidRPr="00B966C6" w:rsidRDefault="00674FA3" w:rsidP="00674FA3">
      <w:pPr>
        <w:ind w:left="-284"/>
        <w:jc w:val="both"/>
        <w:rPr>
          <w:rFonts w:ascii="Verdana" w:hAnsi="Verdana" w:cs="Arial"/>
          <w:sz w:val="22"/>
          <w:szCs w:val="22"/>
          <w:lang w:val="es-CO"/>
        </w:rPr>
      </w:pPr>
    </w:p>
    <w:tbl>
      <w:tblPr>
        <w:tblW w:w="5000" w:type="pct"/>
        <w:jc w:val="center"/>
        <w:tblLook w:val="06A0" w:firstRow="1" w:lastRow="0" w:firstColumn="1" w:lastColumn="0" w:noHBand="1" w:noVBand="1"/>
      </w:tblPr>
      <w:tblGrid>
        <w:gridCol w:w="1135"/>
        <w:gridCol w:w="1784"/>
        <w:gridCol w:w="1784"/>
        <w:gridCol w:w="1960"/>
        <w:gridCol w:w="1182"/>
        <w:gridCol w:w="1359"/>
      </w:tblGrid>
      <w:tr w:rsidR="00A77757" w:rsidRPr="00B966C6" w14:paraId="68462B62" w14:textId="77777777" w:rsidTr="00B966C6">
        <w:trPr>
          <w:trHeight w:val="300"/>
          <w:jc w:val="center"/>
        </w:trPr>
        <w:tc>
          <w:tcPr>
            <w:tcW w:w="617" w:type="pct"/>
            <w:vMerge w:val="restart"/>
            <w:tcBorders>
              <w:top w:val="single" w:sz="4" w:space="0" w:color="auto"/>
              <w:left w:val="single" w:sz="4" w:space="0" w:color="auto"/>
              <w:bottom w:val="single" w:sz="4" w:space="0" w:color="auto"/>
              <w:right w:val="single" w:sz="4" w:space="0" w:color="auto"/>
            </w:tcBorders>
            <w:shd w:val="clear" w:color="auto" w:fill="BFBFBF" w:themeFill="background1" w:themeFillShade="BF"/>
            <w:tcMar>
              <w:top w:w="15" w:type="dxa"/>
              <w:left w:w="15" w:type="dxa"/>
              <w:right w:w="15" w:type="dxa"/>
            </w:tcMar>
            <w:vAlign w:val="center"/>
          </w:tcPr>
          <w:p w14:paraId="548C84DF" w14:textId="77777777" w:rsidR="00A77757" w:rsidRPr="00B966C6" w:rsidRDefault="00A77757" w:rsidP="00E760BB">
            <w:pPr>
              <w:jc w:val="center"/>
              <w:rPr>
                <w:rFonts w:ascii="Verdana" w:eastAsia="Arial Narrow" w:hAnsi="Verdana" w:cs="Arial Narrow"/>
                <w:b/>
                <w:bCs/>
                <w:sz w:val="18"/>
                <w:szCs w:val="18"/>
              </w:rPr>
            </w:pPr>
            <w:r w:rsidRPr="00B966C6">
              <w:rPr>
                <w:rFonts w:ascii="Verdana" w:eastAsia="Arial Narrow" w:hAnsi="Verdana" w:cs="Arial Narrow"/>
                <w:b/>
                <w:bCs/>
                <w:sz w:val="18"/>
                <w:szCs w:val="18"/>
              </w:rPr>
              <w:t>N° Polígono</w:t>
            </w:r>
          </w:p>
        </w:tc>
        <w:tc>
          <w:tcPr>
            <w:tcW w:w="969" w:type="pct"/>
            <w:vMerge w:val="restart"/>
            <w:tcBorders>
              <w:top w:val="single" w:sz="4" w:space="0" w:color="auto"/>
              <w:left w:val="single" w:sz="4" w:space="0" w:color="auto"/>
              <w:bottom w:val="single" w:sz="4" w:space="0" w:color="auto"/>
              <w:right w:val="single" w:sz="4" w:space="0" w:color="auto"/>
            </w:tcBorders>
            <w:shd w:val="clear" w:color="auto" w:fill="BFBFBF" w:themeFill="background1" w:themeFillShade="BF"/>
            <w:tcMar>
              <w:top w:w="15" w:type="dxa"/>
              <w:left w:w="15" w:type="dxa"/>
              <w:right w:w="15" w:type="dxa"/>
            </w:tcMar>
            <w:vAlign w:val="center"/>
          </w:tcPr>
          <w:p w14:paraId="2DD253D4" w14:textId="77777777" w:rsidR="00A77757" w:rsidRPr="00B966C6" w:rsidRDefault="00A77757" w:rsidP="00E760BB">
            <w:pPr>
              <w:jc w:val="center"/>
              <w:rPr>
                <w:rFonts w:ascii="Verdana" w:hAnsi="Verdana"/>
              </w:rPr>
            </w:pPr>
            <w:r w:rsidRPr="00B966C6">
              <w:rPr>
                <w:rFonts w:ascii="Verdana" w:eastAsia="Arial Narrow" w:hAnsi="Verdana" w:cs="Arial Narrow"/>
                <w:b/>
                <w:bCs/>
                <w:sz w:val="18"/>
                <w:szCs w:val="18"/>
              </w:rPr>
              <w:t>Nombre del área</w:t>
            </w:r>
          </w:p>
        </w:tc>
        <w:tc>
          <w:tcPr>
            <w:tcW w:w="969" w:type="pct"/>
            <w:vMerge w:val="restart"/>
            <w:tcBorders>
              <w:top w:val="single" w:sz="4" w:space="0" w:color="auto"/>
              <w:left w:val="single" w:sz="4" w:space="0" w:color="auto"/>
              <w:bottom w:val="single" w:sz="4" w:space="0" w:color="auto"/>
              <w:right w:val="single" w:sz="4" w:space="0" w:color="auto"/>
            </w:tcBorders>
            <w:shd w:val="clear" w:color="auto" w:fill="BFBFBF" w:themeFill="background1" w:themeFillShade="BF"/>
            <w:tcMar>
              <w:top w:w="15" w:type="dxa"/>
              <w:left w:w="15" w:type="dxa"/>
              <w:right w:w="15" w:type="dxa"/>
            </w:tcMar>
            <w:vAlign w:val="center"/>
          </w:tcPr>
          <w:p w14:paraId="78E6A64F" w14:textId="77777777" w:rsidR="00A77757" w:rsidRPr="00B966C6" w:rsidRDefault="00A77757" w:rsidP="00E760BB">
            <w:pPr>
              <w:jc w:val="center"/>
              <w:rPr>
                <w:rFonts w:ascii="Verdana" w:hAnsi="Verdana"/>
              </w:rPr>
            </w:pPr>
            <w:r w:rsidRPr="00B966C6">
              <w:rPr>
                <w:rFonts w:ascii="Verdana" w:eastAsia="Arial Narrow" w:hAnsi="Verdana" w:cs="Arial Narrow"/>
                <w:b/>
                <w:bCs/>
                <w:sz w:val="18"/>
                <w:szCs w:val="18"/>
              </w:rPr>
              <w:t>Corporación</w:t>
            </w:r>
          </w:p>
        </w:tc>
        <w:tc>
          <w:tcPr>
            <w:tcW w:w="2445" w:type="pct"/>
            <w:gridSpan w:val="3"/>
            <w:tcBorders>
              <w:top w:val="nil"/>
              <w:left w:val="single" w:sz="4" w:space="0" w:color="auto"/>
              <w:bottom w:val="single" w:sz="4" w:space="0" w:color="auto"/>
              <w:right w:val="single" w:sz="4" w:space="0" w:color="000000" w:themeColor="text1"/>
            </w:tcBorders>
            <w:shd w:val="clear" w:color="auto" w:fill="BFBFBF" w:themeFill="background1" w:themeFillShade="BF"/>
            <w:tcMar>
              <w:top w:w="15" w:type="dxa"/>
              <w:left w:w="15" w:type="dxa"/>
              <w:right w:w="15" w:type="dxa"/>
            </w:tcMar>
            <w:vAlign w:val="center"/>
          </w:tcPr>
          <w:p w14:paraId="43870AAD" w14:textId="77777777" w:rsidR="00A77757" w:rsidRPr="00B966C6" w:rsidRDefault="00A77757" w:rsidP="00E760BB">
            <w:pPr>
              <w:jc w:val="center"/>
              <w:rPr>
                <w:rFonts w:ascii="Verdana" w:hAnsi="Verdana"/>
              </w:rPr>
            </w:pPr>
            <w:r w:rsidRPr="00B966C6">
              <w:rPr>
                <w:rFonts w:ascii="Verdana" w:eastAsia="Arial Narrow" w:hAnsi="Verdana" w:cs="Arial Narrow"/>
                <w:b/>
                <w:bCs/>
                <w:sz w:val="18"/>
                <w:szCs w:val="18"/>
              </w:rPr>
              <w:t>Área (ha)</w:t>
            </w:r>
          </w:p>
        </w:tc>
      </w:tr>
      <w:tr w:rsidR="00A77757" w:rsidRPr="00B966C6" w14:paraId="6CE8CEE8" w14:textId="77777777" w:rsidTr="00B966C6">
        <w:trPr>
          <w:trHeight w:val="495"/>
          <w:jc w:val="center"/>
        </w:trPr>
        <w:tc>
          <w:tcPr>
            <w:tcW w:w="617" w:type="pct"/>
            <w:vMerge/>
            <w:tcBorders>
              <w:left w:val="single" w:sz="0" w:space="0" w:color="auto"/>
              <w:bottom w:val="single" w:sz="0" w:space="0" w:color="auto"/>
              <w:right w:val="single" w:sz="0" w:space="0" w:color="auto"/>
            </w:tcBorders>
            <w:vAlign w:val="center"/>
          </w:tcPr>
          <w:p w14:paraId="66FB2F08" w14:textId="77777777" w:rsidR="00A77757" w:rsidRPr="00B966C6" w:rsidRDefault="00A77757" w:rsidP="00E760BB">
            <w:pPr>
              <w:jc w:val="center"/>
              <w:rPr>
                <w:rFonts w:ascii="Verdana" w:hAnsi="Verdana"/>
              </w:rPr>
            </w:pPr>
          </w:p>
        </w:tc>
        <w:tc>
          <w:tcPr>
            <w:tcW w:w="969" w:type="pct"/>
            <w:vMerge/>
            <w:tcBorders>
              <w:left w:val="single" w:sz="0" w:space="0" w:color="auto"/>
              <w:bottom w:val="single" w:sz="0" w:space="0" w:color="auto"/>
              <w:right w:val="single" w:sz="0" w:space="0" w:color="auto"/>
            </w:tcBorders>
            <w:vAlign w:val="center"/>
          </w:tcPr>
          <w:p w14:paraId="4D483D57" w14:textId="77777777" w:rsidR="00A77757" w:rsidRPr="00B966C6" w:rsidRDefault="00A77757" w:rsidP="00E760BB">
            <w:pPr>
              <w:jc w:val="center"/>
              <w:rPr>
                <w:rFonts w:ascii="Verdana" w:hAnsi="Verdana"/>
              </w:rPr>
            </w:pPr>
          </w:p>
        </w:tc>
        <w:tc>
          <w:tcPr>
            <w:tcW w:w="969" w:type="pct"/>
            <w:vMerge/>
            <w:tcBorders>
              <w:left w:val="single" w:sz="0" w:space="0" w:color="auto"/>
              <w:bottom w:val="single" w:sz="0" w:space="0" w:color="auto"/>
              <w:right w:val="single" w:sz="0" w:space="0" w:color="auto"/>
            </w:tcBorders>
            <w:vAlign w:val="center"/>
          </w:tcPr>
          <w:p w14:paraId="676620F9" w14:textId="77777777" w:rsidR="00A77757" w:rsidRPr="00B966C6" w:rsidRDefault="00A77757" w:rsidP="00E760BB">
            <w:pPr>
              <w:jc w:val="center"/>
              <w:rPr>
                <w:rFonts w:ascii="Verdana" w:hAnsi="Verdana"/>
              </w:rPr>
            </w:pPr>
          </w:p>
        </w:tc>
        <w:tc>
          <w:tcPr>
            <w:tcW w:w="1065" w:type="pct"/>
            <w:tcBorders>
              <w:top w:val="single" w:sz="4" w:space="0" w:color="auto"/>
              <w:left w:val="nil"/>
              <w:bottom w:val="single" w:sz="4" w:space="0" w:color="auto"/>
              <w:right w:val="single" w:sz="4" w:space="0" w:color="000000" w:themeColor="text1"/>
            </w:tcBorders>
            <w:shd w:val="clear" w:color="auto" w:fill="BFBFBF" w:themeFill="background1" w:themeFillShade="BF"/>
            <w:tcMar>
              <w:top w:w="15" w:type="dxa"/>
              <w:left w:w="15" w:type="dxa"/>
              <w:right w:w="15" w:type="dxa"/>
            </w:tcMar>
            <w:vAlign w:val="center"/>
          </w:tcPr>
          <w:p w14:paraId="540BDFA6" w14:textId="77777777" w:rsidR="00A77757" w:rsidRPr="00B966C6" w:rsidRDefault="00A77757" w:rsidP="00E760BB">
            <w:pPr>
              <w:jc w:val="center"/>
              <w:rPr>
                <w:rFonts w:ascii="Verdana" w:hAnsi="Verdana"/>
              </w:rPr>
            </w:pPr>
            <w:r w:rsidRPr="00B966C6">
              <w:rPr>
                <w:rFonts w:ascii="Verdana" w:eastAsia="Arial Narrow" w:hAnsi="Verdana" w:cs="Arial Narrow"/>
                <w:b/>
                <w:bCs/>
                <w:sz w:val="18"/>
                <w:szCs w:val="18"/>
              </w:rPr>
              <w:t>Área Resolución 1125 de 2021</w:t>
            </w:r>
          </w:p>
        </w:tc>
        <w:tc>
          <w:tcPr>
            <w:tcW w:w="642" w:type="pct"/>
            <w:tcBorders>
              <w:top w:val="nil"/>
              <w:left w:val="single" w:sz="4" w:space="0" w:color="auto"/>
              <w:bottom w:val="single" w:sz="4" w:space="0" w:color="auto"/>
              <w:right w:val="single" w:sz="4" w:space="0" w:color="auto"/>
            </w:tcBorders>
            <w:shd w:val="clear" w:color="auto" w:fill="BFBFBF" w:themeFill="background1" w:themeFillShade="BF"/>
            <w:tcMar>
              <w:top w:w="15" w:type="dxa"/>
              <w:left w:w="15" w:type="dxa"/>
              <w:right w:w="15" w:type="dxa"/>
            </w:tcMar>
            <w:vAlign w:val="center"/>
          </w:tcPr>
          <w:p w14:paraId="668FD26C" w14:textId="77777777" w:rsidR="00A77757" w:rsidRPr="00B966C6" w:rsidRDefault="00A77757" w:rsidP="00E760BB">
            <w:pPr>
              <w:jc w:val="center"/>
              <w:rPr>
                <w:rFonts w:ascii="Verdana" w:hAnsi="Verdana"/>
              </w:rPr>
            </w:pPr>
            <w:r w:rsidRPr="00B966C6">
              <w:rPr>
                <w:rFonts w:ascii="Verdana" w:eastAsia="Arial Narrow" w:hAnsi="Verdana" w:cs="Arial Narrow"/>
                <w:b/>
                <w:bCs/>
                <w:sz w:val="18"/>
                <w:szCs w:val="18"/>
              </w:rPr>
              <w:t>Área Actual</w:t>
            </w:r>
          </w:p>
        </w:tc>
        <w:tc>
          <w:tcPr>
            <w:tcW w:w="738" w:type="pct"/>
            <w:tcBorders>
              <w:top w:val="nil"/>
              <w:left w:val="single" w:sz="4" w:space="0" w:color="auto"/>
              <w:bottom w:val="single" w:sz="4" w:space="0" w:color="auto"/>
              <w:right w:val="single" w:sz="4" w:space="0" w:color="000000" w:themeColor="text1"/>
            </w:tcBorders>
            <w:shd w:val="clear" w:color="auto" w:fill="BFBFBF" w:themeFill="background1" w:themeFillShade="BF"/>
            <w:tcMar>
              <w:top w:w="15" w:type="dxa"/>
              <w:left w:w="15" w:type="dxa"/>
              <w:right w:w="15" w:type="dxa"/>
            </w:tcMar>
            <w:vAlign w:val="center"/>
          </w:tcPr>
          <w:p w14:paraId="36886163" w14:textId="77777777" w:rsidR="00A77757" w:rsidRPr="00B966C6" w:rsidRDefault="00A77757" w:rsidP="00E760BB">
            <w:pPr>
              <w:jc w:val="center"/>
              <w:rPr>
                <w:rFonts w:ascii="Verdana" w:hAnsi="Verdana"/>
              </w:rPr>
            </w:pPr>
            <w:r w:rsidRPr="00B966C6">
              <w:rPr>
                <w:rFonts w:ascii="Verdana" w:eastAsia="Arial Narrow" w:hAnsi="Verdana" w:cs="Arial Narrow"/>
                <w:b/>
                <w:bCs/>
                <w:sz w:val="18"/>
                <w:szCs w:val="18"/>
              </w:rPr>
              <w:t>Área añadida</w:t>
            </w:r>
          </w:p>
        </w:tc>
      </w:tr>
      <w:tr w:rsidR="00A77757" w:rsidRPr="00B966C6" w14:paraId="44176ED4" w14:textId="77777777" w:rsidTr="00B966C6">
        <w:trPr>
          <w:trHeight w:val="540"/>
          <w:jc w:val="center"/>
        </w:trPr>
        <w:tc>
          <w:tcPr>
            <w:tcW w:w="617" w:type="pct"/>
            <w:tcBorders>
              <w:top w:val="nil"/>
              <w:left w:val="single" w:sz="4" w:space="0" w:color="auto"/>
              <w:bottom w:val="single" w:sz="4" w:space="0" w:color="auto"/>
              <w:right w:val="single" w:sz="4" w:space="0" w:color="auto"/>
            </w:tcBorders>
            <w:tcMar>
              <w:top w:w="15" w:type="dxa"/>
              <w:left w:w="15" w:type="dxa"/>
              <w:right w:w="15" w:type="dxa"/>
            </w:tcMar>
            <w:vAlign w:val="center"/>
          </w:tcPr>
          <w:p w14:paraId="3A5689B3" w14:textId="77777777" w:rsidR="00A77757" w:rsidRPr="00B966C6" w:rsidRDefault="00A77757" w:rsidP="00E760BB">
            <w:pPr>
              <w:jc w:val="center"/>
              <w:rPr>
                <w:rFonts w:ascii="Verdana" w:hAnsi="Verdana" w:cs="Calibri"/>
                <w:color w:val="000000"/>
                <w:sz w:val="18"/>
                <w:szCs w:val="18"/>
                <w:lang w:val="es-ES_tradnl" w:eastAsia="es-CO"/>
              </w:rPr>
            </w:pPr>
            <w:r w:rsidRPr="00B966C6">
              <w:rPr>
                <w:rFonts w:ascii="Verdana" w:hAnsi="Verdana" w:cs="Calibri"/>
                <w:color w:val="000000"/>
                <w:sz w:val="18"/>
                <w:szCs w:val="18"/>
                <w:lang w:val="es-ES_tradnl" w:eastAsia="es-CO"/>
              </w:rPr>
              <w:t>14</w:t>
            </w:r>
          </w:p>
        </w:tc>
        <w:tc>
          <w:tcPr>
            <w:tcW w:w="969" w:type="pct"/>
            <w:tcBorders>
              <w:top w:val="nil"/>
              <w:left w:val="single" w:sz="4" w:space="0" w:color="auto"/>
              <w:bottom w:val="single" w:sz="4" w:space="0" w:color="auto"/>
              <w:right w:val="single" w:sz="4" w:space="0" w:color="auto"/>
            </w:tcBorders>
            <w:tcMar>
              <w:top w:w="15" w:type="dxa"/>
              <w:left w:w="15" w:type="dxa"/>
              <w:right w:w="15" w:type="dxa"/>
            </w:tcMar>
            <w:vAlign w:val="center"/>
          </w:tcPr>
          <w:p w14:paraId="24ED75C4" w14:textId="77777777" w:rsidR="00A77757" w:rsidRPr="00B966C6" w:rsidRDefault="00A77757" w:rsidP="00E760BB">
            <w:pPr>
              <w:jc w:val="center"/>
              <w:rPr>
                <w:rFonts w:ascii="Verdana" w:hAnsi="Verdana" w:cs="Calibri"/>
                <w:color w:val="000000"/>
                <w:sz w:val="18"/>
                <w:szCs w:val="18"/>
                <w:lang w:val="es-ES_tradnl" w:eastAsia="es-CO"/>
              </w:rPr>
            </w:pPr>
            <w:r w:rsidRPr="00B966C6">
              <w:rPr>
                <w:rFonts w:ascii="Verdana" w:hAnsi="Verdana" w:cs="Calibri"/>
                <w:color w:val="000000"/>
                <w:sz w:val="18"/>
                <w:szCs w:val="18"/>
                <w:lang w:val="es-ES_tradnl" w:eastAsia="es-CO"/>
              </w:rPr>
              <w:t>Cerro Zamaricote</w:t>
            </w:r>
          </w:p>
        </w:tc>
        <w:tc>
          <w:tcPr>
            <w:tcW w:w="969" w:type="pct"/>
            <w:tcBorders>
              <w:top w:val="nil"/>
              <w:left w:val="single" w:sz="4" w:space="0" w:color="auto"/>
              <w:bottom w:val="single" w:sz="4" w:space="0" w:color="auto"/>
              <w:right w:val="single" w:sz="4" w:space="0" w:color="auto"/>
            </w:tcBorders>
            <w:tcMar>
              <w:top w:w="15" w:type="dxa"/>
              <w:left w:w="15" w:type="dxa"/>
              <w:right w:w="15" w:type="dxa"/>
            </w:tcMar>
            <w:vAlign w:val="center"/>
          </w:tcPr>
          <w:p w14:paraId="44CB9C98" w14:textId="77777777" w:rsidR="00A77757" w:rsidRPr="00B966C6" w:rsidRDefault="00A77757" w:rsidP="00E760BB">
            <w:pPr>
              <w:jc w:val="center"/>
              <w:rPr>
                <w:rFonts w:ascii="Verdana" w:hAnsi="Verdana" w:cs="Calibri"/>
                <w:color w:val="000000"/>
                <w:sz w:val="18"/>
                <w:szCs w:val="18"/>
                <w:lang w:val="es-ES_tradnl" w:eastAsia="es-CO"/>
              </w:rPr>
            </w:pPr>
            <w:r w:rsidRPr="00B966C6">
              <w:rPr>
                <w:rFonts w:ascii="Verdana" w:hAnsi="Verdana" w:cs="Calibri"/>
                <w:color w:val="000000"/>
                <w:sz w:val="18"/>
                <w:szCs w:val="18"/>
                <w:lang w:val="es-ES_tradnl" w:eastAsia="es-CO"/>
              </w:rPr>
              <w:t>Corporinoquia</w:t>
            </w:r>
          </w:p>
        </w:tc>
        <w:tc>
          <w:tcPr>
            <w:tcW w:w="1065" w:type="pct"/>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52435C7E" w14:textId="77777777" w:rsidR="00A77757" w:rsidRPr="00B966C6" w:rsidRDefault="00A77757" w:rsidP="00E760BB">
            <w:pPr>
              <w:jc w:val="center"/>
              <w:rPr>
                <w:rFonts w:ascii="Verdana" w:hAnsi="Verdana" w:cs="Calibri"/>
                <w:color w:val="000000"/>
                <w:sz w:val="18"/>
                <w:szCs w:val="18"/>
                <w:lang w:val="es-ES_tradnl" w:eastAsia="es-CO"/>
              </w:rPr>
            </w:pPr>
            <w:r w:rsidRPr="00B966C6">
              <w:rPr>
                <w:rFonts w:ascii="Verdana" w:hAnsi="Verdana" w:cs="Calibri"/>
                <w:color w:val="000000"/>
                <w:sz w:val="18"/>
                <w:szCs w:val="18"/>
                <w:lang w:val="es-ES_tradnl" w:eastAsia="es-CO"/>
              </w:rPr>
              <w:t>14.357,95</w:t>
            </w:r>
          </w:p>
        </w:tc>
        <w:tc>
          <w:tcPr>
            <w:tcW w:w="642" w:type="pct"/>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7D402F7A" w14:textId="77777777" w:rsidR="00A77757" w:rsidRPr="00B966C6" w:rsidRDefault="00A77757" w:rsidP="00E760BB">
            <w:pPr>
              <w:jc w:val="center"/>
              <w:rPr>
                <w:rFonts w:ascii="Verdana" w:hAnsi="Verdana" w:cs="Calibri"/>
                <w:color w:val="000000"/>
                <w:sz w:val="18"/>
                <w:szCs w:val="18"/>
                <w:lang w:val="es-ES_tradnl" w:eastAsia="es-CO"/>
              </w:rPr>
            </w:pPr>
            <w:r w:rsidRPr="00B966C6">
              <w:rPr>
                <w:rFonts w:ascii="Verdana" w:hAnsi="Verdana" w:cs="Calibri"/>
                <w:color w:val="000000"/>
                <w:sz w:val="18"/>
                <w:szCs w:val="18"/>
                <w:lang w:val="es-ES_tradnl" w:eastAsia="es-CO"/>
              </w:rPr>
              <w:t>15.520,97</w:t>
            </w:r>
          </w:p>
        </w:tc>
        <w:tc>
          <w:tcPr>
            <w:tcW w:w="738" w:type="pct"/>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226A5621" w14:textId="77777777" w:rsidR="00A77757" w:rsidRPr="00B966C6" w:rsidRDefault="00A77757" w:rsidP="00E760BB">
            <w:pPr>
              <w:jc w:val="center"/>
              <w:rPr>
                <w:rFonts w:ascii="Verdana" w:hAnsi="Verdana" w:cs="Calibri"/>
                <w:color w:val="000000"/>
                <w:sz w:val="18"/>
                <w:szCs w:val="18"/>
                <w:lang w:val="es-ES_tradnl" w:eastAsia="es-CO"/>
              </w:rPr>
            </w:pPr>
            <w:r w:rsidRPr="00B966C6">
              <w:rPr>
                <w:rFonts w:ascii="Verdana" w:hAnsi="Verdana" w:cs="Calibri"/>
                <w:color w:val="000000"/>
                <w:sz w:val="18"/>
                <w:szCs w:val="18"/>
                <w:lang w:val="es-ES_tradnl" w:eastAsia="es-CO"/>
              </w:rPr>
              <w:t>1.163,02</w:t>
            </w:r>
          </w:p>
        </w:tc>
      </w:tr>
      <w:tr w:rsidR="00A77757" w:rsidRPr="00B966C6" w14:paraId="114B75FC" w14:textId="77777777" w:rsidTr="00B966C6">
        <w:trPr>
          <w:trHeight w:val="540"/>
          <w:jc w:val="center"/>
        </w:trPr>
        <w:tc>
          <w:tcPr>
            <w:tcW w:w="617" w:type="pct"/>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52039082" w14:textId="77777777" w:rsidR="00A77757" w:rsidRPr="00B966C6" w:rsidRDefault="00A77757" w:rsidP="00E760BB">
            <w:pPr>
              <w:jc w:val="center"/>
              <w:rPr>
                <w:rFonts w:ascii="Verdana" w:hAnsi="Verdana" w:cs="Calibri"/>
                <w:color w:val="000000"/>
                <w:sz w:val="18"/>
                <w:szCs w:val="18"/>
                <w:lang w:val="es-ES_tradnl" w:eastAsia="es-CO"/>
              </w:rPr>
            </w:pPr>
            <w:r w:rsidRPr="00B966C6">
              <w:rPr>
                <w:rFonts w:ascii="Verdana" w:hAnsi="Verdana" w:cs="Calibri"/>
                <w:color w:val="000000"/>
                <w:sz w:val="18"/>
                <w:szCs w:val="18"/>
                <w:lang w:val="es-ES_tradnl" w:eastAsia="es-CO"/>
              </w:rPr>
              <w:t>11</w:t>
            </w:r>
          </w:p>
        </w:tc>
        <w:tc>
          <w:tcPr>
            <w:tcW w:w="969" w:type="pct"/>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6DCBAEBB" w14:textId="77777777" w:rsidR="00A77757" w:rsidRPr="00B966C6" w:rsidRDefault="00A77757" w:rsidP="00E760BB">
            <w:pPr>
              <w:jc w:val="center"/>
              <w:rPr>
                <w:rFonts w:ascii="Verdana" w:hAnsi="Verdana" w:cs="Calibri"/>
                <w:color w:val="000000"/>
                <w:sz w:val="18"/>
                <w:szCs w:val="18"/>
                <w:lang w:val="es-ES_tradnl" w:eastAsia="es-CO"/>
              </w:rPr>
            </w:pPr>
            <w:r w:rsidRPr="00B966C6">
              <w:rPr>
                <w:rFonts w:ascii="Verdana" w:hAnsi="Verdana" w:cs="Calibri"/>
                <w:color w:val="000000"/>
                <w:sz w:val="18"/>
                <w:szCs w:val="18"/>
                <w:lang w:val="es-ES_tradnl" w:eastAsia="es-CO"/>
              </w:rPr>
              <w:t>Área Corozal</w:t>
            </w:r>
          </w:p>
        </w:tc>
        <w:tc>
          <w:tcPr>
            <w:tcW w:w="969" w:type="pct"/>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39FB1E2A" w14:textId="77777777" w:rsidR="00A77757" w:rsidRPr="00B966C6" w:rsidRDefault="00A77757" w:rsidP="00E760BB">
            <w:pPr>
              <w:jc w:val="center"/>
              <w:rPr>
                <w:rFonts w:ascii="Verdana" w:hAnsi="Verdana" w:cs="Calibri"/>
                <w:color w:val="000000"/>
                <w:sz w:val="18"/>
                <w:szCs w:val="18"/>
                <w:lang w:val="es-ES_tradnl" w:eastAsia="es-CO"/>
              </w:rPr>
            </w:pPr>
            <w:r w:rsidRPr="00B966C6">
              <w:rPr>
                <w:rFonts w:ascii="Verdana" w:hAnsi="Verdana" w:cs="Calibri"/>
                <w:color w:val="000000"/>
                <w:sz w:val="18"/>
                <w:szCs w:val="18"/>
                <w:lang w:val="es-ES_tradnl" w:eastAsia="es-CO"/>
              </w:rPr>
              <w:t>Corpocaldas</w:t>
            </w:r>
          </w:p>
        </w:tc>
        <w:tc>
          <w:tcPr>
            <w:tcW w:w="1065" w:type="pct"/>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71C11030" w14:textId="77777777" w:rsidR="00A77757" w:rsidRPr="00B966C6" w:rsidRDefault="00A77757" w:rsidP="00E760BB">
            <w:pPr>
              <w:jc w:val="center"/>
              <w:rPr>
                <w:rFonts w:ascii="Verdana" w:hAnsi="Verdana" w:cs="Calibri"/>
                <w:color w:val="000000"/>
                <w:sz w:val="18"/>
                <w:szCs w:val="18"/>
                <w:lang w:val="es-ES_tradnl" w:eastAsia="es-CO"/>
              </w:rPr>
            </w:pPr>
            <w:r w:rsidRPr="00B966C6">
              <w:rPr>
                <w:rFonts w:ascii="Verdana" w:hAnsi="Verdana" w:cs="Calibri"/>
                <w:color w:val="000000"/>
                <w:sz w:val="18"/>
                <w:szCs w:val="18"/>
                <w:lang w:val="es-ES_tradnl" w:eastAsia="es-CO"/>
              </w:rPr>
              <w:t>1.913,32</w:t>
            </w:r>
          </w:p>
        </w:tc>
        <w:tc>
          <w:tcPr>
            <w:tcW w:w="642" w:type="pct"/>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169706F6" w14:textId="77777777" w:rsidR="00A77757" w:rsidRPr="00B966C6" w:rsidRDefault="00A77757" w:rsidP="00E760BB">
            <w:pPr>
              <w:jc w:val="center"/>
              <w:rPr>
                <w:rFonts w:ascii="Verdana" w:hAnsi="Verdana" w:cs="Calibri"/>
                <w:color w:val="000000"/>
                <w:sz w:val="18"/>
                <w:szCs w:val="18"/>
                <w:lang w:val="es-ES_tradnl" w:eastAsia="es-CO"/>
              </w:rPr>
            </w:pPr>
            <w:r w:rsidRPr="00B966C6">
              <w:rPr>
                <w:rFonts w:ascii="Verdana" w:hAnsi="Verdana" w:cs="Calibri"/>
                <w:color w:val="000000"/>
                <w:sz w:val="18"/>
                <w:szCs w:val="18"/>
                <w:lang w:val="es-ES_tradnl" w:eastAsia="es-CO"/>
              </w:rPr>
              <w:t>1.938,40</w:t>
            </w:r>
          </w:p>
        </w:tc>
        <w:tc>
          <w:tcPr>
            <w:tcW w:w="738" w:type="pct"/>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3AF2D938" w14:textId="77777777" w:rsidR="00A77757" w:rsidRPr="00B966C6" w:rsidRDefault="00A77757" w:rsidP="00E760BB">
            <w:pPr>
              <w:jc w:val="center"/>
              <w:rPr>
                <w:rFonts w:ascii="Verdana" w:hAnsi="Verdana" w:cs="Calibri"/>
                <w:color w:val="000000"/>
                <w:sz w:val="18"/>
                <w:szCs w:val="18"/>
                <w:lang w:val="es-ES_tradnl" w:eastAsia="es-CO"/>
              </w:rPr>
            </w:pPr>
            <w:r w:rsidRPr="00B966C6">
              <w:rPr>
                <w:rFonts w:ascii="Verdana" w:hAnsi="Verdana" w:cs="Calibri"/>
                <w:color w:val="000000"/>
                <w:sz w:val="18"/>
                <w:szCs w:val="18"/>
                <w:lang w:val="es-ES_tradnl" w:eastAsia="es-CO"/>
              </w:rPr>
              <w:t>25,07</w:t>
            </w:r>
          </w:p>
        </w:tc>
      </w:tr>
      <w:tr w:rsidR="00A77757" w:rsidRPr="00B966C6" w14:paraId="528F031A" w14:textId="77777777" w:rsidTr="00B966C6">
        <w:trPr>
          <w:trHeight w:val="540"/>
          <w:jc w:val="center"/>
        </w:trPr>
        <w:tc>
          <w:tcPr>
            <w:tcW w:w="2555" w:type="pct"/>
            <w:gridSpan w:val="3"/>
            <w:tcBorders>
              <w:top w:val="single" w:sz="4" w:space="0" w:color="auto"/>
              <w:left w:val="single" w:sz="4" w:space="0" w:color="auto"/>
              <w:bottom w:val="single" w:sz="4" w:space="0" w:color="auto"/>
              <w:right w:val="single" w:sz="4" w:space="0" w:color="auto"/>
            </w:tcBorders>
            <w:shd w:val="clear" w:color="auto" w:fill="BFBFBF" w:themeFill="background1" w:themeFillShade="BF"/>
            <w:tcMar>
              <w:top w:w="15" w:type="dxa"/>
              <w:left w:w="15" w:type="dxa"/>
              <w:right w:w="15" w:type="dxa"/>
            </w:tcMar>
            <w:vAlign w:val="center"/>
          </w:tcPr>
          <w:p w14:paraId="16F9FD32" w14:textId="77777777" w:rsidR="00A77757" w:rsidRPr="00B966C6" w:rsidRDefault="00A77757" w:rsidP="00E760BB">
            <w:pPr>
              <w:jc w:val="center"/>
              <w:rPr>
                <w:rFonts w:ascii="Verdana" w:eastAsia="Arial Narrow" w:hAnsi="Verdana" w:cs="Arial Narrow"/>
                <w:b/>
                <w:bCs/>
                <w:sz w:val="18"/>
                <w:szCs w:val="18"/>
              </w:rPr>
            </w:pPr>
            <w:r w:rsidRPr="00B966C6">
              <w:rPr>
                <w:rFonts w:ascii="Verdana" w:eastAsia="Arial Narrow" w:hAnsi="Verdana" w:cs="Arial Narrow"/>
                <w:b/>
                <w:bCs/>
                <w:sz w:val="18"/>
                <w:szCs w:val="18"/>
              </w:rPr>
              <w:t>Total</w:t>
            </w:r>
          </w:p>
        </w:tc>
        <w:tc>
          <w:tcPr>
            <w:tcW w:w="1065" w:type="pct"/>
            <w:tcBorders>
              <w:top w:val="single" w:sz="4" w:space="0" w:color="auto"/>
              <w:left w:val="single" w:sz="4" w:space="0" w:color="auto"/>
              <w:bottom w:val="single" w:sz="4" w:space="0" w:color="auto"/>
              <w:right w:val="single" w:sz="4" w:space="0" w:color="auto"/>
            </w:tcBorders>
            <w:shd w:val="clear" w:color="auto" w:fill="BFBFBF" w:themeFill="background1" w:themeFillShade="BF"/>
            <w:tcMar>
              <w:top w:w="15" w:type="dxa"/>
              <w:left w:w="15" w:type="dxa"/>
              <w:right w:w="15" w:type="dxa"/>
            </w:tcMar>
            <w:vAlign w:val="center"/>
          </w:tcPr>
          <w:p w14:paraId="0F7326EE" w14:textId="77777777" w:rsidR="00A77757" w:rsidRPr="00B966C6" w:rsidRDefault="00A77757" w:rsidP="00E760BB">
            <w:pPr>
              <w:jc w:val="center"/>
              <w:rPr>
                <w:rFonts w:ascii="Verdana" w:eastAsia="Arial Narrow" w:hAnsi="Verdana" w:cs="Arial Narrow"/>
                <w:b/>
                <w:bCs/>
                <w:sz w:val="18"/>
                <w:szCs w:val="18"/>
              </w:rPr>
            </w:pPr>
            <w:r w:rsidRPr="00B966C6">
              <w:rPr>
                <w:rFonts w:ascii="Verdana" w:eastAsia="Arial Narrow" w:hAnsi="Verdana" w:cs="Arial Narrow"/>
                <w:b/>
                <w:bCs/>
                <w:sz w:val="18"/>
                <w:szCs w:val="18"/>
              </w:rPr>
              <w:t>16.271,27</w:t>
            </w:r>
          </w:p>
        </w:tc>
        <w:tc>
          <w:tcPr>
            <w:tcW w:w="642" w:type="pct"/>
            <w:tcBorders>
              <w:top w:val="single" w:sz="4" w:space="0" w:color="auto"/>
              <w:left w:val="single" w:sz="4" w:space="0" w:color="auto"/>
              <w:bottom w:val="single" w:sz="4" w:space="0" w:color="auto"/>
              <w:right w:val="single" w:sz="4" w:space="0" w:color="auto"/>
            </w:tcBorders>
            <w:shd w:val="clear" w:color="auto" w:fill="BFBFBF" w:themeFill="background1" w:themeFillShade="BF"/>
            <w:tcMar>
              <w:top w:w="15" w:type="dxa"/>
              <w:left w:w="15" w:type="dxa"/>
              <w:right w:w="15" w:type="dxa"/>
            </w:tcMar>
            <w:vAlign w:val="center"/>
          </w:tcPr>
          <w:p w14:paraId="4FA9420A" w14:textId="77777777" w:rsidR="00A77757" w:rsidRPr="00B966C6" w:rsidRDefault="00A77757" w:rsidP="00E760BB">
            <w:pPr>
              <w:jc w:val="center"/>
              <w:rPr>
                <w:rFonts w:ascii="Verdana" w:eastAsia="Arial Narrow" w:hAnsi="Verdana" w:cs="Arial Narrow"/>
                <w:b/>
                <w:bCs/>
                <w:sz w:val="18"/>
                <w:szCs w:val="18"/>
              </w:rPr>
            </w:pPr>
            <w:r w:rsidRPr="00B966C6">
              <w:rPr>
                <w:rFonts w:ascii="Verdana" w:eastAsia="Arial Narrow" w:hAnsi="Verdana" w:cs="Arial Narrow"/>
                <w:b/>
                <w:bCs/>
                <w:sz w:val="18"/>
                <w:szCs w:val="18"/>
              </w:rPr>
              <w:t>17.459,37</w:t>
            </w:r>
          </w:p>
        </w:tc>
        <w:tc>
          <w:tcPr>
            <w:tcW w:w="738" w:type="pct"/>
            <w:tcBorders>
              <w:top w:val="single" w:sz="4" w:space="0" w:color="auto"/>
              <w:left w:val="single" w:sz="4" w:space="0" w:color="auto"/>
              <w:bottom w:val="single" w:sz="4" w:space="0" w:color="auto"/>
              <w:right w:val="single" w:sz="4" w:space="0" w:color="auto"/>
            </w:tcBorders>
            <w:shd w:val="clear" w:color="auto" w:fill="BFBFBF" w:themeFill="background1" w:themeFillShade="BF"/>
            <w:tcMar>
              <w:top w:w="15" w:type="dxa"/>
              <w:left w:w="15" w:type="dxa"/>
              <w:right w:w="15" w:type="dxa"/>
            </w:tcMar>
            <w:vAlign w:val="center"/>
          </w:tcPr>
          <w:p w14:paraId="2B5761B6" w14:textId="77777777" w:rsidR="00A77757" w:rsidRPr="00B966C6" w:rsidRDefault="00A77757" w:rsidP="00E760BB">
            <w:pPr>
              <w:jc w:val="center"/>
              <w:rPr>
                <w:rFonts w:ascii="Verdana" w:eastAsia="Arial Narrow" w:hAnsi="Verdana" w:cs="Arial Narrow"/>
                <w:b/>
                <w:bCs/>
                <w:sz w:val="18"/>
                <w:szCs w:val="18"/>
              </w:rPr>
            </w:pPr>
            <w:r w:rsidRPr="00B966C6">
              <w:rPr>
                <w:rFonts w:ascii="Verdana" w:eastAsia="Arial Narrow" w:hAnsi="Verdana" w:cs="Arial Narrow"/>
                <w:b/>
                <w:bCs/>
                <w:sz w:val="18"/>
                <w:szCs w:val="18"/>
              </w:rPr>
              <w:t>1.188,09</w:t>
            </w:r>
          </w:p>
        </w:tc>
      </w:tr>
    </w:tbl>
    <w:p w14:paraId="70890B89" w14:textId="77777777" w:rsidR="00A77757" w:rsidRPr="00B966C6" w:rsidRDefault="00A77757" w:rsidP="00674FA3">
      <w:pPr>
        <w:ind w:left="-284"/>
        <w:jc w:val="both"/>
        <w:rPr>
          <w:rFonts w:ascii="Verdana" w:hAnsi="Verdana" w:cs="Arial"/>
          <w:sz w:val="22"/>
          <w:szCs w:val="22"/>
          <w:lang w:val="es-CO"/>
        </w:rPr>
      </w:pPr>
    </w:p>
    <w:p w14:paraId="53A0E41A" w14:textId="77777777" w:rsidR="00674FA3" w:rsidRPr="00B966C6" w:rsidRDefault="00674FA3" w:rsidP="00674FA3">
      <w:pPr>
        <w:ind w:left="-284"/>
        <w:jc w:val="both"/>
        <w:rPr>
          <w:rFonts w:ascii="Verdana" w:hAnsi="Verdana" w:cs="Arial"/>
          <w:sz w:val="22"/>
          <w:szCs w:val="22"/>
          <w:lang w:val="es-CO"/>
        </w:rPr>
      </w:pPr>
    </w:p>
    <w:p w14:paraId="5E5B90CF" w14:textId="673F68F7" w:rsidR="00674FA3" w:rsidRPr="00B966C6" w:rsidRDefault="00674FA3" w:rsidP="00674FA3">
      <w:pPr>
        <w:ind w:left="-284"/>
        <w:jc w:val="both"/>
        <w:rPr>
          <w:rFonts w:ascii="Verdana" w:hAnsi="Verdana" w:cs="Arial"/>
          <w:sz w:val="22"/>
          <w:szCs w:val="22"/>
          <w:lang w:val="es-CO"/>
        </w:rPr>
      </w:pPr>
      <w:r w:rsidRPr="00B966C6">
        <w:rPr>
          <w:rFonts w:ascii="Verdana" w:hAnsi="Verdana" w:cs="Arial"/>
          <w:b/>
          <w:sz w:val="22"/>
          <w:szCs w:val="22"/>
          <w:lang w:val="es-CO"/>
        </w:rPr>
        <w:t xml:space="preserve">Parágrafo 1.- </w:t>
      </w:r>
      <w:r w:rsidRPr="00B966C6">
        <w:rPr>
          <w:rFonts w:ascii="Verdana" w:hAnsi="Verdana" w:cs="Arial"/>
          <w:sz w:val="22"/>
          <w:szCs w:val="22"/>
          <w:lang w:val="es-CO"/>
        </w:rPr>
        <w:t xml:space="preserve">Los polígonos anteriormente relacionados suman un área de </w:t>
      </w:r>
      <w:r w:rsidR="00A77757" w:rsidRPr="00B966C6">
        <w:rPr>
          <w:rFonts w:ascii="Verdana" w:hAnsi="Verdana" w:cs="Arial"/>
          <w:b/>
          <w:sz w:val="22"/>
          <w:szCs w:val="22"/>
          <w:lang w:val="es-CO"/>
        </w:rPr>
        <w:t xml:space="preserve">17.459,37 </w:t>
      </w:r>
      <w:r w:rsidRPr="00B966C6">
        <w:rPr>
          <w:rFonts w:ascii="Verdana" w:hAnsi="Verdana" w:cs="Arial"/>
          <w:b/>
          <w:sz w:val="22"/>
          <w:szCs w:val="22"/>
          <w:lang w:val="es-CO"/>
        </w:rPr>
        <w:t xml:space="preserve">hectáreas </w:t>
      </w:r>
      <w:r w:rsidR="000C2D3F" w:rsidRPr="00B966C6">
        <w:rPr>
          <w:rFonts w:ascii="Verdana" w:hAnsi="Verdana" w:cs="Arial"/>
          <w:sz w:val="22"/>
          <w:szCs w:val="22"/>
          <w:lang w:val="es-CO"/>
        </w:rPr>
        <w:t>y el archivo geográfico en formato “shape” que delimita las zonas de protección y desarrollo de los recursos naturales renovables y del medio ambiente y que se anexa a este acto administrativo y hace parte integral del mismo, fue generado mediante el software ArcGIS Pro 3.1.2</w:t>
      </w:r>
      <w:r w:rsidRPr="00B966C6">
        <w:rPr>
          <w:rFonts w:ascii="Verdana" w:hAnsi="Verdana" w:cs="Arial"/>
          <w:sz w:val="22"/>
          <w:szCs w:val="22"/>
          <w:lang w:val="es-CO"/>
        </w:rPr>
        <w:t>.</w:t>
      </w:r>
    </w:p>
    <w:p w14:paraId="79CF4D75" w14:textId="77777777" w:rsidR="00674FA3" w:rsidRPr="00B966C6" w:rsidRDefault="00674FA3" w:rsidP="00674FA3">
      <w:pPr>
        <w:ind w:left="-284"/>
        <w:jc w:val="both"/>
        <w:rPr>
          <w:rFonts w:ascii="Verdana" w:hAnsi="Verdana" w:cs="Arial"/>
          <w:sz w:val="22"/>
          <w:szCs w:val="22"/>
          <w:lang w:val="es-CO"/>
        </w:rPr>
      </w:pPr>
    </w:p>
    <w:p w14:paraId="20DB6FCD" w14:textId="27907C84" w:rsidR="00674FA3" w:rsidRPr="00B966C6" w:rsidRDefault="00674FA3" w:rsidP="00674FA3">
      <w:pPr>
        <w:ind w:left="-284"/>
        <w:jc w:val="both"/>
        <w:rPr>
          <w:rFonts w:ascii="Verdana" w:hAnsi="Verdana" w:cs="Arial"/>
          <w:sz w:val="22"/>
          <w:szCs w:val="22"/>
          <w:lang w:val="es-CO"/>
        </w:rPr>
      </w:pPr>
      <w:r w:rsidRPr="00B966C6">
        <w:rPr>
          <w:rFonts w:ascii="Verdana" w:hAnsi="Verdana" w:cs="Arial"/>
          <w:b/>
          <w:sz w:val="22"/>
          <w:szCs w:val="22"/>
          <w:lang w:val="es-CO"/>
        </w:rPr>
        <w:t xml:space="preserve">Parágrafo 2. </w:t>
      </w:r>
      <w:r w:rsidRPr="00B966C6">
        <w:rPr>
          <w:rFonts w:ascii="Verdana" w:hAnsi="Verdana" w:cs="Arial"/>
          <w:sz w:val="22"/>
          <w:szCs w:val="22"/>
          <w:lang w:val="es-CO"/>
        </w:rPr>
        <w:t xml:space="preserve">El ajuste de que trata el presente </w:t>
      </w:r>
      <w:r w:rsidR="00901D3C" w:rsidRPr="00B966C6">
        <w:rPr>
          <w:rFonts w:ascii="Verdana" w:hAnsi="Verdana" w:cs="Arial"/>
          <w:sz w:val="22"/>
          <w:szCs w:val="22"/>
          <w:lang w:val="es-CO"/>
        </w:rPr>
        <w:t>artículo</w:t>
      </w:r>
      <w:r w:rsidRPr="00B966C6">
        <w:rPr>
          <w:rFonts w:ascii="Verdana" w:hAnsi="Verdana" w:cs="Arial"/>
          <w:sz w:val="22"/>
          <w:szCs w:val="22"/>
          <w:lang w:val="es-CO"/>
        </w:rPr>
        <w:t xml:space="preserve"> se realiza con fundamento en el informe consolidado por la Dirección de Bosques, Biodiversidad y Servicios Ecosistémicos a partir de la información técnica aportada por las autoridades ambientales regionales.</w:t>
      </w:r>
    </w:p>
    <w:p w14:paraId="1D5CCD56" w14:textId="77777777" w:rsidR="00674FA3" w:rsidRPr="00B966C6" w:rsidRDefault="00674FA3" w:rsidP="00674FA3">
      <w:pPr>
        <w:ind w:left="-284"/>
        <w:jc w:val="both"/>
        <w:rPr>
          <w:rFonts w:ascii="Verdana" w:hAnsi="Verdana" w:cs="Arial"/>
          <w:sz w:val="22"/>
          <w:szCs w:val="22"/>
          <w:lang w:val="es-CO"/>
        </w:rPr>
      </w:pPr>
    </w:p>
    <w:p w14:paraId="0C3E291F" w14:textId="77777777" w:rsidR="00674FA3" w:rsidRPr="00B966C6" w:rsidRDefault="00674FA3" w:rsidP="00674FA3">
      <w:pPr>
        <w:ind w:left="-284"/>
        <w:jc w:val="both"/>
        <w:rPr>
          <w:rFonts w:ascii="Verdana" w:hAnsi="Verdana" w:cs="Arial"/>
          <w:sz w:val="22"/>
          <w:szCs w:val="22"/>
          <w:lang w:val="es-CO"/>
        </w:rPr>
      </w:pPr>
      <w:r w:rsidRPr="00B966C6">
        <w:rPr>
          <w:rFonts w:ascii="Verdana" w:hAnsi="Verdana" w:cs="Arial"/>
          <w:b/>
          <w:sz w:val="22"/>
          <w:szCs w:val="22"/>
          <w:lang w:val="es-CO"/>
        </w:rPr>
        <w:t xml:space="preserve">Artículo 4- División de áreas. </w:t>
      </w:r>
      <w:r w:rsidRPr="00B966C6">
        <w:rPr>
          <w:rFonts w:ascii="Verdana" w:hAnsi="Verdana" w:cs="Arial"/>
          <w:sz w:val="22"/>
          <w:szCs w:val="22"/>
          <w:lang w:val="es-CO"/>
        </w:rPr>
        <w:t xml:space="preserve">Modificar en el sentido de dividir el área y prorrogar por el término de dos (2) años, contados a partir de la expedición del presente acto administrativo, los efectos jurídicos de las zonas de protección y desarrollo de los </w:t>
      </w:r>
      <w:r w:rsidRPr="00B966C6">
        <w:rPr>
          <w:rFonts w:ascii="Verdana" w:hAnsi="Verdana" w:cs="Arial"/>
          <w:sz w:val="22"/>
          <w:szCs w:val="22"/>
          <w:lang w:val="es-CO"/>
        </w:rPr>
        <w:lastRenderedPageBreak/>
        <w:t>recursos naturales renovables y del medio ambiente, de los polígonos identificados así:</w:t>
      </w:r>
    </w:p>
    <w:p w14:paraId="47BC4BAD" w14:textId="77777777" w:rsidR="00674FA3" w:rsidRPr="00B966C6" w:rsidRDefault="00674FA3" w:rsidP="00674FA3">
      <w:pPr>
        <w:ind w:left="-284"/>
        <w:jc w:val="both"/>
        <w:rPr>
          <w:rFonts w:ascii="Verdana" w:hAnsi="Verdana" w:cs="Arial"/>
          <w:sz w:val="22"/>
          <w:szCs w:val="22"/>
          <w:lang w:val="es-CO"/>
        </w:rPr>
      </w:pPr>
    </w:p>
    <w:tbl>
      <w:tblPr>
        <w:tblW w:w="5000" w:type="pct"/>
        <w:jc w:val="center"/>
        <w:tblCellMar>
          <w:left w:w="70" w:type="dxa"/>
          <w:right w:w="70" w:type="dxa"/>
        </w:tblCellMar>
        <w:tblLook w:val="04A0" w:firstRow="1" w:lastRow="0" w:firstColumn="1" w:lastColumn="0" w:noHBand="0" w:noVBand="1"/>
      </w:tblPr>
      <w:tblGrid>
        <w:gridCol w:w="1020"/>
        <w:gridCol w:w="2623"/>
        <w:gridCol w:w="1036"/>
        <w:gridCol w:w="2400"/>
        <w:gridCol w:w="982"/>
        <w:gridCol w:w="1133"/>
      </w:tblGrid>
      <w:tr w:rsidR="00A77757" w:rsidRPr="00B966C6" w14:paraId="382AE62C" w14:textId="77777777" w:rsidTr="00B966C6">
        <w:trPr>
          <w:trHeight w:val="540"/>
          <w:jc w:val="center"/>
        </w:trPr>
        <w:tc>
          <w:tcPr>
            <w:tcW w:w="555" w:type="pct"/>
            <w:vMerge w:val="restart"/>
            <w:tcBorders>
              <w:top w:val="single" w:sz="8" w:space="0" w:color="auto"/>
              <w:left w:val="single" w:sz="8" w:space="0" w:color="auto"/>
              <w:bottom w:val="nil"/>
              <w:right w:val="single" w:sz="8" w:space="0" w:color="auto"/>
            </w:tcBorders>
            <w:shd w:val="clear" w:color="000000" w:fill="BFBFBF"/>
            <w:noWrap/>
            <w:vAlign w:val="center"/>
            <w:hideMark/>
          </w:tcPr>
          <w:p w14:paraId="4B3DD582" w14:textId="77777777" w:rsidR="00A77757" w:rsidRPr="00B966C6" w:rsidRDefault="00A77757" w:rsidP="00E760BB">
            <w:pPr>
              <w:jc w:val="center"/>
              <w:rPr>
                <w:rFonts w:ascii="Verdana" w:hAnsi="Verdana" w:cs="Calibri"/>
                <w:b/>
                <w:bCs/>
                <w:color w:val="000000"/>
                <w:sz w:val="18"/>
                <w:szCs w:val="18"/>
                <w:lang w:val="es-CO" w:eastAsia="es-CO"/>
              </w:rPr>
            </w:pPr>
            <w:r w:rsidRPr="00B966C6">
              <w:rPr>
                <w:rFonts w:ascii="Verdana" w:hAnsi="Verdana" w:cs="Calibri"/>
                <w:b/>
                <w:bCs/>
                <w:color w:val="000000"/>
                <w:sz w:val="18"/>
                <w:szCs w:val="18"/>
                <w:lang w:val="es-CO" w:eastAsia="es-CO"/>
              </w:rPr>
              <w:t>N° Polígono</w:t>
            </w:r>
          </w:p>
        </w:tc>
        <w:tc>
          <w:tcPr>
            <w:tcW w:w="1426" w:type="pct"/>
            <w:vMerge w:val="restart"/>
            <w:tcBorders>
              <w:top w:val="single" w:sz="8" w:space="0" w:color="auto"/>
              <w:left w:val="single" w:sz="8" w:space="0" w:color="auto"/>
              <w:bottom w:val="nil"/>
              <w:right w:val="single" w:sz="8" w:space="0" w:color="auto"/>
            </w:tcBorders>
            <w:shd w:val="clear" w:color="000000" w:fill="BFBFBF"/>
            <w:noWrap/>
            <w:vAlign w:val="center"/>
            <w:hideMark/>
          </w:tcPr>
          <w:p w14:paraId="1E34B1B9" w14:textId="77777777" w:rsidR="00A77757" w:rsidRPr="00B966C6" w:rsidRDefault="00A77757" w:rsidP="00E760BB">
            <w:pPr>
              <w:jc w:val="center"/>
              <w:rPr>
                <w:rFonts w:ascii="Verdana" w:hAnsi="Verdana" w:cs="Calibri"/>
                <w:b/>
                <w:bCs/>
                <w:color w:val="000000"/>
                <w:sz w:val="18"/>
                <w:szCs w:val="18"/>
                <w:lang w:val="es-CO" w:eastAsia="es-CO"/>
              </w:rPr>
            </w:pPr>
            <w:r w:rsidRPr="00B966C6">
              <w:rPr>
                <w:rFonts w:ascii="Verdana" w:hAnsi="Verdana" w:cs="Calibri"/>
                <w:b/>
                <w:bCs/>
                <w:color w:val="000000"/>
                <w:sz w:val="18"/>
                <w:szCs w:val="18"/>
                <w:lang w:val="es-CO" w:eastAsia="es-CO"/>
              </w:rPr>
              <w:t>Nombre del área</w:t>
            </w:r>
          </w:p>
        </w:tc>
        <w:tc>
          <w:tcPr>
            <w:tcW w:w="563" w:type="pct"/>
            <w:vMerge w:val="restart"/>
            <w:tcBorders>
              <w:top w:val="single" w:sz="8" w:space="0" w:color="auto"/>
              <w:left w:val="single" w:sz="8" w:space="0" w:color="auto"/>
              <w:bottom w:val="nil"/>
              <w:right w:val="single" w:sz="8" w:space="0" w:color="auto"/>
            </w:tcBorders>
            <w:shd w:val="clear" w:color="000000" w:fill="BFBFBF"/>
            <w:vAlign w:val="center"/>
            <w:hideMark/>
          </w:tcPr>
          <w:p w14:paraId="6692C359" w14:textId="77777777" w:rsidR="00A77757" w:rsidRPr="00B966C6" w:rsidRDefault="00A77757" w:rsidP="00E760BB">
            <w:pPr>
              <w:jc w:val="center"/>
              <w:rPr>
                <w:rFonts w:ascii="Verdana" w:hAnsi="Verdana" w:cs="Calibri"/>
                <w:b/>
                <w:bCs/>
                <w:color w:val="000000"/>
                <w:sz w:val="18"/>
                <w:szCs w:val="18"/>
                <w:lang w:val="es-CO" w:eastAsia="es-CO"/>
              </w:rPr>
            </w:pPr>
            <w:r w:rsidRPr="00B966C6">
              <w:rPr>
                <w:rFonts w:ascii="Verdana" w:hAnsi="Verdana" w:cs="Calibri"/>
                <w:b/>
                <w:bCs/>
                <w:color w:val="000000"/>
                <w:sz w:val="18"/>
                <w:szCs w:val="18"/>
                <w:lang w:val="es-CO" w:eastAsia="es-CO"/>
              </w:rPr>
              <w:t>Corporación</w:t>
            </w:r>
          </w:p>
        </w:tc>
        <w:tc>
          <w:tcPr>
            <w:tcW w:w="2455" w:type="pct"/>
            <w:gridSpan w:val="3"/>
            <w:tcBorders>
              <w:top w:val="single" w:sz="8" w:space="0" w:color="auto"/>
              <w:left w:val="nil"/>
              <w:bottom w:val="single" w:sz="8" w:space="0" w:color="auto"/>
              <w:right w:val="single" w:sz="8" w:space="0" w:color="000000"/>
            </w:tcBorders>
            <w:shd w:val="clear" w:color="000000" w:fill="BFBFBF"/>
            <w:noWrap/>
            <w:vAlign w:val="center"/>
            <w:hideMark/>
          </w:tcPr>
          <w:p w14:paraId="275D0F91" w14:textId="77777777" w:rsidR="00A77757" w:rsidRPr="00B966C6" w:rsidRDefault="00A77757" w:rsidP="00E760BB">
            <w:pPr>
              <w:jc w:val="center"/>
              <w:rPr>
                <w:rFonts w:ascii="Verdana" w:hAnsi="Verdana" w:cs="Calibri"/>
                <w:b/>
                <w:bCs/>
                <w:color w:val="000000"/>
                <w:sz w:val="18"/>
                <w:szCs w:val="18"/>
                <w:lang w:val="es-CO" w:eastAsia="es-CO"/>
              </w:rPr>
            </w:pPr>
            <w:r w:rsidRPr="00B966C6">
              <w:rPr>
                <w:rFonts w:ascii="Verdana" w:hAnsi="Verdana" w:cs="Calibri"/>
                <w:b/>
                <w:bCs/>
                <w:color w:val="000000"/>
                <w:sz w:val="18"/>
                <w:szCs w:val="18"/>
                <w:lang w:val="es-CO" w:eastAsia="es-CO"/>
              </w:rPr>
              <w:t>Área (ha)</w:t>
            </w:r>
          </w:p>
        </w:tc>
      </w:tr>
      <w:tr w:rsidR="00A77757" w:rsidRPr="00B966C6" w14:paraId="2889F074" w14:textId="77777777" w:rsidTr="006D1BDC">
        <w:trPr>
          <w:trHeight w:val="300"/>
          <w:jc w:val="center"/>
        </w:trPr>
        <w:tc>
          <w:tcPr>
            <w:tcW w:w="555" w:type="pct"/>
            <w:vMerge/>
            <w:tcBorders>
              <w:top w:val="single" w:sz="8" w:space="0" w:color="auto"/>
              <w:left w:val="single" w:sz="8" w:space="0" w:color="auto"/>
              <w:bottom w:val="nil"/>
              <w:right w:val="single" w:sz="8" w:space="0" w:color="auto"/>
            </w:tcBorders>
            <w:vAlign w:val="center"/>
            <w:hideMark/>
          </w:tcPr>
          <w:p w14:paraId="60CCFE2C" w14:textId="77777777" w:rsidR="00A77757" w:rsidRPr="00B966C6" w:rsidRDefault="00A77757" w:rsidP="00E760BB">
            <w:pPr>
              <w:rPr>
                <w:rFonts w:ascii="Verdana" w:hAnsi="Verdana" w:cs="Calibri"/>
                <w:b/>
                <w:bCs/>
                <w:color w:val="000000"/>
                <w:sz w:val="18"/>
                <w:szCs w:val="18"/>
                <w:lang w:val="es-CO" w:eastAsia="es-CO"/>
              </w:rPr>
            </w:pPr>
          </w:p>
        </w:tc>
        <w:tc>
          <w:tcPr>
            <w:tcW w:w="1426" w:type="pct"/>
            <w:vMerge/>
            <w:tcBorders>
              <w:top w:val="single" w:sz="8" w:space="0" w:color="auto"/>
              <w:left w:val="single" w:sz="8" w:space="0" w:color="auto"/>
              <w:bottom w:val="nil"/>
              <w:right w:val="single" w:sz="8" w:space="0" w:color="auto"/>
            </w:tcBorders>
            <w:vAlign w:val="center"/>
            <w:hideMark/>
          </w:tcPr>
          <w:p w14:paraId="333FD62C" w14:textId="77777777" w:rsidR="00A77757" w:rsidRPr="00B966C6" w:rsidRDefault="00A77757" w:rsidP="00E760BB">
            <w:pPr>
              <w:rPr>
                <w:rFonts w:ascii="Verdana" w:hAnsi="Verdana" w:cs="Calibri"/>
                <w:b/>
                <w:bCs/>
                <w:color w:val="000000"/>
                <w:sz w:val="18"/>
                <w:szCs w:val="18"/>
                <w:lang w:val="es-CO" w:eastAsia="es-CO"/>
              </w:rPr>
            </w:pPr>
          </w:p>
        </w:tc>
        <w:tc>
          <w:tcPr>
            <w:tcW w:w="563" w:type="pct"/>
            <w:vMerge/>
            <w:tcBorders>
              <w:top w:val="single" w:sz="8" w:space="0" w:color="auto"/>
              <w:left w:val="single" w:sz="8" w:space="0" w:color="auto"/>
              <w:bottom w:val="nil"/>
              <w:right w:val="single" w:sz="8" w:space="0" w:color="auto"/>
            </w:tcBorders>
            <w:vAlign w:val="center"/>
            <w:hideMark/>
          </w:tcPr>
          <w:p w14:paraId="330816F3" w14:textId="77777777" w:rsidR="00A77757" w:rsidRPr="00B966C6" w:rsidRDefault="00A77757" w:rsidP="00E760BB">
            <w:pPr>
              <w:rPr>
                <w:rFonts w:ascii="Verdana" w:hAnsi="Verdana" w:cs="Calibri"/>
                <w:b/>
                <w:bCs/>
                <w:color w:val="000000"/>
                <w:sz w:val="18"/>
                <w:szCs w:val="18"/>
                <w:lang w:val="es-CO" w:eastAsia="es-CO"/>
              </w:rPr>
            </w:pPr>
          </w:p>
        </w:tc>
        <w:tc>
          <w:tcPr>
            <w:tcW w:w="1150" w:type="pct"/>
            <w:tcBorders>
              <w:top w:val="nil"/>
              <w:left w:val="nil"/>
              <w:bottom w:val="single" w:sz="8" w:space="0" w:color="000000"/>
              <w:right w:val="single" w:sz="8" w:space="0" w:color="auto"/>
            </w:tcBorders>
            <w:shd w:val="clear" w:color="000000" w:fill="BFBFBF"/>
            <w:noWrap/>
            <w:vAlign w:val="center"/>
            <w:hideMark/>
          </w:tcPr>
          <w:p w14:paraId="58652E42" w14:textId="77777777" w:rsidR="00A77757" w:rsidRPr="00B966C6" w:rsidRDefault="00A77757" w:rsidP="00E760BB">
            <w:pPr>
              <w:jc w:val="center"/>
              <w:rPr>
                <w:rFonts w:ascii="Verdana" w:hAnsi="Verdana" w:cs="Calibri"/>
                <w:b/>
                <w:bCs/>
                <w:color w:val="000000"/>
                <w:sz w:val="18"/>
                <w:szCs w:val="18"/>
                <w:lang w:val="es-CO" w:eastAsia="es-CO"/>
              </w:rPr>
            </w:pPr>
            <w:r w:rsidRPr="00B966C6">
              <w:rPr>
                <w:rFonts w:ascii="Verdana" w:hAnsi="Verdana" w:cs="Calibri"/>
                <w:b/>
                <w:bCs/>
                <w:color w:val="000000"/>
                <w:sz w:val="18"/>
                <w:szCs w:val="18"/>
                <w:lang w:val="es-CO" w:eastAsia="es-CO"/>
              </w:rPr>
              <w:t>Área Resolución 1125 de 2021</w:t>
            </w:r>
          </w:p>
        </w:tc>
        <w:tc>
          <w:tcPr>
            <w:tcW w:w="689" w:type="pct"/>
            <w:tcBorders>
              <w:top w:val="nil"/>
              <w:left w:val="nil"/>
              <w:bottom w:val="single" w:sz="8" w:space="0" w:color="000000"/>
              <w:right w:val="single" w:sz="8" w:space="0" w:color="auto"/>
            </w:tcBorders>
            <w:shd w:val="clear" w:color="000000" w:fill="BFBFBF"/>
            <w:noWrap/>
            <w:vAlign w:val="center"/>
            <w:hideMark/>
          </w:tcPr>
          <w:p w14:paraId="3CAC8CD8" w14:textId="77777777" w:rsidR="00A77757" w:rsidRPr="00B966C6" w:rsidRDefault="00A77757" w:rsidP="00E760BB">
            <w:pPr>
              <w:jc w:val="center"/>
              <w:rPr>
                <w:rFonts w:ascii="Verdana" w:hAnsi="Verdana" w:cs="Calibri"/>
                <w:b/>
                <w:bCs/>
                <w:color w:val="000000"/>
                <w:sz w:val="18"/>
                <w:szCs w:val="18"/>
                <w:lang w:val="es-CO" w:eastAsia="es-CO"/>
              </w:rPr>
            </w:pPr>
            <w:r w:rsidRPr="00B966C6">
              <w:rPr>
                <w:rFonts w:ascii="Verdana" w:hAnsi="Verdana" w:cs="Calibri"/>
                <w:b/>
                <w:bCs/>
                <w:color w:val="000000"/>
                <w:sz w:val="18"/>
                <w:szCs w:val="18"/>
                <w:lang w:val="es-CO" w:eastAsia="es-CO"/>
              </w:rPr>
              <w:t>Área actual</w:t>
            </w:r>
          </w:p>
        </w:tc>
        <w:tc>
          <w:tcPr>
            <w:tcW w:w="616" w:type="pct"/>
            <w:tcBorders>
              <w:top w:val="nil"/>
              <w:left w:val="nil"/>
              <w:bottom w:val="single" w:sz="8" w:space="0" w:color="000000"/>
              <w:right w:val="single" w:sz="8" w:space="0" w:color="auto"/>
            </w:tcBorders>
            <w:shd w:val="clear" w:color="000000" w:fill="BFBFBF"/>
            <w:noWrap/>
            <w:vAlign w:val="center"/>
            <w:hideMark/>
          </w:tcPr>
          <w:p w14:paraId="42A3FF67" w14:textId="77777777" w:rsidR="00A77757" w:rsidRPr="00B966C6" w:rsidRDefault="00A77757" w:rsidP="00E760BB">
            <w:pPr>
              <w:jc w:val="center"/>
              <w:rPr>
                <w:rFonts w:ascii="Verdana" w:hAnsi="Verdana" w:cs="Calibri"/>
                <w:b/>
                <w:bCs/>
                <w:color w:val="000000"/>
                <w:sz w:val="18"/>
                <w:szCs w:val="18"/>
                <w:lang w:val="es-CO" w:eastAsia="es-CO"/>
              </w:rPr>
            </w:pPr>
            <w:r w:rsidRPr="00B966C6">
              <w:rPr>
                <w:rFonts w:ascii="Verdana" w:hAnsi="Verdana" w:cs="Calibri"/>
                <w:b/>
                <w:bCs/>
                <w:color w:val="000000"/>
                <w:sz w:val="18"/>
                <w:szCs w:val="18"/>
                <w:lang w:val="es-CO" w:eastAsia="es-CO"/>
              </w:rPr>
              <w:t>Área liberada</w:t>
            </w:r>
          </w:p>
        </w:tc>
      </w:tr>
      <w:tr w:rsidR="00A77757" w:rsidRPr="00B966C6" w14:paraId="49DD2A67" w14:textId="77777777" w:rsidTr="006D1BDC">
        <w:trPr>
          <w:trHeight w:val="540"/>
          <w:jc w:val="center"/>
        </w:trPr>
        <w:tc>
          <w:tcPr>
            <w:tcW w:w="555" w:type="pct"/>
            <w:tcBorders>
              <w:top w:val="nil"/>
              <w:left w:val="single" w:sz="8" w:space="0" w:color="000000"/>
              <w:bottom w:val="single" w:sz="8" w:space="0" w:color="000000"/>
              <w:right w:val="single" w:sz="8" w:space="0" w:color="000000"/>
            </w:tcBorders>
            <w:shd w:val="clear" w:color="auto" w:fill="auto"/>
            <w:noWrap/>
            <w:vAlign w:val="center"/>
            <w:hideMark/>
          </w:tcPr>
          <w:p w14:paraId="4EDA6A68" w14:textId="77777777" w:rsidR="00A77757" w:rsidRPr="00B966C6" w:rsidRDefault="00A77757" w:rsidP="00E760BB">
            <w:pPr>
              <w:jc w:val="center"/>
              <w:rPr>
                <w:rFonts w:ascii="Verdana" w:hAnsi="Verdana" w:cs="Calibri"/>
                <w:color w:val="000000"/>
                <w:sz w:val="18"/>
                <w:szCs w:val="18"/>
                <w:lang w:val="es-CO" w:eastAsia="es-CO"/>
              </w:rPr>
            </w:pPr>
            <w:r w:rsidRPr="00B966C6">
              <w:rPr>
                <w:rFonts w:ascii="Verdana" w:hAnsi="Verdana" w:cs="Calibri"/>
                <w:color w:val="000000"/>
                <w:sz w:val="18"/>
                <w:szCs w:val="18"/>
                <w:lang w:eastAsia="es-CO"/>
              </w:rPr>
              <w:t>49a</w:t>
            </w:r>
          </w:p>
        </w:tc>
        <w:tc>
          <w:tcPr>
            <w:tcW w:w="1426" w:type="pct"/>
            <w:tcBorders>
              <w:top w:val="nil"/>
              <w:left w:val="nil"/>
              <w:bottom w:val="single" w:sz="8" w:space="0" w:color="000000"/>
              <w:right w:val="single" w:sz="8" w:space="0" w:color="000000"/>
            </w:tcBorders>
            <w:shd w:val="clear" w:color="auto" w:fill="auto"/>
            <w:noWrap/>
            <w:vAlign w:val="center"/>
            <w:hideMark/>
          </w:tcPr>
          <w:p w14:paraId="2C30F093" w14:textId="77777777" w:rsidR="00A77757" w:rsidRPr="00B966C6" w:rsidRDefault="00A77757" w:rsidP="00E760BB">
            <w:pPr>
              <w:jc w:val="center"/>
              <w:rPr>
                <w:rFonts w:ascii="Verdana" w:hAnsi="Verdana" w:cs="Calibri"/>
                <w:color w:val="000000"/>
                <w:sz w:val="18"/>
                <w:szCs w:val="18"/>
                <w:lang w:val="es-CO" w:eastAsia="es-CO"/>
              </w:rPr>
            </w:pPr>
            <w:r w:rsidRPr="00B966C6">
              <w:rPr>
                <w:rFonts w:ascii="Verdana" w:hAnsi="Verdana" w:cs="Calibri"/>
                <w:color w:val="000000"/>
                <w:sz w:val="18"/>
                <w:szCs w:val="18"/>
                <w:lang w:eastAsia="es-CO"/>
              </w:rPr>
              <w:t>Área protegida microcuenca Rio Tona</w:t>
            </w:r>
          </w:p>
        </w:tc>
        <w:tc>
          <w:tcPr>
            <w:tcW w:w="563" w:type="pct"/>
            <w:tcBorders>
              <w:top w:val="nil"/>
              <w:left w:val="nil"/>
              <w:bottom w:val="single" w:sz="8" w:space="0" w:color="000000"/>
              <w:right w:val="single" w:sz="8" w:space="0" w:color="000000"/>
            </w:tcBorders>
            <w:shd w:val="clear" w:color="auto" w:fill="auto"/>
            <w:noWrap/>
            <w:vAlign w:val="center"/>
            <w:hideMark/>
          </w:tcPr>
          <w:p w14:paraId="6C89F43E" w14:textId="77777777" w:rsidR="00A77757" w:rsidRPr="00B966C6" w:rsidRDefault="00A77757" w:rsidP="00E760BB">
            <w:pPr>
              <w:jc w:val="center"/>
              <w:rPr>
                <w:rFonts w:ascii="Verdana" w:hAnsi="Verdana" w:cs="Calibri"/>
                <w:color w:val="000000"/>
                <w:sz w:val="18"/>
                <w:szCs w:val="18"/>
                <w:lang w:val="es-CO" w:eastAsia="es-CO"/>
              </w:rPr>
            </w:pPr>
            <w:r w:rsidRPr="00B966C6">
              <w:rPr>
                <w:rFonts w:ascii="Verdana" w:hAnsi="Verdana" w:cs="Calibri"/>
                <w:color w:val="000000"/>
                <w:sz w:val="18"/>
                <w:szCs w:val="18"/>
                <w:lang w:eastAsia="es-CO"/>
              </w:rPr>
              <w:t>CDMB</w:t>
            </w:r>
          </w:p>
        </w:tc>
        <w:tc>
          <w:tcPr>
            <w:tcW w:w="1150" w:type="pct"/>
            <w:vMerge w:val="restart"/>
            <w:tcBorders>
              <w:top w:val="nil"/>
              <w:left w:val="single" w:sz="8" w:space="0" w:color="000000"/>
              <w:bottom w:val="single" w:sz="8" w:space="0" w:color="000000"/>
              <w:right w:val="single" w:sz="8" w:space="0" w:color="000000"/>
            </w:tcBorders>
            <w:shd w:val="clear" w:color="auto" w:fill="auto"/>
            <w:noWrap/>
            <w:vAlign w:val="center"/>
            <w:hideMark/>
          </w:tcPr>
          <w:p w14:paraId="036BDB40" w14:textId="77777777" w:rsidR="00A77757" w:rsidRPr="00B966C6" w:rsidRDefault="00A77757" w:rsidP="00E760BB">
            <w:pPr>
              <w:jc w:val="center"/>
              <w:rPr>
                <w:rFonts w:ascii="Verdana" w:hAnsi="Verdana" w:cs="Calibri"/>
                <w:color w:val="000000"/>
                <w:sz w:val="18"/>
                <w:szCs w:val="18"/>
                <w:lang w:val="es-CO" w:eastAsia="es-CO"/>
              </w:rPr>
            </w:pPr>
            <w:r w:rsidRPr="00B966C6">
              <w:rPr>
                <w:rFonts w:ascii="Verdana" w:hAnsi="Verdana" w:cs="Calibri"/>
                <w:color w:val="000000"/>
                <w:sz w:val="18"/>
                <w:szCs w:val="18"/>
                <w:lang w:eastAsia="es-CO"/>
              </w:rPr>
              <w:t>11.608,55</w:t>
            </w:r>
          </w:p>
        </w:tc>
        <w:tc>
          <w:tcPr>
            <w:tcW w:w="689" w:type="pct"/>
            <w:tcBorders>
              <w:top w:val="nil"/>
              <w:left w:val="nil"/>
              <w:bottom w:val="single" w:sz="8" w:space="0" w:color="000000"/>
              <w:right w:val="single" w:sz="8" w:space="0" w:color="000000"/>
            </w:tcBorders>
            <w:shd w:val="clear" w:color="auto" w:fill="auto"/>
            <w:noWrap/>
            <w:vAlign w:val="center"/>
            <w:hideMark/>
          </w:tcPr>
          <w:p w14:paraId="5BC6C8F1" w14:textId="77777777" w:rsidR="00A77757" w:rsidRPr="00B966C6" w:rsidRDefault="00A77757" w:rsidP="00E760BB">
            <w:pPr>
              <w:jc w:val="center"/>
              <w:rPr>
                <w:rFonts w:ascii="Verdana" w:hAnsi="Verdana" w:cs="Calibri"/>
                <w:color w:val="000000"/>
                <w:sz w:val="18"/>
                <w:szCs w:val="18"/>
                <w:lang w:val="es-CO" w:eastAsia="es-CO"/>
              </w:rPr>
            </w:pPr>
            <w:r w:rsidRPr="00B966C6">
              <w:rPr>
                <w:rFonts w:ascii="Verdana" w:hAnsi="Verdana" w:cs="Calibri"/>
                <w:color w:val="000000"/>
                <w:sz w:val="18"/>
                <w:szCs w:val="18"/>
                <w:lang w:val="es-CO" w:eastAsia="es-CO"/>
              </w:rPr>
              <w:t>3.687,04</w:t>
            </w:r>
          </w:p>
        </w:tc>
        <w:tc>
          <w:tcPr>
            <w:tcW w:w="616" w:type="pct"/>
            <w:vMerge w:val="restart"/>
            <w:tcBorders>
              <w:top w:val="nil"/>
              <w:left w:val="single" w:sz="8" w:space="0" w:color="000000"/>
              <w:bottom w:val="single" w:sz="8" w:space="0" w:color="000000"/>
              <w:right w:val="single" w:sz="8" w:space="0" w:color="000000"/>
            </w:tcBorders>
            <w:shd w:val="clear" w:color="auto" w:fill="auto"/>
            <w:noWrap/>
            <w:vAlign w:val="center"/>
            <w:hideMark/>
          </w:tcPr>
          <w:p w14:paraId="7417A335" w14:textId="77777777" w:rsidR="00A77757" w:rsidRPr="00B966C6" w:rsidRDefault="00A77757" w:rsidP="00E760BB">
            <w:pPr>
              <w:jc w:val="center"/>
              <w:rPr>
                <w:rFonts w:ascii="Verdana" w:hAnsi="Verdana" w:cs="Calibri"/>
                <w:color w:val="000000"/>
                <w:sz w:val="18"/>
                <w:szCs w:val="18"/>
                <w:lang w:val="es-CO" w:eastAsia="es-CO"/>
              </w:rPr>
            </w:pPr>
            <w:r w:rsidRPr="00B966C6">
              <w:rPr>
                <w:rFonts w:ascii="Verdana" w:hAnsi="Verdana" w:cs="Calibri"/>
                <w:color w:val="000000"/>
                <w:sz w:val="18"/>
                <w:szCs w:val="18"/>
                <w:lang w:eastAsia="es-CO"/>
              </w:rPr>
              <w:t>5.954,88</w:t>
            </w:r>
          </w:p>
        </w:tc>
      </w:tr>
      <w:tr w:rsidR="00A77757" w:rsidRPr="00B966C6" w14:paraId="3ABCEA29" w14:textId="77777777" w:rsidTr="006D1BDC">
        <w:trPr>
          <w:trHeight w:val="300"/>
          <w:jc w:val="center"/>
        </w:trPr>
        <w:tc>
          <w:tcPr>
            <w:tcW w:w="555" w:type="pct"/>
            <w:tcBorders>
              <w:top w:val="nil"/>
              <w:left w:val="single" w:sz="8" w:space="0" w:color="000000"/>
              <w:bottom w:val="single" w:sz="8" w:space="0" w:color="000000"/>
              <w:right w:val="single" w:sz="8" w:space="0" w:color="000000"/>
            </w:tcBorders>
            <w:shd w:val="clear" w:color="auto" w:fill="auto"/>
            <w:noWrap/>
            <w:vAlign w:val="center"/>
            <w:hideMark/>
          </w:tcPr>
          <w:p w14:paraId="44B09EE3" w14:textId="77777777" w:rsidR="00A77757" w:rsidRPr="00B966C6" w:rsidRDefault="00A77757" w:rsidP="00E760BB">
            <w:pPr>
              <w:jc w:val="center"/>
              <w:rPr>
                <w:rFonts w:ascii="Verdana" w:hAnsi="Verdana" w:cs="Calibri"/>
                <w:color w:val="000000"/>
                <w:sz w:val="18"/>
                <w:szCs w:val="18"/>
                <w:lang w:val="es-CO" w:eastAsia="es-CO"/>
              </w:rPr>
            </w:pPr>
            <w:r w:rsidRPr="00B966C6">
              <w:rPr>
                <w:rFonts w:ascii="Verdana" w:hAnsi="Verdana" w:cs="Calibri"/>
                <w:color w:val="000000"/>
                <w:sz w:val="18"/>
                <w:szCs w:val="18"/>
                <w:lang w:eastAsia="es-CO"/>
              </w:rPr>
              <w:t>49b</w:t>
            </w:r>
          </w:p>
        </w:tc>
        <w:tc>
          <w:tcPr>
            <w:tcW w:w="1426" w:type="pct"/>
            <w:tcBorders>
              <w:top w:val="nil"/>
              <w:left w:val="nil"/>
              <w:bottom w:val="single" w:sz="8" w:space="0" w:color="000000"/>
              <w:right w:val="single" w:sz="8" w:space="0" w:color="000000"/>
            </w:tcBorders>
            <w:shd w:val="clear" w:color="auto" w:fill="auto"/>
            <w:noWrap/>
            <w:vAlign w:val="center"/>
            <w:hideMark/>
          </w:tcPr>
          <w:p w14:paraId="46CC52C4" w14:textId="77777777" w:rsidR="00A77757" w:rsidRPr="00B966C6" w:rsidRDefault="00A77757" w:rsidP="00E760BB">
            <w:pPr>
              <w:jc w:val="center"/>
              <w:rPr>
                <w:rFonts w:ascii="Verdana" w:hAnsi="Verdana" w:cs="Calibri"/>
                <w:color w:val="000000"/>
                <w:sz w:val="18"/>
                <w:szCs w:val="18"/>
                <w:lang w:val="es-CO" w:eastAsia="es-CO"/>
              </w:rPr>
            </w:pPr>
            <w:r w:rsidRPr="00B966C6">
              <w:rPr>
                <w:rFonts w:ascii="Verdana" w:hAnsi="Verdana" w:cs="Calibri"/>
                <w:color w:val="000000"/>
                <w:sz w:val="18"/>
                <w:szCs w:val="18"/>
                <w:lang w:eastAsia="es-CO"/>
              </w:rPr>
              <w:t>Área protegida microcuenca Rio Tona</w:t>
            </w:r>
          </w:p>
        </w:tc>
        <w:tc>
          <w:tcPr>
            <w:tcW w:w="563" w:type="pct"/>
            <w:tcBorders>
              <w:top w:val="nil"/>
              <w:left w:val="nil"/>
              <w:bottom w:val="single" w:sz="8" w:space="0" w:color="000000"/>
              <w:right w:val="single" w:sz="8" w:space="0" w:color="000000"/>
            </w:tcBorders>
            <w:shd w:val="clear" w:color="auto" w:fill="auto"/>
            <w:noWrap/>
            <w:vAlign w:val="center"/>
            <w:hideMark/>
          </w:tcPr>
          <w:p w14:paraId="278FFD0D" w14:textId="77777777" w:rsidR="00A77757" w:rsidRPr="00B966C6" w:rsidRDefault="00A77757" w:rsidP="00E760BB">
            <w:pPr>
              <w:jc w:val="center"/>
              <w:rPr>
                <w:rFonts w:ascii="Verdana" w:hAnsi="Verdana" w:cs="Calibri"/>
                <w:color w:val="000000"/>
                <w:sz w:val="18"/>
                <w:szCs w:val="18"/>
                <w:lang w:val="es-CO" w:eastAsia="es-CO"/>
              </w:rPr>
            </w:pPr>
            <w:r w:rsidRPr="00B966C6">
              <w:rPr>
                <w:rFonts w:ascii="Verdana" w:hAnsi="Verdana" w:cs="Calibri"/>
                <w:color w:val="000000"/>
                <w:sz w:val="18"/>
                <w:szCs w:val="18"/>
                <w:lang w:eastAsia="es-CO"/>
              </w:rPr>
              <w:t>CDMB</w:t>
            </w:r>
          </w:p>
        </w:tc>
        <w:tc>
          <w:tcPr>
            <w:tcW w:w="1150" w:type="pct"/>
            <w:vMerge/>
            <w:tcBorders>
              <w:top w:val="nil"/>
              <w:left w:val="single" w:sz="8" w:space="0" w:color="000000"/>
              <w:bottom w:val="single" w:sz="8" w:space="0" w:color="000000"/>
              <w:right w:val="single" w:sz="8" w:space="0" w:color="000000"/>
            </w:tcBorders>
            <w:vAlign w:val="center"/>
            <w:hideMark/>
          </w:tcPr>
          <w:p w14:paraId="59EB9903" w14:textId="77777777" w:rsidR="00A77757" w:rsidRPr="00B966C6" w:rsidRDefault="00A77757" w:rsidP="00E760BB">
            <w:pPr>
              <w:rPr>
                <w:rFonts w:ascii="Verdana" w:hAnsi="Verdana" w:cs="Calibri"/>
                <w:color w:val="000000"/>
                <w:sz w:val="18"/>
                <w:szCs w:val="18"/>
                <w:lang w:val="es-CO" w:eastAsia="es-CO"/>
              </w:rPr>
            </w:pPr>
          </w:p>
        </w:tc>
        <w:tc>
          <w:tcPr>
            <w:tcW w:w="689" w:type="pct"/>
            <w:tcBorders>
              <w:top w:val="nil"/>
              <w:left w:val="nil"/>
              <w:bottom w:val="single" w:sz="8" w:space="0" w:color="000000"/>
              <w:right w:val="single" w:sz="8" w:space="0" w:color="000000"/>
            </w:tcBorders>
            <w:shd w:val="clear" w:color="auto" w:fill="auto"/>
            <w:noWrap/>
            <w:vAlign w:val="center"/>
            <w:hideMark/>
          </w:tcPr>
          <w:p w14:paraId="3E59F842" w14:textId="77777777" w:rsidR="00A77757" w:rsidRPr="00B966C6" w:rsidRDefault="00A77757" w:rsidP="00E760BB">
            <w:pPr>
              <w:jc w:val="center"/>
              <w:rPr>
                <w:rFonts w:ascii="Verdana" w:hAnsi="Verdana" w:cs="Calibri"/>
                <w:color w:val="000000"/>
                <w:sz w:val="18"/>
                <w:szCs w:val="18"/>
                <w:lang w:val="es-CO" w:eastAsia="es-CO"/>
              </w:rPr>
            </w:pPr>
            <w:r w:rsidRPr="00B966C6">
              <w:rPr>
                <w:rFonts w:ascii="Verdana" w:hAnsi="Verdana" w:cs="Calibri"/>
                <w:color w:val="000000"/>
                <w:sz w:val="18"/>
                <w:szCs w:val="18"/>
                <w:lang w:val="es-CO" w:eastAsia="es-CO"/>
              </w:rPr>
              <w:t>1.966,63</w:t>
            </w:r>
          </w:p>
        </w:tc>
        <w:tc>
          <w:tcPr>
            <w:tcW w:w="616" w:type="pct"/>
            <w:vMerge/>
            <w:tcBorders>
              <w:top w:val="nil"/>
              <w:left w:val="single" w:sz="8" w:space="0" w:color="000000"/>
              <w:bottom w:val="single" w:sz="8" w:space="0" w:color="000000"/>
              <w:right w:val="single" w:sz="8" w:space="0" w:color="000000"/>
            </w:tcBorders>
            <w:vAlign w:val="center"/>
            <w:hideMark/>
          </w:tcPr>
          <w:p w14:paraId="1C95D299" w14:textId="77777777" w:rsidR="00A77757" w:rsidRPr="00B966C6" w:rsidRDefault="00A77757" w:rsidP="00E760BB">
            <w:pPr>
              <w:rPr>
                <w:rFonts w:ascii="Verdana" w:hAnsi="Verdana" w:cs="Calibri"/>
                <w:color w:val="000000"/>
                <w:sz w:val="18"/>
                <w:szCs w:val="18"/>
                <w:lang w:val="es-CO" w:eastAsia="es-CO"/>
              </w:rPr>
            </w:pPr>
          </w:p>
        </w:tc>
      </w:tr>
      <w:tr w:rsidR="00A77757" w:rsidRPr="00B966C6" w14:paraId="1790BCC7" w14:textId="77777777" w:rsidTr="006D1BDC">
        <w:trPr>
          <w:trHeight w:val="540"/>
          <w:jc w:val="center"/>
        </w:trPr>
        <w:tc>
          <w:tcPr>
            <w:tcW w:w="2545" w:type="pct"/>
            <w:gridSpan w:val="3"/>
            <w:tcBorders>
              <w:top w:val="single" w:sz="8" w:space="0" w:color="000000"/>
              <w:left w:val="single" w:sz="8" w:space="0" w:color="000000"/>
              <w:bottom w:val="single" w:sz="8" w:space="0" w:color="000000"/>
              <w:right w:val="single" w:sz="8" w:space="0" w:color="000000"/>
            </w:tcBorders>
            <w:shd w:val="clear" w:color="000000" w:fill="BFBFBF"/>
            <w:noWrap/>
            <w:vAlign w:val="center"/>
            <w:hideMark/>
          </w:tcPr>
          <w:p w14:paraId="7C6FF1AB" w14:textId="77777777" w:rsidR="00A77757" w:rsidRPr="00B966C6" w:rsidRDefault="00A77757" w:rsidP="00E760BB">
            <w:pPr>
              <w:jc w:val="center"/>
              <w:rPr>
                <w:rFonts w:ascii="Verdana" w:hAnsi="Verdana" w:cs="Calibri"/>
                <w:b/>
                <w:bCs/>
                <w:color w:val="000000"/>
                <w:sz w:val="18"/>
                <w:szCs w:val="18"/>
                <w:lang w:val="es-CO" w:eastAsia="es-CO"/>
              </w:rPr>
            </w:pPr>
            <w:r w:rsidRPr="00B966C6">
              <w:rPr>
                <w:rFonts w:ascii="Verdana" w:hAnsi="Verdana" w:cs="Calibri"/>
                <w:b/>
                <w:bCs/>
                <w:color w:val="000000"/>
                <w:sz w:val="18"/>
                <w:szCs w:val="18"/>
                <w:lang w:val="es-CO" w:eastAsia="es-CO"/>
              </w:rPr>
              <w:t>Total</w:t>
            </w:r>
          </w:p>
        </w:tc>
        <w:tc>
          <w:tcPr>
            <w:tcW w:w="1150" w:type="pct"/>
            <w:tcBorders>
              <w:top w:val="nil"/>
              <w:left w:val="nil"/>
              <w:bottom w:val="single" w:sz="8" w:space="0" w:color="000000"/>
              <w:right w:val="single" w:sz="8" w:space="0" w:color="000000"/>
            </w:tcBorders>
            <w:shd w:val="clear" w:color="000000" w:fill="BFBFBF"/>
            <w:noWrap/>
            <w:vAlign w:val="center"/>
            <w:hideMark/>
          </w:tcPr>
          <w:p w14:paraId="6D9737F6" w14:textId="77777777" w:rsidR="00A77757" w:rsidRPr="00B966C6" w:rsidRDefault="00A77757" w:rsidP="00E760BB">
            <w:pPr>
              <w:jc w:val="center"/>
              <w:rPr>
                <w:rFonts w:ascii="Verdana" w:hAnsi="Verdana" w:cs="Calibri"/>
                <w:b/>
                <w:bCs/>
                <w:color w:val="000000"/>
                <w:sz w:val="18"/>
                <w:szCs w:val="18"/>
                <w:lang w:val="es-CO" w:eastAsia="es-CO"/>
              </w:rPr>
            </w:pPr>
            <w:r w:rsidRPr="00B966C6">
              <w:rPr>
                <w:rFonts w:ascii="Verdana" w:hAnsi="Verdana" w:cs="Calibri"/>
                <w:b/>
                <w:bCs/>
                <w:color w:val="000000"/>
                <w:sz w:val="18"/>
                <w:szCs w:val="18"/>
                <w:lang w:val="es-CO" w:eastAsia="es-CO"/>
              </w:rPr>
              <w:t>11.608,55</w:t>
            </w:r>
          </w:p>
        </w:tc>
        <w:tc>
          <w:tcPr>
            <w:tcW w:w="689" w:type="pct"/>
            <w:tcBorders>
              <w:top w:val="nil"/>
              <w:left w:val="nil"/>
              <w:bottom w:val="single" w:sz="8" w:space="0" w:color="000000"/>
              <w:right w:val="single" w:sz="8" w:space="0" w:color="000000"/>
            </w:tcBorders>
            <w:shd w:val="clear" w:color="000000" w:fill="BFBFBF"/>
            <w:noWrap/>
            <w:vAlign w:val="center"/>
            <w:hideMark/>
          </w:tcPr>
          <w:p w14:paraId="5D4AC889" w14:textId="77777777" w:rsidR="00A77757" w:rsidRPr="00B966C6" w:rsidRDefault="00A77757" w:rsidP="00E760BB">
            <w:pPr>
              <w:jc w:val="center"/>
              <w:rPr>
                <w:rFonts w:ascii="Verdana" w:hAnsi="Verdana" w:cs="Calibri"/>
                <w:b/>
                <w:bCs/>
                <w:color w:val="000000"/>
                <w:sz w:val="18"/>
                <w:szCs w:val="18"/>
                <w:lang w:val="es-CO" w:eastAsia="es-CO"/>
              </w:rPr>
            </w:pPr>
            <w:r w:rsidRPr="00B966C6">
              <w:rPr>
                <w:rFonts w:ascii="Verdana" w:hAnsi="Verdana" w:cs="Calibri"/>
                <w:b/>
                <w:bCs/>
                <w:color w:val="000000"/>
                <w:sz w:val="18"/>
                <w:szCs w:val="18"/>
                <w:lang w:val="es-CO" w:eastAsia="es-CO"/>
              </w:rPr>
              <w:t>5.653,67</w:t>
            </w:r>
          </w:p>
        </w:tc>
        <w:tc>
          <w:tcPr>
            <w:tcW w:w="616" w:type="pct"/>
            <w:tcBorders>
              <w:top w:val="nil"/>
              <w:left w:val="nil"/>
              <w:bottom w:val="single" w:sz="8" w:space="0" w:color="000000"/>
              <w:right w:val="single" w:sz="8" w:space="0" w:color="000000"/>
            </w:tcBorders>
            <w:shd w:val="clear" w:color="000000" w:fill="BFBFBF"/>
            <w:noWrap/>
            <w:vAlign w:val="center"/>
            <w:hideMark/>
          </w:tcPr>
          <w:p w14:paraId="18FC0677" w14:textId="77777777" w:rsidR="00A77757" w:rsidRPr="00B966C6" w:rsidRDefault="00A77757" w:rsidP="00E760BB">
            <w:pPr>
              <w:jc w:val="center"/>
              <w:rPr>
                <w:rFonts w:ascii="Verdana" w:hAnsi="Verdana" w:cs="Calibri"/>
                <w:b/>
                <w:bCs/>
                <w:color w:val="000000"/>
                <w:sz w:val="18"/>
                <w:szCs w:val="18"/>
                <w:lang w:val="es-CO" w:eastAsia="es-CO"/>
              </w:rPr>
            </w:pPr>
            <w:r w:rsidRPr="00B966C6">
              <w:rPr>
                <w:rFonts w:ascii="Verdana" w:hAnsi="Verdana" w:cs="Calibri"/>
                <w:b/>
                <w:bCs/>
                <w:color w:val="000000"/>
                <w:sz w:val="18"/>
                <w:szCs w:val="18"/>
                <w:lang w:val="es-CO" w:eastAsia="es-CO"/>
              </w:rPr>
              <w:t>5.954,88</w:t>
            </w:r>
          </w:p>
        </w:tc>
      </w:tr>
    </w:tbl>
    <w:p w14:paraId="0BC97944" w14:textId="77777777" w:rsidR="00A77757" w:rsidRPr="00B966C6" w:rsidRDefault="00A77757" w:rsidP="00674FA3">
      <w:pPr>
        <w:ind w:left="-284"/>
        <w:jc w:val="both"/>
        <w:rPr>
          <w:rFonts w:ascii="Verdana" w:hAnsi="Verdana" w:cs="Arial"/>
          <w:sz w:val="22"/>
          <w:szCs w:val="22"/>
          <w:lang w:val="es-CO"/>
        </w:rPr>
      </w:pPr>
    </w:p>
    <w:p w14:paraId="71C30021" w14:textId="2C1DED5E" w:rsidR="00674FA3" w:rsidRPr="00B966C6" w:rsidRDefault="00674FA3" w:rsidP="00674FA3">
      <w:pPr>
        <w:ind w:left="-284"/>
        <w:jc w:val="both"/>
        <w:rPr>
          <w:rFonts w:ascii="Verdana" w:hAnsi="Verdana" w:cs="Arial"/>
          <w:sz w:val="22"/>
          <w:szCs w:val="22"/>
          <w:lang w:val="es-CO"/>
        </w:rPr>
      </w:pPr>
      <w:r w:rsidRPr="00B966C6">
        <w:rPr>
          <w:rFonts w:ascii="Verdana" w:hAnsi="Verdana" w:cs="Arial"/>
          <w:b/>
          <w:sz w:val="22"/>
          <w:szCs w:val="22"/>
          <w:lang w:val="es-CO"/>
        </w:rPr>
        <w:t xml:space="preserve">Parágrafo 1.- </w:t>
      </w:r>
      <w:r w:rsidRPr="00B966C6">
        <w:rPr>
          <w:rFonts w:ascii="Verdana" w:hAnsi="Verdana" w:cs="Arial"/>
          <w:sz w:val="22"/>
          <w:szCs w:val="22"/>
          <w:lang w:val="es-CO"/>
        </w:rPr>
        <w:t xml:space="preserve">Los polígonos anteriormente relacionados suman un área de </w:t>
      </w:r>
      <w:r w:rsidRPr="00B966C6">
        <w:rPr>
          <w:rFonts w:ascii="Verdana" w:hAnsi="Verdana" w:cs="Arial"/>
          <w:b/>
          <w:sz w:val="22"/>
          <w:szCs w:val="22"/>
          <w:lang w:val="es-CO"/>
        </w:rPr>
        <w:t>5.</w:t>
      </w:r>
      <w:r w:rsidR="00A77757" w:rsidRPr="00B966C6">
        <w:rPr>
          <w:rFonts w:ascii="Verdana" w:hAnsi="Verdana" w:cs="Arial"/>
          <w:b/>
          <w:sz w:val="22"/>
          <w:szCs w:val="22"/>
          <w:lang w:val="es-CO"/>
        </w:rPr>
        <w:t>653,67</w:t>
      </w:r>
      <w:r w:rsidRPr="00B966C6">
        <w:rPr>
          <w:rFonts w:ascii="Verdana" w:hAnsi="Verdana" w:cs="Arial"/>
          <w:b/>
          <w:sz w:val="22"/>
          <w:szCs w:val="22"/>
          <w:lang w:val="es-CO"/>
        </w:rPr>
        <w:t xml:space="preserve"> hectáreas </w:t>
      </w:r>
      <w:r w:rsidR="000C2D3F" w:rsidRPr="00B966C6">
        <w:rPr>
          <w:rFonts w:ascii="Verdana" w:hAnsi="Verdana" w:cs="Arial"/>
          <w:sz w:val="22"/>
          <w:szCs w:val="22"/>
          <w:lang w:val="es-CO"/>
        </w:rPr>
        <w:t>y el archivo geográfico en formato “shape” que delimita las zonas de protección y desarrollo de los recursos naturales renovables y del medio ambiente y que se anexa a este acto administrativo y hace parte integral del mismo, fue generado mediante el software ArcGIS Pro 3.1.2</w:t>
      </w:r>
      <w:r w:rsidRPr="00B966C6">
        <w:rPr>
          <w:rFonts w:ascii="Verdana" w:hAnsi="Verdana" w:cs="Arial"/>
          <w:sz w:val="22"/>
          <w:szCs w:val="22"/>
          <w:lang w:val="es-CO"/>
        </w:rPr>
        <w:t>.</w:t>
      </w:r>
    </w:p>
    <w:p w14:paraId="60E8F63C" w14:textId="77777777" w:rsidR="00674FA3" w:rsidRPr="00B966C6" w:rsidRDefault="00674FA3" w:rsidP="00674FA3">
      <w:pPr>
        <w:ind w:left="-284"/>
        <w:jc w:val="both"/>
        <w:rPr>
          <w:rFonts w:ascii="Verdana" w:hAnsi="Verdana" w:cs="Arial"/>
          <w:sz w:val="22"/>
          <w:szCs w:val="22"/>
          <w:lang w:val="es-CO"/>
        </w:rPr>
      </w:pPr>
    </w:p>
    <w:p w14:paraId="643B4C90" w14:textId="77777777" w:rsidR="00674FA3" w:rsidRPr="00B966C6" w:rsidRDefault="00674FA3" w:rsidP="00674FA3">
      <w:pPr>
        <w:ind w:left="-284"/>
        <w:jc w:val="both"/>
        <w:rPr>
          <w:rFonts w:ascii="Verdana" w:hAnsi="Verdana" w:cs="Arial"/>
          <w:sz w:val="22"/>
          <w:szCs w:val="22"/>
          <w:lang w:val="es-CO"/>
        </w:rPr>
      </w:pPr>
      <w:r w:rsidRPr="00B966C6">
        <w:rPr>
          <w:rFonts w:ascii="Verdana" w:hAnsi="Verdana" w:cs="Arial"/>
          <w:b/>
          <w:sz w:val="22"/>
          <w:szCs w:val="22"/>
          <w:lang w:val="es-CO"/>
        </w:rPr>
        <w:t xml:space="preserve">Parágrafo 2. </w:t>
      </w:r>
      <w:r w:rsidRPr="00B966C6">
        <w:rPr>
          <w:rFonts w:ascii="Verdana" w:hAnsi="Verdana" w:cs="Arial"/>
          <w:sz w:val="22"/>
          <w:szCs w:val="22"/>
          <w:lang w:val="es-CO"/>
        </w:rPr>
        <w:t>El ajuste de que trata el presente artículo se realiza con fundamento en el informe consolidado por la Dirección de Bosques, Biodiversidad y Servicios Ecosistémicos a partir de la información técnica aportada por las autoridades ambientales regionales.</w:t>
      </w:r>
    </w:p>
    <w:p w14:paraId="51F51850" w14:textId="77777777" w:rsidR="00674FA3" w:rsidRPr="00B966C6" w:rsidRDefault="00674FA3" w:rsidP="00674FA3">
      <w:pPr>
        <w:ind w:left="-284"/>
        <w:jc w:val="both"/>
        <w:rPr>
          <w:rFonts w:ascii="Verdana" w:hAnsi="Verdana" w:cs="Arial"/>
          <w:sz w:val="22"/>
          <w:szCs w:val="22"/>
          <w:lang w:val="es-CO"/>
        </w:rPr>
      </w:pPr>
    </w:p>
    <w:p w14:paraId="57CD7DD4" w14:textId="2CA7E815" w:rsidR="00674FA3" w:rsidRPr="00B966C6" w:rsidRDefault="00674FA3" w:rsidP="00674FA3">
      <w:pPr>
        <w:ind w:left="-284"/>
        <w:jc w:val="both"/>
        <w:rPr>
          <w:rFonts w:ascii="Verdana" w:hAnsi="Verdana" w:cs="Arial"/>
          <w:sz w:val="22"/>
          <w:szCs w:val="22"/>
          <w:lang w:val="es-CO"/>
        </w:rPr>
      </w:pPr>
      <w:r w:rsidRPr="00B966C6">
        <w:rPr>
          <w:rFonts w:ascii="Verdana" w:hAnsi="Verdana" w:cs="Arial"/>
          <w:b/>
          <w:bCs/>
          <w:sz w:val="22"/>
          <w:szCs w:val="22"/>
          <w:lang w:val="es-CO"/>
        </w:rPr>
        <w:t>Artículo 5- Efectos de la Prórroga</w:t>
      </w:r>
      <w:r w:rsidRPr="00B966C6">
        <w:rPr>
          <w:rFonts w:ascii="Verdana" w:hAnsi="Verdana" w:cs="Arial"/>
          <w:sz w:val="22"/>
          <w:szCs w:val="22"/>
          <w:lang w:val="es-CO"/>
        </w:rPr>
        <w:t>. Los efectos contenidos en la Resolución 1814 de</w:t>
      </w:r>
      <w:r w:rsidR="00901D3C" w:rsidRPr="00B966C6">
        <w:rPr>
          <w:rFonts w:ascii="Verdana" w:hAnsi="Verdana" w:cs="Arial"/>
          <w:sz w:val="22"/>
          <w:szCs w:val="22"/>
          <w:lang w:val="es-CO"/>
        </w:rPr>
        <w:t xml:space="preserve"> </w:t>
      </w:r>
      <w:r w:rsidRPr="00B966C6">
        <w:rPr>
          <w:rFonts w:ascii="Verdana" w:hAnsi="Verdana" w:cs="Arial"/>
          <w:sz w:val="22"/>
          <w:szCs w:val="22"/>
          <w:lang w:val="es-CO"/>
        </w:rPr>
        <w:t>2015 y prorrogados mediante las resoluciones No. 2157 de 2017, 1987 de 2018,</w:t>
      </w:r>
      <w:r w:rsidR="00901D3C" w:rsidRPr="00B966C6">
        <w:rPr>
          <w:rFonts w:ascii="Verdana" w:hAnsi="Verdana" w:cs="Arial"/>
          <w:sz w:val="22"/>
          <w:szCs w:val="22"/>
          <w:lang w:val="es-CO"/>
        </w:rPr>
        <w:t xml:space="preserve"> </w:t>
      </w:r>
      <w:r w:rsidRPr="00B966C6">
        <w:rPr>
          <w:rFonts w:ascii="Verdana" w:hAnsi="Verdana" w:cs="Arial"/>
          <w:sz w:val="22"/>
          <w:szCs w:val="22"/>
          <w:lang w:val="es-CO"/>
        </w:rPr>
        <w:t>1675 de 2019 y 1125 de 2021, así como las modificaciones realizadas a través del presente acto administrativo, se mantendrán vigentes por el tiempo de vigencia del presente acto administrativo.</w:t>
      </w:r>
      <w:bookmarkStart w:id="16" w:name="3"/>
    </w:p>
    <w:p w14:paraId="01611CB0" w14:textId="77777777" w:rsidR="00674FA3" w:rsidRPr="00B966C6" w:rsidRDefault="00674FA3" w:rsidP="00674FA3">
      <w:pPr>
        <w:ind w:left="-284"/>
        <w:jc w:val="both"/>
        <w:rPr>
          <w:rFonts w:ascii="Verdana" w:hAnsi="Verdana" w:cs="Arial"/>
          <w:sz w:val="22"/>
          <w:szCs w:val="22"/>
          <w:lang w:val="es-CO"/>
        </w:rPr>
      </w:pPr>
    </w:p>
    <w:p w14:paraId="05964A48" w14:textId="63E7CFB6" w:rsidR="00674FA3" w:rsidRPr="00B966C6" w:rsidRDefault="00674FA3" w:rsidP="00674FA3">
      <w:pPr>
        <w:ind w:left="-284"/>
        <w:jc w:val="both"/>
        <w:rPr>
          <w:rFonts w:ascii="Verdana" w:hAnsi="Verdana" w:cs="Arial"/>
          <w:sz w:val="22"/>
          <w:szCs w:val="22"/>
          <w:lang w:val="es-CO"/>
        </w:rPr>
      </w:pPr>
      <w:r w:rsidRPr="00B966C6">
        <w:rPr>
          <w:rFonts w:ascii="Verdana" w:hAnsi="Verdana" w:cs="Arial"/>
          <w:b/>
          <w:bCs/>
          <w:sz w:val="22"/>
          <w:szCs w:val="22"/>
          <w:lang w:val="es-CO"/>
        </w:rPr>
        <w:t>Artículo 6.- Anexos.</w:t>
      </w:r>
      <w:r w:rsidRPr="00B966C6">
        <w:rPr>
          <w:rFonts w:ascii="Verdana" w:hAnsi="Verdana" w:cs="Arial"/>
          <w:sz w:val="22"/>
          <w:szCs w:val="22"/>
          <w:lang w:val="es-CO"/>
        </w:rPr>
        <w:t xml:space="preserve"> Téngase como anexo y parte integral de la presente resolución, la cartografía en medio digital bajo el formato </w:t>
      </w:r>
      <w:r w:rsidR="00901D3C" w:rsidRPr="00B966C6">
        <w:rPr>
          <w:rFonts w:ascii="Verdana" w:hAnsi="Verdana" w:cs="Arial"/>
          <w:sz w:val="22"/>
          <w:szCs w:val="22"/>
          <w:lang w:val="es-CO"/>
        </w:rPr>
        <w:t>“</w:t>
      </w:r>
      <w:r w:rsidRPr="00B966C6">
        <w:rPr>
          <w:rFonts w:ascii="Verdana" w:hAnsi="Verdana" w:cs="Arial"/>
          <w:sz w:val="22"/>
          <w:szCs w:val="22"/>
          <w:lang w:val="es-CO"/>
        </w:rPr>
        <w:t>shape</w:t>
      </w:r>
      <w:r w:rsidR="00901D3C" w:rsidRPr="00B966C6">
        <w:rPr>
          <w:rFonts w:ascii="Verdana" w:hAnsi="Verdana" w:cs="Arial"/>
          <w:sz w:val="22"/>
          <w:szCs w:val="22"/>
          <w:lang w:val="es-CO"/>
        </w:rPr>
        <w:t>”</w:t>
      </w:r>
      <w:r w:rsidRPr="00B966C6">
        <w:rPr>
          <w:rFonts w:ascii="Verdana" w:hAnsi="Verdana" w:cs="Arial"/>
          <w:sz w:val="22"/>
          <w:szCs w:val="22"/>
          <w:lang w:val="es-CO"/>
        </w:rPr>
        <w:t xml:space="preserve"> que delimita los polígonos de las zonas de protección y desarrollo de los recursos naturales renovables y del medio ambiente de interés regional que se encuentra proyectada bajo el sistema de referencia origen </w:t>
      </w:r>
      <w:r w:rsidR="000C2D3F" w:rsidRPr="00B966C6">
        <w:rPr>
          <w:rFonts w:ascii="Verdana" w:hAnsi="Verdana" w:cs="Arial"/>
          <w:sz w:val="22"/>
          <w:szCs w:val="22"/>
          <w:lang w:val="es-CO"/>
        </w:rPr>
        <w:t>MAGNA SIRGAS Origen Nacional</w:t>
      </w:r>
      <w:r w:rsidRPr="00B966C6">
        <w:rPr>
          <w:rFonts w:ascii="Verdana" w:hAnsi="Verdana" w:cs="Arial"/>
          <w:sz w:val="22"/>
          <w:szCs w:val="22"/>
          <w:lang w:val="es-CO"/>
        </w:rPr>
        <w:t>.</w:t>
      </w:r>
    </w:p>
    <w:p w14:paraId="71AC646D" w14:textId="77777777" w:rsidR="00674FA3" w:rsidRPr="00B966C6" w:rsidRDefault="00674FA3" w:rsidP="00674FA3">
      <w:pPr>
        <w:ind w:left="-284"/>
        <w:jc w:val="both"/>
        <w:rPr>
          <w:rFonts w:ascii="Verdana" w:hAnsi="Verdana" w:cs="Arial"/>
          <w:sz w:val="22"/>
          <w:szCs w:val="22"/>
          <w:lang w:val="es-CO"/>
        </w:rPr>
      </w:pPr>
    </w:p>
    <w:p w14:paraId="7D959EBD" w14:textId="463E9FE7" w:rsidR="00674FA3" w:rsidRPr="00B966C6" w:rsidRDefault="00674FA3" w:rsidP="00674FA3">
      <w:pPr>
        <w:ind w:left="-284"/>
        <w:jc w:val="both"/>
        <w:rPr>
          <w:rFonts w:ascii="Verdana" w:hAnsi="Verdana" w:cs="Arial"/>
          <w:sz w:val="22"/>
          <w:szCs w:val="22"/>
        </w:rPr>
      </w:pPr>
      <w:r w:rsidRPr="00B966C6">
        <w:rPr>
          <w:rFonts w:ascii="Verdana" w:hAnsi="Verdana" w:cs="Arial"/>
          <w:b/>
          <w:bCs/>
          <w:sz w:val="22"/>
          <w:szCs w:val="22"/>
        </w:rPr>
        <w:t>Artículo 7.- Catastro Minero</w:t>
      </w:r>
      <w:r w:rsidRPr="004260D5">
        <w:rPr>
          <w:rFonts w:ascii="Verdana" w:hAnsi="Verdana" w:cs="Arial"/>
          <w:b/>
          <w:bCs/>
          <w:sz w:val="22"/>
          <w:szCs w:val="22"/>
        </w:rPr>
        <w:t xml:space="preserve">. </w:t>
      </w:r>
      <w:r w:rsidRPr="004260D5">
        <w:rPr>
          <w:rFonts w:ascii="Verdana" w:hAnsi="Verdana" w:cs="Arial"/>
          <w:sz w:val="22"/>
          <w:szCs w:val="22"/>
        </w:rPr>
        <w:t xml:space="preserve">De conformidad con lo dispuesto en el artículo 3 de la Resolución </w:t>
      </w:r>
      <w:r w:rsidR="00794210" w:rsidRPr="004260D5">
        <w:rPr>
          <w:rFonts w:ascii="Verdana" w:hAnsi="Verdana" w:cs="Arial"/>
          <w:sz w:val="22"/>
          <w:szCs w:val="22"/>
          <w:lang w:val="es-CO"/>
        </w:rPr>
        <w:t xml:space="preserve">1814 </w:t>
      </w:r>
      <w:r w:rsidRPr="004260D5">
        <w:rPr>
          <w:rFonts w:ascii="Verdana" w:hAnsi="Verdana" w:cs="Arial"/>
          <w:sz w:val="22"/>
          <w:szCs w:val="22"/>
          <w:lang w:val="es-CO"/>
        </w:rPr>
        <w:t>del 1</w:t>
      </w:r>
      <w:r w:rsidR="00794210" w:rsidRPr="004260D5">
        <w:rPr>
          <w:rFonts w:ascii="Verdana" w:hAnsi="Verdana" w:cs="Arial"/>
          <w:sz w:val="22"/>
          <w:szCs w:val="22"/>
          <w:lang w:val="es-CO"/>
        </w:rPr>
        <w:t>2</w:t>
      </w:r>
      <w:r w:rsidRPr="004260D5">
        <w:rPr>
          <w:rFonts w:ascii="Verdana" w:hAnsi="Verdana" w:cs="Arial"/>
          <w:sz w:val="22"/>
          <w:szCs w:val="22"/>
          <w:lang w:val="es-CO"/>
        </w:rPr>
        <w:t xml:space="preserve"> de </w:t>
      </w:r>
      <w:r w:rsidR="00794210" w:rsidRPr="004260D5">
        <w:rPr>
          <w:rFonts w:ascii="Verdana" w:hAnsi="Verdana" w:cs="Arial"/>
          <w:sz w:val="22"/>
          <w:szCs w:val="22"/>
          <w:lang w:val="es-CO"/>
        </w:rPr>
        <w:t>ag</w:t>
      </w:r>
      <w:r w:rsidR="004260D5">
        <w:rPr>
          <w:rFonts w:ascii="Verdana" w:hAnsi="Verdana" w:cs="Arial"/>
          <w:sz w:val="22"/>
          <w:szCs w:val="22"/>
          <w:lang w:val="es-CO"/>
        </w:rPr>
        <w:t>osto</w:t>
      </w:r>
      <w:r w:rsidRPr="004260D5">
        <w:rPr>
          <w:rFonts w:ascii="Verdana" w:hAnsi="Verdana" w:cs="Arial"/>
          <w:sz w:val="22"/>
          <w:szCs w:val="22"/>
          <w:lang w:val="es-CO"/>
        </w:rPr>
        <w:t xml:space="preserve"> de 2015, la Agencia Nacional de Minería no podrá </w:t>
      </w:r>
      <w:r w:rsidRPr="004260D5">
        <w:rPr>
          <w:rFonts w:ascii="Verdana" w:hAnsi="Verdana" w:cs="Arial"/>
          <w:sz w:val="22"/>
          <w:szCs w:val="22"/>
        </w:rPr>
        <w:t>otorgar nuevas concesiones mineras, contratos especiales</w:t>
      </w:r>
      <w:r w:rsidRPr="00B966C6">
        <w:rPr>
          <w:rFonts w:ascii="Verdana" w:hAnsi="Verdana" w:cs="Arial"/>
          <w:sz w:val="22"/>
          <w:szCs w:val="22"/>
        </w:rPr>
        <w:t xml:space="preserve"> de exploración y explotación y cualquier otro tipo de contratos sujetos a regímenes especiales, </w:t>
      </w:r>
      <w:r w:rsidRPr="00B966C6">
        <w:rPr>
          <w:rFonts w:ascii="Verdana" w:hAnsi="Verdana" w:cs="Arial"/>
          <w:sz w:val="22"/>
          <w:szCs w:val="22"/>
          <w:lang w:val="es-CO"/>
        </w:rPr>
        <w:t xml:space="preserve">en </w:t>
      </w:r>
      <w:r w:rsidRPr="00B966C6">
        <w:rPr>
          <w:rFonts w:ascii="Verdana" w:hAnsi="Verdana" w:cs="Arial"/>
          <w:sz w:val="22"/>
          <w:szCs w:val="22"/>
        </w:rPr>
        <w:t>las</w:t>
      </w:r>
      <w:r w:rsidRPr="00B966C6">
        <w:rPr>
          <w:rFonts w:ascii="Verdana" w:hAnsi="Verdana" w:cs="Arial"/>
          <w:sz w:val="22"/>
          <w:szCs w:val="22"/>
          <w:lang w:val="es-CO"/>
        </w:rPr>
        <w:t xml:space="preserve"> zonas de protección y desarrollo de los recursos naturales y del medio ambiente, de que trata este acto administrativo</w:t>
      </w:r>
      <w:r w:rsidRPr="00B966C6">
        <w:rPr>
          <w:rFonts w:ascii="Verdana" w:hAnsi="Verdana" w:cs="Arial"/>
          <w:sz w:val="22"/>
          <w:szCs w:val="22"/>
        </w:rPr>
        <w:t>.</w:t>
      </w:r>
    </w:p>
    <w:p w14:paraId="6FF7C440" w14:textId="77777777" w:rsidR="00674FA3" w:rsidRPr="00B966C6" w:rsidRDefault="00674FA3" w:rsidP="00674FA3">
      <w:pPr>
        <w:ind w:left="-284"/>
        <w:jc w:val="both"/>
        <w:rPr>
          <w:rFonts w:ascii="Verdana" w:hAnsi="Verdana" w:cs="Arial"/>
          <w:sz w:val="22"/>
          <w:szCs w:val="22"/>
        </w:rPr>
      </w:pPr>
    </w:p>
    <w:bookmarkEnd w:id="16"/>
    <w:p w14:paraId="2C306880" w14:textId="76D988A4" w:rsidR="00674FA3" w:rsidRPr="00B966C6" w:rsidRDefault="00674FA3" w:rsidP="00674FA3">
      <w:pPr>
        <w:ind w:left="-284"/>
        <w:jc w:val="both"/>
        <w:rPr>
          <w:rFonts w:ascii="Verdana" w:hAnsi="Verdana" w:cs="Arial"/>
          <w:bCs/>
          <w:sz w:val="22"/>
          <w:szCs w:val="22"/>
          <w:lang w:val="es-ES_tradnl"/>
        </w:rPr>
      </w:pPr>
      <w:r w:rsidRPr="00B966C6">
        <w:rPr>
          <w:rFonts w:ascii="Verdana" w:hAnsi="Verdana" w:cs="Arial"/>
          <w:b/>
          <w:bCs/>
          <w:sz w:val="22"/>
          <w:szCs w:val="22"/>
          <w:lang w:val="es-ES_tradnl"/>
        </w:rPr>
        <w:t xml:space="preserve">Artículo </w:t>
      </w:r>
      <w:r w:rsidR="000C2D3F" w:rsidRPr="00B966C6">
        <w:rPr>
          <w:rFonts w:ascii="Verdana" w:hAnsi="Verdana" w:cs="Arial"/>
          <w:b/>
          <w:bCs/>
          <w:sz w:val="22"/>
          <w:szCs w:val="22"/>
          <w:lang w:val="es-ES_tradnl"/>
        </w:rPr>
        <w:t>8</w:t>
      </w:r>
      <w:r w:rsidRPr="00B966C6">
        <w:rPr>
          <w:rFonts w:ascii="Verdana" w:hAnsi="Verdana" w:cs="Arial"/>
          <w:b/>
          <w:bCs/>
          <w:sz w:val="22"/>
          <w:szCs w:val="22"/>
          <w:lang w:val="es-ES_tradnl"/>
        </w:rPr>
        <w:t>.- Comunicaciones.</w:t>
      </w:r>
      <w:r w:rsidRPr="00B966C6">
        <w:rPr>
          <w:rFonts w:ascii="Verdana" w:hAnsi="Verdana" w:cs="Arial"/>
          <w:bCs/>
          <w:sz w:val="22"/>
          <w:szCs w:val="22"/>
          <w:lang w:val="es-ES_tradnl"/>
        </w:rPr>
        <w:t xml:space="preserve"> Comunicar a través de la Dirección de Bosques, Biodiversidad y Servicios Ecosistémicos la presente resolución al Ministerio de Minas y Energía, al Servicio Geológico Colombiano, al Instituto Colombiano Agustín Codazzi (IGAC), a la Agencia Nacional de Minería (ANM), a la Corporación Autónoma Regional para el Desarrollo Sostenible del Chocó (Codechocó), a la Corporación Autónoma Regional del Centro de Antioquia (Corantioquia), a la Corporación Autónoma Regional de Caldas (Corpocaldas), a la Corporación Autónoma Regional de la Orinoquía (Corporinoquia), a la Corporación Autónoma Regional del Tolima (Cortolima), a la Corporación Autónoma Regional de Norte de Santander (Corponor), a la Corporación </w:t>
      </w:r>
      <w:r w:rsidRPr="00B966C6">
        <w:rPr>
          <w:rFonts w:ascii="Verdana" w:hAnsi="Verdana" w:cs="Arial"/>
          <w:bCs/>
          <w:sz w:val="22"/>
          <w:szCs w:val="22"/>
          <w:lang w:val="es-ES_tradnl"/>
        </w:rPr>
        <w:lastRenderedPageBreak/>
        <w:t xml:space="preserve">Autónoma Regional de La Guajira (Corpoguajira), a la Corporación Autónoma Regional para la Defensa de la Meseta de Bucaramanga (CDMB), a la Corporación Autónoma Regional de Nariño (Corponariño), </w:t>
      </w:r>
      <w:r w:rsidRPr="00B966C6">
        <w:rPr>
          <w:rFonts w:ascii="Verdana" w:hAnsi="Verdana" w:cs="Arial"/>
          <w:sz w:val="22"/>
          <w:szCs w:val="22"/>
        </w:rPr>
        <w:t xml:space="preserve">a Parques Nacionales Naturales de </w:t>
      </w:r>
      <w:r w:rsidRPr="00B966C6">
        <w:rPr>
          <w:rFonts w:ascii="Verdana" w:hAnsi="Verdana" w:cs="Arial"/>
          <w:sz w:val="22"/>
          <w:szCs w:val="22"/>
          <w:lang w:val="es-CO"/>
        </w:rPr>
        <w:t>Colombia y a la Procuraduría Delegada para Asuntos Ambientales</w:t>
      </w:r>
      <w:r w:rsidRPr="00B966C6">
        <w:rPr>
          <w:rFonts w:ascii="Verdana" w:hAnsi="Verdana" w:cs="Arial"/>
          <w:bCs/>
          <w:sz w:val="22"/>
          <w:szCs w:val="22"/>
          <w:lang w:val="es-ES_tradnl"/>
        </w:rPr>
        <w:t>.</w:t>
      </w:r>
    </w:p>
    <w:p w14:paraId="5825C04E" w14:textId="77777777" w:rsidR="00674FA3" w:rsidRPr="00B966C6" w:rsidRDefault="00674FA3" w:rsidP="00674FA3">
      <w:pPr>
        <w:ind w:left="-284"/>
        <w:jc w:val="both"/>
        <w:rPr>
          <w:rFonts w:ascii="Verdana" w:hAnsi="Verdana" w:cs="Arial"/>
          <w:bCs/>
          <w:sz w:val="22"/>
          <w:szCs w:val="22"/>
          <w:lang w:val="es-ES_tradnl"/>
        </w:rPr>
      </w:pPr>
    </w:p>
    <w:p w14:paraId="3B4F46F4" w14:textId="77777777" w:rsidR="00674FA3" w:rsidRPr="00B966C6" w:rsidRDefault="00674FA3" w:rsidP="00674FA3">
      <w:pPr>
        <w:ind w:left="-284"/>
        <w:jc w:val="both"/>
        <w:rPr>
          <w:rFonts w:ascii="Verdana" w:hAnsi="Verdana" w:cs="Arial"/>
          <w:sz w:val="22"/>
          <w:szCs w:val="22"/>
          <w:lang w:val="es-CO"/>
        </w:rPr>
      </w:pPr>
    </w:p>
    <w:p w14:paraId="6B61D794" w14:textId="6E47146F" w:rsidR="00674FA3" w:rsidRPr="00B966C6" w:rsidRDefault="00674FA3" w:rsidP="00674FA3">
      <w:pPr>
        <w:ind w:left="-284"/>
        <w:jc w:val="both"/>
        <w:rPr>
          <w:rFonts w:ascii="Verdana" w:hAnsi="Verdana" w:cs="Arial"/>
          <w:bCs/>
          <w:sz w:val="22"/>
          <w:szCs w:val="22"/>
          <w:lang w:val="es-ES_tradnl"/>
        </w:rPr>
      </w:pPr>
      <w:r w:rsidRPr="00B966C6">
        <w:rPr>
          <w:rFonts w:ascii="Verdana" w:hAnsi="Verdana" w:cs="Arial"/>
          <w:b/>
          <w:bCs/>
          <w:sz w:val="22"/>
          <w:szCs w:val="22"/>
          <w:lang w:val="es-CO"/>
        </w:rPr>
        <w:t xml:space="preserve">Artículo </w:t>
      </w:r>
      <w:r w:rsidR="000C2D3F" w:rsidRPr="00B966C6">
        <w:rPr>
          <w:rFonts w:ascii="Verdana" w:hAnsi="Verdana" w:cs="Arial"/>
          <w:b/>
          <w:bCs/>
          <w:sz w:val="22"/>
          <w:szCs w:val="22"/>
          <w:lang w:val="es-CO"/>
        </w:rPr>
        <w:t>9</w:t>
      </w:r>
      <w:r w:rsidRPr="00B966C6">
        <w:rPr>
          <w:rFonts w:ascii="Verdana" w:hAnsi="Verdana" w:cs="Arial"/>
          <w:b/>
          <w:bCs/>
          <w:sz w:val="22"/>
          <w:szCs w:val="22"/>
          <w:lang w:val="es-CO"/>
        </w:rPr>
        <w:t xml:space="preserve">.- Vigencia. </w:t>
      </w:r>
      <w:r w:rsidRPr="00B966C6">
        <w:rPr>
          <w:rFonts w:ascii="Verdana" w:hAnsi="Verdana" w:cs="Arial"/>
          <w:sz w:val="22"/>
          <w:szCs w:val="22"/>
          <w:lang w:val="es-CO"/>
        </w:rPr>
        <w:t>La presente resolución rige a partir de su fecha de expedición y se deberá publicar en el diario oficial.</w:t>
      </w:r>
    </w:p>
    <w:p w14:paraId="6BE82DF3" w14:textId="77777777" w:rsidR="000E1C01" w:rsidRPr="00B966C6" w:rsidRDefault="000E1C01" w:rsidP="000E1C01">
      <w:pPr>
        <w:ind w:left="-284"/>
        <w:jc w:val="both"/>
        <w:rPr>
          <w:rFonts w:ascii="Verdana" w:hAnsi="Verdana" w:cs="Arial"/>
          <w:sz w:val="22"/>
          <w:szCs w:val="22"/>
        </w:rPr>
      </w:pPr>
    </w:p>
    <w:p w14:paraId="4537A356" w14:textId="77777777" w:rsidR="000E1C01" w:rsidRPr="00B966C6" w:rsidRDefault="000E1C01" w:rsidP="000E1C01">
      <w:pPr>
        <w:ind w:left="-284"/>
        <w:jc w:val="both"/>
        <w:rPr>
          <w:rFonts w:ascii="Verdana" w:hAnsi="Verdana" w:cs="Arial"/>
          <w:sz w:val="22"/>
          <w:szCs w:val="22"/>
        </w:rPr>
      </w:pPr>
      <w:r w:rsidRPr="00B966C6">
        <w:rPr>
          <w:rFonts w:ascii="Verdana" w:hAnsi="Verdana" w:cs="Arial"/>
          <w:sz w:val="22"/>
          <w:szCs w:val="22"/>
        </w:rPr>
        <w:t xml:space="preserve"> </w:t>
      </w:r>
    </w:p>
    <w:p w14:paraId="0CF45621" w14:textId="77777777" w:rsidR="006D1BDC" w:rsidRDefault="006D1BDC" w:rsidP="00DD0F14">
      <w:pPr>
        <w:ind w:left="-284"/>
        <w:jc w:val="center"/>
        <w:rPr>
          <w:rFonts w:ascii="Verdana" w:hAnsi="Verdana" w:cs="Arial"/>
          <w:b/>
          <w:sz w:val="22"/>
          <w:szCs w:val="22"/>
        </w:rPr>
      </w:pPr>
    </w:p>
    <w:p w14:paraId="0281EEFD" w14:textId="0BEC8D45" w:rsidR="000E1C01" w:rsidRPr="00B966C6" w:rsidRDefault="000E1C01" w:rsidP="00DD0F14">
      <w:pPr>
        <w:ind w:left="-284"/>
        <w:jc w:val="center"/>
        <w:rPr>
          <w:rFonts w:ascii="Verdana" w:hAnsi="Verdana" w:cs="Arial"/>
          <w:bCs/>
          <w:sz w:val="22"/>
          <w:szCs w:val="22"/>
          <w:lang w:val="es-ES_tradnl"/>
        </w:rPr>
      </w:pPr>
      <w:r w:rsidRPr="00B966C6">
        <w:rPr>
          <w:rFonts w:ascii="Verdana" w:hAnsi="Verdana" w:cs="Arial"/>
          <w:b/>
          <w:sz w:val="22"/>
          <w:szCs w:val="22"/>
        </w:rPr>
        <w:t>PUBLÍQUESE, COMUNÍQUESE Y CÚMPLASE</w:t>
      </w:r>
    </w:p>
    <w:p w14:paraId="4DBA2418" w14:textId="77777777" w:rsidR="000E1C01" w:rsidRPr="00B966C6" w:rsidRDefault="000E1C01" w:rsidP="00DD0F14">
      <w:pPr>
        <w:ind w:left="-284"/>
        <w:jc w:val="center"/>
        <w:rPr>
          <w:rFonts w:ascii="Verdana" w:hAnsi="Verdana" w:cs="Arial"/>
          <w:sz w:val="22"/>
          <w:szCs w:val="22"/>
        </w:rPr>
      </w:pPr>
      <w:r w:rsidRPr="00B966C6">
        <w:rPr>
          <w:rFonts w:ascii="Verdana" w:hAnsi="Verdana" w:cs="Arial"/>
          <w:sz w:val="22"/>
          <w:szCs w:val="22"/>
        </w:rPr>
        <w:t>Dada en Bogotá, D.C. a los</w:t>
      </w:r>
    </w:p>
    <w:p w14:paraId="790791CC" w14:textId="77777777" w:rsidR="000E1C01" w:rsidRPr="00B966C6" w:rsidRDefault="000E1C01" w:rsidP="00DD0F14">
      <w:pPr>
        <w:ind w:left="-284"/>
        <w:jc w:val="center"/>
        <w:rPr>
          <w:rFonts w:ascii="Verdana" w:hAnsi="Verdana" w:cs="Arial"/>
          <w:b/>
          <w:bCs/>
          <w:sz w:val="22"/>
          <w:szCs w:val="22"/>
        </w:rPr>
      </w:pPr>
    </w:p>
    <w:p w14:paraId="3271313A" w14:textId="77777777" w:rsidR="000E1C01" w:rsidRPr="00B966C6" w:rsidRDefault="000E1C01" w:rsidP="00DD0F14">
      <w:pPr>
        <w:ind w:left="-284"/>
        <w:jc w:val="center"/>
        <w:rPr>
          <w:rFonts w:ascii="Verdana" w:hAnsi="Verdana" w:cs="Arial"/>
          <w:b/>
          <w:bCs/>
          <w:sz w:val="22"/>
          <w:szCs w:val="22"/>
        </w:rPr>
      </w:pPr>
    </w:p>
    <w:p w14:paraId="3B7A4A20" w14:textId="77777777" w:rsidR="000E1C01" w:rsidRPr="00B966C6" w:rsidRDefault="000E1C01" w:rsidP="00DD0F14">
      <w:pPr>
        <w:ind w:left="-284"/>
        <w:jc w:val="center"/>
        <w:rPr>
          <w:rFonts w:ascii="Verdana" w:hAnsi="Verdana" w:cs="Arial"/>
          <w:b/>
          <w:bCs/>
          <w:sz w:val="22"/>
          <w:szCs w:val="22"/>
        </w:rPr>
      </w:pPr>
    </w:p>
    <w:p w14:paraId="3D057BEF" w14:textId="77777777" w:rsidR="000E1C01" w:rsidRPr="00B966C6" w:rsidRDefault="000E1C01" w:rsidP="00DD0F14">
      <w:pPr>
        <w:ind w:left="-284"/>
        <w:jc w:val="center"/>
        <w:rPr>
          <w:rFonts w:ascii="Verdana" w:hAnsi="Verdana" w:cs="Arial"/>
          <w:b/>
          <w:bCs/>
          <w:sz w:val="22"/>
          <w:szCs w:val="22"/>
        </w:rPr>
      </w:pPr>
    </w:p>
    <w:p w14:paraId="167055D8" w14:textId="7B632616" w:rsidR="000E1C01" w:rsidRPr="00B966C6" w:rsidRDefault="00CD7B5E" w:rsidP="00DD0F14">
      <w:pPr>
        <w:ind w:left="-284"/>
        <w:jc w:val="center"/>
        <w:rPr>
          <w:rFonts w:ascii="Verdana" w:hAnsi="Verdana" w:cs="Arial"/>
          <w:b/>
          <w:sz w:val="22"/>
          <w:szCs w:val="22"/>
        </w:rPr>
      </w:pPr>
      <w:r w:rsidRPr="00B966C6">
        <w:rPr>
          <w:rFonts w:ascii="Verdana" w:hAnsi="Verdana" w:cs="Arial"/>
          <w:b/>
          <w:bCs/>
          <w:sz w:val="22"/>
          <w:szCs w:val="22"/>
        </w:rPr>
        <w:t>MARÍA SUSANA MUHAMAD GONZÁLEZ</w:t>
      </w:r>
    </w:p>
    <w:p w14:paraId="6E9A0706" w14:textId="56A9B0D5" w:rsidR="000E1C01" w:rsidRPr="00B966C6" w:rsidRDefault="000E1C01" w:rsidP="00DD0F14">
      <w:pPr>
        <w:ind w:left="-284"/>
        <w:jc w:val="center"/>
        <w:rPr>
          <w:rFonts w:ascii="Verdana" w:hAnsi="Verdana" w:cs="Arial"/>
          <w:sz w:val="22"/>
          <w:szCs w:val="22"/>
        </w:rPr>
      </w:pPr>
      <w:r w:rsidRPr="00B966C6">
        <w:rPr>
          <w:rFonts w:ascii="Verdana" w:hAnsi="Verdana" w:cs="Arial"/>
          <w:sz w:val="22"/>
          <w:szCs w:val="22"/>
        </w:rPr>
        <w:t>Ministr</w:t>
      </w:r>
      <w:r w:rsidR="004643A3">
        <w:rPr>
          <w:rFonts w:ascii="Verdana" w:hAnsi="Verdana" w:cs="Arial"/>
          <w:sz w:val="22"/>
          <w:szCs w:val="22"/>
        </w:rPr>
        <w:t>a</w:t>
      </w:r>
      <w:r w:rsidRPr="00B966C6">
        <w:rPr>
          <w:rFonts w:ascii="Verdana" w:hAnsi="Verdana" w:cs="Arial"/>
          <w:sz w:val="22"/>
          <w:szCs w:val="22"/>
        </w:rPr>
        <w:t xml:space="preserve"> de Ambiente y Desarrollo Sostenible</w:t>
      </w:r>
    </w:p>
    <w:p w14:paraId="4355D1BB" w14:textId="77777777" w:rsidR="000E1C01" w:rsidRPr="00B966C6" w:rsidRDefault="000E1C01" w:rsidP="000E1C01">
      <w:pPr>
        <w:ind w:left="-284"/>
        <w:jc w:val="both"/>
        <w:rPr>
          <w:rFonts w:ascii="Verdana" w:hAnsi="Verdana" w:cs="Arial"/>
          <w:sz w:val="22"/>
          <w:szCs w:val="22"/>
        </w:rPr>
      </w:pPr>
    </w:p>
    <w:sectPr w:rsidR="000E1C01" w:rsidRPr="00B966C6" w:rsidSect="006922CF">
      <w:headerReference w:type="even" r:id="rId11"/>
      <w:headerReference w:type="default" r:id="rId12"/>
      <w:footerReference w:type="even" r:id="rId13"/>
      <w:footerReference w:type="default" r:id="rId14"/>
      <w:headerReference w:type="first" r:id="rId15"/>
      <w:footerReference w:type="first" r:id="rId16"/>
      <w:type w:val="oddPage"/>
      <w:pgSz w:w="12240" w:h="18720" w:code="14"/>
      <w:pgMar w:top="-2694" w:right="1325" w:bottom="1418" w:left="1701" w:header="567" w:footer="672" w:gutter="0"/>
      <w:cols w:space="720"/>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104460" w14:textId="77777777" w:rsidR="008A5DBE" w:rsidRDefault="008A5DBE">
      <w:r>
        <w:separator/>
      </w:r>
    </w:p>
  </w:endnote>
  <w:endnote w:type="continuationSeparator" w:id="0">
    <w:p w14:paraId="76299AF0" w14:textId="77777777" w:rsidR="008A5DBE" w:rsidRDefault="008A5D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Noto Sans Symbols">
    <w:charset w:val="00"/>
    <w:family w:val="swiss"/>
    <w:pitch w:val="variable"/>
    <w:sig w:usb0="00000003" w:usb1="0200E0A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IDFont+F7">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5723F5" w14:textId="77777777" w:rsidR="004230AC" w:rsidRDefault="004230AC">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A46CD8" w14:textId="77777777" w:rsidR="00680B62" w:rsidRPr="00125381" w:rsidRDefault="00680B62" w:rsidP="00680B62">
    <w:pPr>
      <w:jc w:val="right"/>
      <w:rPr>
        <w:rFonts w:ascii="Verdana" w:hAnsi="Verdana" w:cs="Verdana"/>
        <w:color w:val="000000"/>
        <w:sz w:val="16"/>
        <w:szCs w:val="16"/>
      </w:rPr>
    </w:pPr>
    <w:r w:rsidRPr="00125381">
      <w:rPr>
        <w:rFonts w:ascii="Verdana" w:hAnsi="Verdana" w:cs="Verdana"/>
        <w:color w:val="000000"/>
        <w:sz w:val="16"/>
        <w:szCs w:val="16"/>
      </w:rPr>
      <w:t>F-</w:t>
    </w:r>
    <w:r>
      <w:rPr>
        <w:rFonts w:ascii="Verdana" w:hAnsi="Verdana" w:cs="Verdana"/>
        <w:color w:val="000000"/>
        <w:sz w:val="16"/>
        <w:szCs w:val="16"/>
      </w:rPr>
      <w:t>M</w:t>
    </w:r>
    <w:r w:rsidRPr="00125381">
      <w:rPr>
        <w:rFonts w:ascii="Verdana" w:hAnsi="Verdana" w:cs="Verdana"/>
        <w:color w:val="000000"/>
        <w:sz w:val="16"/>
        <w:szCs w:val="16"/>
      </w:rPr>
      <w:t>-</w:t>
    </w:r>
    <w:r>
      <w:rPr>
        <w:rFonts w:ascii="Verdana" w:hAnsi="Verdana" w:cs="Verdana"/>
        <w:color w:val="000000"/>
        <w:sz w:val="16"/>
        <w:szCs w:val="16"/>
      </w:rPr>
      <w:t>INA</w:t>
    </w:r>
    <w:r w:rsidRPr="00125381">
      <w:rPr>
        <w:rFonts w:ascii="Verdana" w:hAnsi="Verdana" w:cs="Verdana"/>
        <w:color w:val="000000"/>
        <w:sz w:val="16"/>
        <w:szCs w:val="16"/>
      </w:rPr>
      <w:t>-</w:t>
    </w:r>
    <w:r>
      <w:rPr>
        <w:rFonts w:ascii="Verdana" w:hAnsi="Verdana" w:cs="Verdana"/>
        <w:color w:val="000000"/>
        <w:sz w:val="16"/>
        <w:szCs w:val="16"/>
      </w:rPr>
      <w:t>46</w:t>
    </w:r>
    <w:r w:rsidRPr="00125381">
      <w:rPr>
        <w:rFonts w:ascii="Verdana" w:hAnsi="Verdana" w:cs="Verdana"/>
        <w:color w:val="000000"/>
        <w:sz w:val="16"/>
        <w:szCs w:val="16"/>
      </w:rPr>
      <w:t>: V</w:t>
    </w:r>
    <w:r>
      <w:rPr>
        <w:rFonts w:ascii="Verdana" w:hAnsi="Verdana" w:cs="Verdana"/>
        <w:color w:val="000000"/>
        <w:sz w:val="16"/>
        <w:szCs w:val="16"/>
      </w:rPr>
      <w:t>2</w:t>
    </w:r>
    <w:r w:rsidRPr="00125381">
      <w:rPr>
        <w:rFonts w:ascii="Verdana" w:hAnsi="Verdana" w:cs="Verdana"/>
        <w:color w:val="000000"/>
        <w:sz w:val="16"/>
        <w:szCs w:val="16"/>
      </w:rPr>
      <w:t xml:space="preserve"> - 25/05/2023</w:t>
    </w:r>
  </w:p>
  <w:p w14:paraId="49F04EB2" w14:textId="0980630A" w:rsidR="00680B62" w:rsidRPr="007734BB" w:rsidRDefault="00680B62" w:rsidP="00680B62">
    <w:pPr>
      <w:jc w:val="right"/>
      <w:rPr>
        <w:rFonts w:ascii="Verdana" w:hAnsi="Verdana"/>
        <w:color w:val="000000"/>
        <w:sz w:val="14"/>
        <w:szCs w:val="14"/>
      </w:rPr>
    </w:pPr>
    <w:r w:rsidRPr="00B738B6">
      <w:rPr>
        <w:rFonts w:ascii="Verdana" w:hAnsi="Verdana"/>
        <w:color w:val="000000"/>
        <w:sz w:val="14"/>
        <w:szCs w:val="14"/>
      </w:rPr>
      <w:t xml:space="preserve">Página </w:t>
    </w:r>
    <w:r w:rsidRPr="00B738B6">
      <w:rPr>
        <w:rFonts w:ascii="Verdana" w:hAnsi="Verdana"/>
        <w:color w:val="000000"/>
        <w:sz w:val="14"/>
        <w:szCs w:val="14"/>
      </w:rPr>
      <w:fldChar w:fldCharType="begin"/>
    </w:r>
    <w:r w:rsidRPr="00B738B6">
      <w:rPr>
        <w:rFonts w:ascii="Verdana" w:hAnsi="Verdana"/>
        <w:color w:val="000000"/>
        <w:sz w:val="14"/>
        <w:szCs w:val="14"/>
      </w:rPr>
      <w:instrText>PAGE   \* MERGEFORMAT</w:instrText>
    </w:r>
    <w:r w:rsidRPr="00B738B6">
      <w:rPr>
        <w:rFonts w:ascii="Verdana" w:hAnsi="Verdana"/>
        <w:color w:val="000000"/>
        <w:sz w:val="14"/>
        <w:szCs w:val="14"/>
      </w:rPr>
      <w:fldChar w:fldCharType="separate"/>
    </w:r>
    <w:r w:rsidR="00D2259B">
      <w:rPr>
        <w:rFonts w:ascii="Verdana" w:hAnsi="Verdana"/>
        <w:noProof/>
        <w:color w:val="000000"/>
        <w:sz w:val="14"/>
        <w:szCs w:val="14"/>
      </w:rPr>
      <w:t>14</w:t>
    </w:r>
    <w:r w:rsidRPr="00B738B6">
      <w:rPr>
        <w:rFonts w:ascii="Verdana" w:hAnsi="Verdana"/>
        <w:color w:val="000000"/>
        <w:sz w:val="14"/>
        <w:szCs w:val="14"/>
      </w:rPr>
      <w:fldChar w:fldCharType="end"/>
    </w:r>
    <w:r w:rsidRPr="00B738B6">
      <w:rPr>
        <w:rFonts w:ascii="Verdana" w:hAnsi="Verdana"/>
        <w:color w:val="000000"/>
        <w:sz w:val="14"/>
        <w:szCs w:val="14"/>
      </w:rPr>
      <w:t xml:space="preserve"> | </w:t>
    </w:r>
    <w:r w:rsidRPr="00B738B6">
      <w:rPr>
        <w:rFonts w:ascii="Verdana" w:hAnsi="Verdana"/>
        <w:color w:val="000000"/>
        <w:sz w:val="14"/>
        <w:szCs w:val="14"/>
      </w:rPr>
      <w:fldChar w:fldCharType="begin"/>
    </w:r>
    <w:r w:rsidRPr="00B738B6">
      <w:rPr>
        <w:rFonts w:ascii="Verdana" w:hAnsi="Verdana"/>
        <w:color w:val="000000"/>
        <w:sz w:val="14"/>
        <w:szCs w:val="14"/>
      </w:rPr>
      <w:instrText>NUMPAGES  \* Arabic  \* MERGEFORMAT</w:instrText>
    </w:r>
    <w:r w:rsidRPr="00B738B6">
      <w:rPr>
        <w:rFonts w:ascii="Verdana" w:hAnsi="Verdana"/>
        <w:color w:val="000000"/>
        <w:sz w:val="14"/>
        <w:szCs w:val="14"/>
      </w:rPr>
      <w:fldChar w:fldCharType="separate"/>
    </w:r>
    <w:r w:rsidR="00D2259B">
      <w:rPr>
        <w:rFonts w:ascii="Verdana" w:hAnsi="Verdana"/>
        <w:noProof/>
        <w:color w:val="000000"/>
        <w:sz w:val="14"/>
        <w:szCs w:val="14"/>
      </w:rPr>
      <w:t>14</w:t>
    </w:r>
    <w:r w:rsidRPr="00B738B6">
      <w:rPr>
        <w:rFonts w:ascii="Verdana" w:hAnsi="Verdana"/>
        <w:color w:val="000000"/>
        <w:sz w:val="14"/>
        <w:szCs w:val="14"/>
      </w:rPr>
      <w:fldChar w:fldCharType="end"/>
    </w:r>
  </w:p>
  <w:p w14:paraId="32691EFC" w14:textId="77777777" w:rsidR="00877751" w:rsidRDefault="00877751"/>
  <w:p w14:paraId="1990D7D0" w14:textId="77777777" w:rsidR="00877751" w:rsidRDefault="00877751"/>
  <w:p w14:paraId="7457CFE9" w14:textId="77777777" w:rsidR="00877751" w:rsidRDefault="00877751"/>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334AE7" w14:textId="77777777" w:rsidR="00680B62" w:rsidRDefault="00680B62" w:rsidP="00680B62">
    <w:pPr>
      <w:jc w:val="right"/>
      <w:rPr>
        <w:rFonts w:ascii="Verdana" w:hAnsi="Verdana" w:cs="Verdana"/>
        <w:color w:val="000000"/>
        <w:sz w:val="16"/>
        <w:szCs w:val="16"/>
      </w:rPr>
    </w:pPr>
  </w:p>
  <w:p w14:paraId="5D41A3F2" w14:textId="77777777" w:rsidR="00680B62" w:rsidRDefault="00680B62" w:rsidP="00680B62">
    <w:pPr>
      <w:jc w:val="right"/>
      <w:rPr>
        <w:rFonts w:ascii="Verdana" w:hAnsi="Verdana" w:cs="Verdana"/>
        <w:color w:val="000000"/>
        <w:sz w:val="16"/>
        <w:szCs w:val="16"/>
      </w:rPr>
    </w:pPr>
  </w:p>
  <w:p w14:paraId="5ED73220" w14:textId="0BCD47A1" w:rsidR="00680B62" w:rsidRPr="00125381" w:rsidRDefault="00680B62" w:rsidP="00680B62">
    <w:pPr>
      <w:jc w:val="right"/>
      <w:rPr>
        <w:rFonts w:ascii="Verdana" w:hAnsi="Verdana" w:cs="Verdana"/>
        <w:color w:val="000000"/>
        <w:sz w:val="16"/>
        <w:szCs w:val="16"/>
      </w:rPr>
    </w:pPr>
    <w:r w:rsidRPr="00125381">
      <w:rPr>
        <w:rFonts w:ascii="Verdana" w:hAnsi="Verdana" w:cs="Verdana"/>
        <w:color w:val="000000"/>
        <w:sz w:val="16"/>
        <w:szCs w:val="16"/>
      </w:rPr>
      <w:t>F-</w:t>
    </w:r>
    <w:r>
      <w:rPr>
        <w:rFonts w:ascii="Verdana" w:hAnsi="Verdana" w:cs="Verdana"/>
        <w:color w:val="000000"/>
        <w:sz w:val="16"/>
        <w:szCs w:val="16"/>
      </w:rPr>
      <w:t>M</w:t>
    </w:r>
    <w:r w:rsidRPr="00125381">
      <w:rPr>
        <w:rFonts w:ascii="Verdana" w:hAnsi="Verdana" w:cs="Verdana"/>
        <w:color w:val="000000"/>
        <w:sz w:val="16"/>
        <w:szCs w:val="16"/>
      </w:rPr>
      <w:t>-</w:t>
    </w:r>
    <w:r>
      <w:rPr>
        <w:rFonts w:ascii="Verdana" w:hAnsi="Verdana" w:cs="Verdana"/>
        <w:color w:val="000000"/>
        <w:sz w:val="16"/>
        <w:szCs w:val="16"/>
      </w:rPr>
      <w:t>INA</w:t>
    </w:r>
    <w:r w:rsidRPr="00125381">
      <w:rPr>
        <w:rFonts w:ascii="Verdana" w:hAnsi="Verdana" w:cs="Verdana"/>
        <w:color w:val="000000"/>
        <w:sz w:val="16"/>
        <w:szCs w:val="16"/>
      </w:rPr>
      <w:t>-</w:t>
    </w:r>
    <w:r>
      <w:rPr>
        <w:rFonts w:ascii="Verdana" w:hAnsi="Verdana" w:cs="Verdana"/>
        <w:color w:val="000000"/>
        <w:sz w:val="16"/>
        <w:szCs w:val="16"/>
      </w:rPr>
      <w:t>46</w:t>
    </w:r>
    <w:r w:rsidRPr="00125381">
      <w:rPr>
        <w:rFonts w:ascii="Verdana" w:hAnsi="Verdana" w:cs="Verdana"/>
        <w:color w:val="000000"/>
        <w:sz w:val="16"/>
        <w:szCs w:val="16"/>
      </w:rPr>
      <w:t>: V</w:t>
    </w:r>
    <w:r>
      <w:rPr>
        <w:rFonts w:ascii="Verdana" w:hAnsi="Verdana" w:cs="Verdana"/>
        <w:color w:val="000000"/>
        <w:sz w:val="16"/>
        <w:szCs w:val="16"/>
      </w:rPr>
      <w:t>2</w:t>
    </w:r>
    <w:r w:rsidRPr="00125381">
      <w:rPr>
        <w:rFonts w:ascii="Verdana" w:hAnsi="Verdana" w:cs="Verdana"/>
        <w:color w:val="000000"/>
        <w:sz w:val="16"/>
        <w:szCs w:val="16"/>
      </w:rPr>
      <w:t xml:space="preserve"> - 25/05/2023</w:t>
    </w:r>
  </w:p>
  <w:p w14:paraId="2D1404C9" w14:textId="155AC553" w:rsidR="00B738B6" w:rsidRPr="007734BB" w:rsidRDefault="00B738B6" w:rsidP="00680B62">
    <w:pPr>
      <w:jc w:val="right"/>
      <w:rPr>
        <w:rFonts w:ascii="Verdana" w:hAnsi="Verdana"/>
        <w:color w:val="000000"/>
        <w:sz w:val="14"/>
        <w:szCs w:val="14"/>
      </w:rPr>
    </w:pPr>
    <w:r w:rsidRPr="00B738B6">
      <w:rPr>
        <w:rFonts w:ascii="Verdana" w:hAnsi="Verdana"/>
        <w:color w:val="000000"/>
        <w:sz w:val="14"/>
        <w:szCs w:val="14"/>
      </w:rPr>
      <w:t xml:space="preserve">Página </w:t>
    </w:r>
    <w:r w:rsidRPr="00B738B6">
      <w:rPr>
        <w:rFonts w:ascii="Verdana" w:hAnsi="Verdana"/>
        <w:color w:val="000000"/>
        <w:sz w:val="14"/>
        <w:szCs w:val="14"/>
      </w:rPr>
      <w:fldChar w:fldCharType="begin"/>
    </w:r>
    <w:r w:rsidRPr="00B738B6">
      <w:rPr>
        <w:rFonts w:ascii="Verdana" w:hAnsi="Verdana"/>
        <w:color w:val="000000"/>
        <w:sz w:val="14"/>
        <w:szCs w:val="14"/>
      </w:rPr>
      <w:instrText>PAGE   \* MERGEFORMAT</w:instrText>
    </w:r>
    <w:r w:rsidRPr="00B738B6">
      <w:rPr>
        <w:rFonts w:ascii="Verdana" w:hAnsi="Verdana"/>
        <w:color w:val="000000"/>
        <w:sz w:val="14"/>
        <w:szCs w:val="14"/>
      </w:rPr>
      <w:fldChar w:fldCharType="separate"/>
    </w:r>
    <w:r w:rsidR="00931939">
      <w:rPr>
        <w:rFonts w:ascii="Verdana" w:hAnsi="Verdana"/>
        <w:noProof/>
        <w:color w:val="000000"/>
        <w:sz w:val="14"/>
        <w:szCs w:val="14"/>
      </w:rPr>
      <w:t>1</w:t>
    </w:r>
    <w:r w:rsidRPr="00B738B6">
      <w:rPr>
        <w:rFonts w:ascii="Verdana" w:hAnsi="Verdana"/>
        <w:color w:val="000000"/>
        <w:sz w:val="14"/>
        <w:szCs w:val="14"/>
      </w:rPr>
      <w:fldChar w:fldCharType="end"/>
    </w:r>
    <w:r w:rsidRPr="00B738B6">
      <w:rPr>
        <w:rFonts w:ascii="Verdana" w:hAnsi="Verdana"/>
        <w:color w:val="000000"/>
        <w:sz w:val="14"/>
        <w:szCs w:val="14"/>
      </w:rPr>
      <w:t xml:space="preserve"> | </w:t>
    </w:r>
    <w:r w:rsidRPr="00B738B6">
      <w:rPr>
        <w:rFonts w:ascii="Verdana" w:hAnsi="Verdana"/>
        <w:color w:val="000000"/>
        <w:sz w:val="14"/>
        <w:szCs w:val="14"/>
      </w:rPr>
      <w:fldChar w:fldCharType="begin"/>
    </w:r>
    <w:r w:rsidRPr="00B738B6">
      <w:rPr>
        <w:rFonts w:ascii="Verdana" w:hAnsi="Verdana"/>
        <w:color w:val="000000"/>
        <w:sz w:val="14"/>
        <w:szCs w:val="14"/>
      </w:rPr>
      <w:instrText>NUMPAGES  \* Arabic  \* MERGEFORMAT</w:instrText>
    </w:r>
    <w:r w:rsidRPr="00B738B6">
      <w:rPr>
        <w:rFonts w:ascii="Verdana" w:hAnsi="Verdana"/>
        <w:color w:val="000000"/>
        <w:sz w:val="14"/>
        <w:szCs w:val="14"/>
      </w:rPr>
      <w:fldChar w:fldCharType="separate"/>
    </w:r>
    <w:r w:rsidR="00931939">
      <w:rPr>
        <w:rFonts w:ascii="Verdana" w:hAnsi="Verdana"/>
        <w:noProof/>
        <w:color w:val="000000"/>
        <w:sz w:val="14"/>
        <w:szCs w:val="14"/>
      </w:rPr>
      <w:t>14</w:t>
    </w:r>
    <w:r w:rsidRPr="00B738B6">
      <w:rPr>
        <w:rFonts w:ascii="Verdana" w:hAnsi="Verdana"/>
        <w:color w:val="000000"/>
        <w:sz w:val="14"/>
        <w:szCs w:val="14"/>
      </w:rPr>
      <w:fldChar w:fldCharType="end"/>
    </w:r>
  </w:p>
  <w:p w14:paraId="0466FE8B" w14:textId="77777777" w:rsidR="00877751" w:rsidRDefault="00877751"/>
  <w:p w14:paraId="05C530CD" w14:textId="77777777" w:rsidR="00877751" w:rsidRDefault="00877751"/>
  <w:p w14:paraId="49B5C510" w14:textId="77777777" w:rsidR="00877751" w:rsidRDefault="00877751"/>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7D149D" w14:textId="77777777" w:rsidR="008A5DBE" w:rsidRDefault="008A5DBE">
      <w:r>
        <w:separator/>
      </w:r>
    </w:p>
  </w:footnote>
  <w:footnote w:type="continuationSeparator" w:id="0">
    <w:p w14:paraId="5A1A3F86" w14:textId="77777777" w:rsidR="008A5DBE" w:rsidRDefault="008A5DBE">
      <w:r>
        <w:continuationSeparator/>
      </w:r>
    </w:p>
  </w:footnote>
  <w:footnote w:id="1">
    <w:p w14:paraId="683870F3" w14:textId="5CF6BE6D" w:rsidR="00E725CF" w:rsidRPr="00E725CF" w:rsidRDefault="00E725CF" w:rsidP="000C2D3F">
      <w:pPr>
        <w:pStyle w:val="Textonotapie"/>
        <w:jc w:val="both"/>
        <w:rPr>
          <w:lang w:val="es-MX"/>
        </w:rPr>
      </w:pPr>
      <w:r w:rsidRPr="000C2D3F">
        <w:rPr>
          <w:rStyle w:val="Refdenotaalpie"/>
          <w:sz w:val="18"/>
          <w:szCs w:val="18"/>
        </w:rPr>
        <w:footnoteRef/>
      </w:r>
      <w:r w:rsidRPr="000C2D3F">
        <w:rPr>
          <w:sz w:val="18"/>
          <w:szCs w:val="18"/>
        </w:rPr>
        <w:t xml:space="preserve">El 29 de junio de 2023, el Ministerio de Ambiente Solicitud a las Corporaciones </w:t>
      </w:r>
      <w:bookmarkStart w:id="0" w:name="_Hlk147336542"/>
      <w:r w:rsidRPr="000C2D3F">
        <w:rPr>
          <w:sz w:val="18"/>
          <w:szCs w:val="18"/>
        </w:rPr>
        <w:t>información avances declaratoria áreas protegidas en zonas de protección de la Resolución 1125 de 2021</w:t>
      </w:r>
      <w:bookmarkEnd w:id="0"/>
      <w:r w:rsidRPr="000C2D3F">
        <w:rPr>
          <w:sz w:val="18"/>
          <w:szCs w:val="18"/>
        </w:rPr>
        <w:t>, los memorandos son: 21022023E2019851 (Corporguajira), 21022023E2019852 (Codechocó), 21022023E2019855 (Corantioquia), 21022023E2019857 (Corporinoquia), 21022023E2019858 (Cortolima), 21022023E2019859 (CDMB), 21022023E2019860 (Corpocaldas), 21022023E2019861 (Corponariño), 21022023E2019863 (Corponor).</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7AA404" w14:textId="77777777" w:rsidR="004230AC" w:rsidRDefault="004230AC">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A64CC2" w14:textId="71437392" w:rsidR="00B738B6" w:rsidRDefault="00B738B6" w:rsidP="00E3119E">
    <w:pPr>
      <w:ind w:left="-284" w:right="360"/>
      <w:rPr>
        <w:rFonts w:ascii="Arial" w:hAnsi="Arial" w:cs="Arial"/>
        <w:i/>
        <w:color w:val="808080"/>
        <w:szCs w:val="24"/>
      </w:rPr>
    </w:pPr>
    <w:r>
      <w:rPr>
        <w:noProof/>
        <w:sz w:val="28"/>
        <w:lang w:val="es-CO" w:eastAsia="es-CO"/>
      </w:rPr>
      <w:drawing>
        <wp:anchor distT="0" distB="0" distL="114300" distR="114300" simplePos="0" relativeHeight="251663360" behindDoc="1" locked="0" layoutInCell="1" allowOverlap="1" wp14:anchorId="20362F63" wp14:editId="2436516E">
          <wp:simplePos x="0" y="0"/>
          <wp:positionH relativeFrom="page">
            <wp:posOffset>66675</wp:posOffset>
          </wp:positionH>
          <wp:positionV relativeFrom="paragraph">
            <wp:posOffset>-441960</wp:posOffset>
          </wp:positionV>
          <wp:extent cx="7637929" cy="11935754"/>
          <wp:effectExtent l="0" t="0" r="1270" b="8890"/>
          <wp:wrapNone/>
          <wp:docPr id="494809618" name="Imagen 494809618" descr="Forma, Cuadrad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34882144" name="Imagen 4" descr="Forma, Cuadrado&#10;&#10;Descripción generada automáticamente"/>
                  <pic:cNvPicPr/>
                </pic:nvPicPr>
                <pic:blipFill>
                  <a:blip r:embed="rId1">
                    <a:extLst>
                      <a:ext uri="{28A0092B-C50C-407E-A947-70E740481C1C}">
                        <a14:useLocalDpi xmlns:a14="http://schemas.microsoft.com/office/drawing/2010/main" val="0"/>
                      </a:ext>
                    </a:extLst>
                  </a:blip>
                  <a:stretch>
                    <a:fillRect/>
                  </a:stretch>
                </pic:blipFill>
                <pic:spPr>
                  <a:xfrm>
                    <a:off x="0" y="0"/>
                    <a:ext cx="7637929" cy="11935754"/>
                  </a:xfrm>
                  <a:prstGeom prst="rect">
                    <a:avLst/>
                  </a:prstGeom>
                </pic:spPr>
              </pic:pic>
            </a:graphicData>
          </a:graphic>
          <wp14:sizeRelH relativeFrom="margin">
            <wp14:pctWidth>0</wp14:pctWidth>
          </wp14:sizeRelH>
          <wp14:sizeRelV relativeFrom="margin">
            <wp14:pctHeight>0</wp14:pctHeight>
          </wp14:sizeRelV>
        </wp:anchor>
      </w:drawing>
    </w:r>
  </w:p>
  <w:p w14:paraId="284F6384" w14:textId="77777777" w:rsidR="00E3119E" w:rsidRPr="00E3119E" w:rsidRDefault="00E3119E" w:rsidP="00E3119E">
    <w:pPr>
      <w:ind w:left="-284" w:right="360"/>
      <w:rPr>
        <w:rFonts w:ascii="Arial" w:hAnsi="Arial" w:cs="Arial"/>
        <w:i/>
        <w:color w:val="808080"/>
        <w:szCs w:val="24"/>
      </w:rPr>
    </w:pPr>
  </w:p>
  <w:p w14:paraId="49A28FCB" w14:textId="77777777" w:rsidR="00B738B6" w:rsidRDefault="00B738B6" w:rsidP="00463ED1">
    <w:pPr>
      <w:jc w:val="center"/>
      <w:rPr>
        <w:rFonts w:ascii="Arial" w:hAnsi="Arial" w:cs="Arial"/>
        <w:i/>
        <w:szCs w:val="24"/>
      </w:rPr>
    </w:pPr>
  </w:p>
  <w:p w14:paraId="575D6CE1" w14:textId="49049230" w:rsidR="00AE050D" w:rsidRPr="00E3119E" w:rsidRDefault="00AE050D" w:rsidP="00AE050D">
    <w:pPr>
      <w:ind w:left="-284"/>
      <w:jc w:val="center"/>
      <w:rPr>
        <w:rFonts w:ascii="Verdana" w:hAnsi="Verdana" w:cs="Arial"/>
        <w:bCs/>
        <w:i/>
        <w:iCs/>
        <w:sz w:val="20"/>
      </w:rPr>
    </w:pPr>
    <w:r w:rsidRPr="00E3119E">
      <w:rPr>
        <w:rFonts w:ascii="Verdana" w:hAnsi="Verdana" w:cs="Arial"/>
        <w:bCs/>
        <w:sz w:val="20"/>
      </w:rPr>
      <w:t>“</w:t>
    </w:r>
    <w:r w:rsidR="00691E92" w:rsidRPr="00691E92">
      <w:rPr>
        <w:rFonts w:ascii="Verdana" w:hAnsi="Verdana" w:cs="Arial"/>
        <w:bCs/>
        <w:i/>
        <w:iCs/>
        <w:sz w:val="20"/>
      </w:rPr>
      <w:t>Por medio del cual se prorroga el término de duración de las zonas de protección y desarrollo de los recursos naturales renovables y del medio ambiente, declaradas mediante la Resolución No. 1814 de 2015 y prorrogadas mediante las Resoluciones No. 2157 de 2017, 1987 de 2018, 1675 de 2019 y 1125 de 2021 y se adoptan otras determinaciones</w:t>
    </w:r>
    <w:r w:rsidRPr="00E3119E">
      <w:rPr>
        <w:rFonts w:ascii="Verdana" w:hAnsi="Verdana" w:cs="Arial"/>
        <w:bCs/>
        <w:i/>
        <w:iCs/>
        <w:sz w:val="20"/>
      </w:rPr>
      <w:t>”</w:t>
    </w:r>
  </w:p>
  <w:p w14:paraId="0437797C" w14:textId="77777777" w:rsidR="00E3119E" w:rsidRPr="00E3119E" w:rsidRDefault="00E3119E" w:rsidP="00B738B6">
    <w:pPr>
      <w:jc w:val="center"/>
      <w:rPr>
        <w:rFonts w:ascii="Arial" w:hAnsi="Arial" w:cs="Arial"/>
        <w:i/>
        <w:sz w:val="20"/>
      </w:rPr>
    </w:pPr>
  </w:p>
  <w:p w14:paraId="6CAB5389" w14:textId="77777777" w:rsidR="00877751" w:rsidRDefault="00877751"/>
  <w:p w14:paraId="714E854C" w14:textId="77777777" w:rsidR="00877751" w:rsidRDefault="00877751"/>
  <w:p w14:paraId="5C355628" w14:textId="77777777" w:rsidR="00877751" w:rsidRDefault="00877751"/>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0D4F19" w14:textId="6908D91A" w:rsidR="00625EC2" w:rsidRDefault="00B738B6">
    <w:pPr>
      <w:jc w:val="center"/>
      <w:rPr>
        <w:rFonts w:ascii="Arial" w:hAnsi="Arial"/>
        <w:sz w:val="16"/>
      </w:rPr>
    </w:pPr>
    <w:r>
      <w:rPr>
        <w:noProof/>
        <w:sz w:val="28"/>
        <w:lang w:val="es-CO" w:eastAsia="es-CO"/>
      </w:rPr>
      <w:drawing>
        <wp:anchor distT="0" distB="0" distL="114300" distR="114300" simplePos="0" relativeHeight="251661312" behindDoc="1" locked="0" layoutInCell="1" allowOverlap="1" wp14:anchorId="41BD92FD" wp14:editId="06B46091">
          <wp:simplePos x="0" y="0"/>
          <wp:positionH relativeFrom="page">
            <wp:posOffset>66675</wp:posOffset>
          </wp:positionH>
          <wp:positionV relativeFrom="paragraph">
            <wp:posOffset>-445135</wp:posOffset>
          </wp:positionV>
          <wp:extent cx="7637929" cy="11935754"/>
          <wp:effectExtent l="0" t="0" r="1270" b="8890"/>
          <wp:wrapNone/>
          <wp:docPr id="2008218250" name="Imagen 2008218250" descr="Forma, Cuadrad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34882144" name="Imagen 4" descr="Forma, Cuadrado&#10;&#10;Descripción generada automáticamente"/>
                  <pic:cNvPicPr/>
                </pic:nvPicPr>
                <pic:blipFill>
                  <a:blip r:embed="rId1">
                    <a:extLst>
                      <a:ext uri="{28A0092B-C50C-407E-A947-70E740481C1C}">
                        <a14:useLocalDpi xmlns:a14="http://schemas.microsoft.com/office/drawing/2010/main" val="0"/>
                      </a:ext>
                    </a:extLst>
                  </a:blip>
                  <a:stretch>
                    <a:fillRect/>
                  </a:stretch>
                </pic:blipFill>
                <pic:spPr>
                  <a:xfrm>
                    <a:off x="0" y="0"/>
                    <a:ext cx="7637929" cy="11935754"/>
                  </a:xfrm>
                  <a:prstGeom prst="rect">
                    <a:avLst/>
                  </a:prstGeom>
                </pic:spPr>
              </pic:pic>
            </a:graphicData>
          </a:graphic>
          <wp14:sizeRelH relativeFrom="margin">
            <wp14:pctWidth>0</wp14:pctWidth>
          </wp14:sizeRelH>
          <wp14:sizeRelV relativeFrom="margin">
            <wp14:pctHeight>0</wp14:pctHeight>
          </wp14:sizeRelV>
        </wp:anchor>
      </w:drawing>
    </w:r>
  </w:p>
  <w:p w14:paraId="76A02794" w14:textId="44529E3C" w:rsidR="00625EC2" w:rsidRDefault="00625EC2">
    <w:pPr>
      <w:jc w:val="center"/>
      <w:rPr>
        <w:rFonts w:ascii="Arial" w:hAnsi="Arial"/>
        <w:sz w:val="16"/>
      </w:rPr>
    </w:pPr>
  </w:p>
  <w:p w14:paraId="791B4D21" w14:textId="054CA955" w:rsidR="00625EC2" w:rsidRDefault="00625EC2">
    <w:pPr>
      <w:jc w:val="center"/>
      <w:rPr>
        <w:rFonts w:ascii="Arial" w:hAnsi="Arial"/>
      </w:rPr>
    </w:pPr>
  </w:p>
  <w:p w14:paraId="276AD3D1" w14:textId="77777777" w:rsidR="00322343" w:rsidRDefault="00322343">
    <w:pPr>
      <w:jc w:val="center"/>
      <w:rPr>
        <w:rFonts w:ascii="Arial" w:hAnsi="Arial"/>
      </w:rPr>
    </w:pPr>
  </w:p>
  <w:p w14:paraId="484CB0E6" w14:textId="77777777" w:rsidR="0062759F" w:rsidRDefault="0062759F">
    <w:pPr>
      <w:jc w:val="center"/>
      <w:rPr>
        <w:rFonts w:ascii="Arial" w:hAnsi="Arial"/>
      </w:rPr>
    </w:pPr>
  </w:p>
  <w:p w14:paraId="412B3555" w14:textId="33E36ADE" w:rsidR="0062759F" w:rsidRDefault="009C45DA">
    <w:pPr>
      <w:jc w:val="center"/>
      <w:rPr>
        <w:rFonts w:ascii="Arial" w:hAnsi="Arial"/>
      </w:rPr>
    </w:pPr>
    <w:r>
      <w:rPr>
        <w:noProof/>
      </w:rPr>
      <mc:AlternateContent>
        <mc:Choice Requires="wps">
          <w:drawing>
            <wp:anchor distT="0" distB="0" distL="114300" distR="114300" simplePos="0" relativeHeight="251658240" behindDoc="0" locked="0" layoutInCell="1" allowOverlap="1" wp14:anchorId="1C5E77E0" wp14:editId="5B6E5C9A">
              <wp:simplePos x="0" y="0"/>
              <wp:positionH relativeFrom="column">
                <wp:posOffset>553720</wp:posOffset>
              </wp:positionH>
              <wp:positionV relativeFrom="paragraph">
                <wp:posOffset>174625</wp:posOffset>
              </wp:positionV>
              <wp:extent cx="4513580" cy="1228725"/>
              <wp:effectExtent l="0" t="0" r="0" b="0"/>
              <wp:wrapNone/>
              <wp:docPr id="68674655" name="Rectángulo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13580" cy="1228725"/>
                      </a:xfrm>
                      <a:prstGeom prst="rect">
                        <a:avLst/>
                      </a:prstGeom>
                      <a:solidFill>
                        <a:srgbClr val="FFFFFF"/>
                      </a:solidFill>
                      <a:ln>
                        <a:noFill/>
                      </a:ln>
                    </wps:spPr>
                    <wps:txbx>
                      <w:txbxContent>
                        <w:p w14:paraId="2E899486" w14:textId="77777777" w:rsidR="00625EC2" w:rsidRPr="00D06730" w:rsidRDefault="000D2B9D" w:rsidP="00D06730">
                          <w:pPr>
                            <w:pStyle w:val="Ttulo2"/>
                            <w:rPr>
                              <w:rFonts w:ascii="Arial Narrow" w:hAnsi="Arial Narrow"/>
                              <w:sz w:val="28"/>
                              <w:szCs w:val="28"/>
                            </w:rPr>
                          </w:pPr>
                          <w:r w:rsidRPr="00D06730">
                            <w:rPr>
                              <w:rFonts w:ascii="Arial Narrow" w:hAnsi="Arial Narrow"/>
                              <w:sz w:val="28"/>
                              <w:szCs w:val="28"/>
                            </w:rPr>
                            <w:t xml:space="preserve">MINISTERIO DE  AMBIENTE </w:t>
                          </w:r>
                          <w:r w:rsidR="007C19DE" w:rsidRPr="00D06730">
                            <w:rPr>
                              <w:rFonts w:ascii="Arial Narrow" w:hAnsi="Arial Narrow"/>
                              <w:sz w:val="28"/>
                              <w:szCs w:val="28"/>
                            </w:rPr>
                            <w:t xml:space="preserve">Y </w:t>
                          </w:r>
                          <w:r w:rsidR="00D06730">
                            <w:rPr>
                              <w:rFonts w:ascii="Arial Narrow" w:hAnsi="Arial Narrow"/>
                              <w:sz w:val="28"/>
                              <w:szCs w:val="28"/>
                            </w:rPr>
                            <w:t xml:space="preserve">DESARROLLO </w:t>
                          </w:r>
                          <w:r w:rsidR="007C19DE" w:rsidRPr="00D06730">
                            <w:rPr>
                              <w:rFonts w:ascii="Arial Narrow" w:hAnsi="Arial Narrow"/>
                              <w:sz w:val="28"/>
                              <w:szCs w:val="28"/>
                            </w:rPr>
                            <w:t>SOSTENIBLE</w:t>
                          </w:r>
                        </w:p>
                        <w:p w14:paraId="6F139824" w14:textId="77777777" w:rsidR="00625EC2" w:rsidRPr="00FE0D79" w:rsidRDefault="00625EC2">
                          <w:pPr>
                            <w:pStyle w:val="Ttulo3"/>
                            <w:rPr>
                              <w:rFonts w:ascii="Arial Narrow" w:hAnsi="Arial Narrow"/>
                            </w:rPr>
                          </w:pPr>
                        </w:p>
                        <w:p w14:paraId="5DC09782" w14:textId="77777777" w:rsidR="00D06730" w:rsidRDefault="00D06730" w:rsidP="000D2B9D">
                          <w:pPr>
                            <w:pStyle w:val="Ttulo3"/>
                          </w:pPr>
                        </w:p>
                        <w:p w14:paraId="40814EF0" w14:textId="77777777" w:rsidR="000D2B9D" w:rsidRDefault="003B1B57" w:rsidP="000D2B9D">
                          <w:pPr>
                            <w:pStyle w:val="Ttulo3"/>
                            <w:rPr>
                              <w:rFonts w:cs="Arial"/>
                              <w:b/>
                              <w:sz w:val="36"/>
                              <w:szCs w:val="36"/>
                            </w:rPr>
                          </w:pPr>
                          <w:r w:rsidRPr="00FE0D79">
                            <w:t>RESOLUCIÓN</w:t>
                          </w:r>
                          <w:r w:rsidR="00625EC2" w:rsidRPr="00FE0D79">
                            <w:t xml:space="preserve"> N</w:t>
                          </w:r>
                          <w:r w:rsidR="000D2B9D">
                            <w:t>o.______________</w:t>
                          </w:r>
                          <w:r w:rsidR="000D2B9D">
                            <w:rPr>
                              <w:rFonts w:cs="Arial"/>
                              <w:b/>
                              <w:sz w:val="36"/>
                              <w:szCs w:val="36"/>
                            </w:rPr>
                            <w:t xml:space="preserve"> </w:t>
                          </w:r>
                        </w:p>
                        <w:p w14:paraId="3BBE1891" w14:textId="77777777" w:rsidR="000D2B9D" w:rsidRPr="000D2B9D" w:rsidRDefault="000D2B9D" w:rsidP="000D2B9D">
                          <w:pPr>
                            <w:rPr>
                              <w:lang w:val="es-ES_tradnl"/>
                            </w:rPr>
                          </w:pPr>
                        </w:p>
                        <w:p w14:paraId="06C1422E" w14:textId="77777777" w:rsidR="00625EC2" w:rsidRPr="00FE0D79" w:rsidRDefault="000D2B9D" w:rsidP="000D2B9D">
                          <w:pPr>
                            <w:spacing w:after="120"/>
                            <w:jc w:val="center"/>
                            <w:rPr>
                              <w:rFonts w:ascii="Arial Narrow" w:hAnsi="Arial Narrow" w:cs="Arial"/>
                              <w:b/>
                              <w:sz w:val="36"/>
                              <w:szCs w:val="36"/>
                            </w:rPr>
                          </w:pPr>
                          <w:r w:rsidRPr="00FE0D79">
                            <w:rPr>
                              <w:rFonts w:ascii="Arial Narrow" w:hAnsi="Arial Narrow" w:cs="Arial"/>
                              <w:b/>
                              <w:sz w:val="36"/>
                              <w:szCs w:val="36"/>
                            </w:rPr>
                            <w:t xml:space="preserve"> </w:t>
                          </w:r>
                          <w:r w:rsidR="00625EC2" w:rsidRPr="00FE0D79">
                            <w:rPr>
                              <w:rFonts w:ascii="Arial Narrow" w:hAnsi="Arial Narrow" w:cs="Arial"/>
                              <w:b/>
                              <w:sz w:val="36"/>
                              <w:szCs w:val="36"/>
                            </w:rPr>
                            <w:t>(</w:t>
                          </w:r>
                          <w:r>
                            <w:rPr>
                              <w:rFonts w:ascii="Arial Narrow" w:hAnsi="Arial Narrow" w:cs="Arial"/>
                              <w:b/>
                              <w:sz w:val="36"/>
                              <w:szCs w:val="36"/>
                            </w:rPr>
                            <w:t xml:space="preserve">                           </w:t>
                          </w:r>
                          <w:r w:rsidR="00625EC2" w:rsidRPr="00FE0D79">
                            <w:rPr>
                              <w:rFonts w:ascii="Arial Narrow" w:hAnsi="Arial Narrow" w:cs="Arial"/>
                              <w:b/>
                              <w:sz w:val="36"/>
                              <w:szCs w:val="36"/>
                            </w:rPr>
                            <w:t>)</w:t>
                          </w:r>
                        </w:p>
                        <w:p w14:paraId="3F148779" w14:textId="77777777" w:rsidR="00625EC2" w:rsidRPr="00FE0D79" w:rsidRDefault="00625EC2">
                          <w:pPr>
                            <w:jc w:val="center"/>
                            <w:rPr>
                              <w:rFonts w:ascii="Arial Narrow" w:hAnsi="Arial Narrow"/>
                            </w:rPr>
                          </w:pPr>
                        </w:p>
                        <w:p w14:paraId="119DFF9B" w14:textId="77777777" w:rsidR="00625EC2" w:rsidRDefault="00625EC2">
                          <w:pPr>
                            <w:jc w:val="center"/>
                          </w:pPr>
                        </w:p>
                        <w:p w14:paraId="75639E32" w14:textId="77777777" w:rsidR="00625EC2" w:rsidRDefault="00625EC2">
                          <w:pPr>
                            <w:jc w:val="center"/>
                          </w:pPr>
                        </w:p>
                        <w:p w14:paraId="09B8C98C" w14:textId="77777777" w:rsidR="00625EC2" w:rsidRDefault="00625EC2">
                          <w:pPr>
                            <w:jc w:val="cente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C5E77E0" id="Rectángulo 1" o:spid="_x0000_s1026" style="position:absolute;left:0;text-align:left;margin-left:43.6pt;margin-top:13.75pt;width:355.4pt;height:96.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" stroked="f">
              <v:textbox inset="0,0,0,0">
                <w:txbxContent>
                  <w:p w14:paraId="2E899486" w14:textId="77777777" w:rsidR="00625EC2" w:rsidRPr="00D06730" w:rsidRDefault="000D2B9D" w:rsidP="00D06730">
                    <w:pPr>
                      <w:pStyle w:val="Ttulo2"/>
                      <w:rPr>
                        <w:rFonts w:ascii="Arial Narrow" w:hAnsi="Arial Narrow"/>
                        <w:sz w:val="28"/>
                        <w:szCs w:val="28"/>
                      </w:rPr>
                    </w:pPr>
                    <w:r w:rsidRPr="00D06730">
                      <w:rPr>
                        <w:rFonts w:ascii="Arial Narrow" w:hAnsi="Arial Narrow"/>
                        <w:sz w:val="28"/>
                        <w:szCs w:val="28"/>
                      </w:rPr>
                      <w:t xml:space="preserve">MINISTERIO DE  AMBIENTE </w:t>
                    </w:r>
                    <w:r w:rsidR="007C19DE" w:rsidRPr="00D06730">
                      <w:rPr>
                        <w:rFonts w:ascii="Arial Narrow" w:hAnsi="Arial Narrow"/>
                        <w:sz w:val="28"/>
                        <w:szCs w:val="28"/>
                      </w:rPr>
                      <w:t xml:space="preserve">Y </w:t>
                    </w:r>
                    <w:r w:rsidR="00D06730">
                      <w:rPr>
                        <w:rFonts w:ascii="Arial Narrow" w:hAnsi="Arial Narrow"/>
                        <w:sz w:val="28"/>
                        <w:szCs w:val="28"/>
                      </w:rPr>
                      <w:t xml:space="preserve">DESARROLLO </w:t>
                    </w:r>
                    <w:r w:rsidR="007C19DE" w:rsidRPr="00D06730">
                      <w:rPr>
                        <w:rFonts w:ascii="Arial Narrow" w:hAnsi="Arial Narrow"/>
                        <w:sz w:val="28"/>
                        <w:szCs w:val="28"/>
                      </w:rPr>
                      <w:t>SOSTENIBLE</w:t>
                    </w:r>
                  </w:p>
                  <w:p w14:paraId="6F139824" w14:textId="77777777" w:rsidR="00625EC2" w:rsidRPr="00FE0D79" w:rsidRDefault="00625EC2">
                    <w:pPr>
                      <w:pStyle w:val="Ttulo3"/>
                      <w:rPr>
                        <w:rFonts w:ascii="Arial Narrow" w:hAnsi="Arial Narrow"/>
                      </w:rPr>
                    </w:pPr>
                  </w:p>
                  <w:p w14:paraId="5DC09782" w14:textId="77777777" w:rsidR="00D06730" w:rsidRDefault="00D06730" w:rsidP="000D2B9D">
                    <w:pPr>
                      <w:pStyle w:val="Ttulo3"/>
                    </w:pPr>
                  </w:p>
                  <w:p w14:paraId="40814EF0" w14:textId="77777777" w:rsidR="000D2B9D" w:rsidRDefault="003B1B57" w:rsidP="000D2B9D">
                    <w:pPr>
                      <w:pStyle w:val="Ttulo3"/>
                      <w:rPr>
                        <w:rFonts w:cs="Arial"/>
                        <w:b/>
                        <w:sz w:val="36"/>
                        <w:szCs w:val="36"/>
                      </w:rPr>
                    </w:pPr>
                    <w:r w:rsidRPr="00FE0D79">
                      <w:t>RESOLUCIÓN</w:t>
                    </w:r>
                    <w:r w:rsidR="00625EC2" w:rsidRPr="00FE0D79">
                      <w:t xml:space="preserve"> N</w:t>
                    </w:r>
                    <w:r w:rsidR="000D2B9D">
                      <w:t>o.______________</w:t>
                    </w:r>
                    <w:r w:rsidR="000D2B9D">
                      <w:rPr>
                        <w:rFonts w:cs="Arial"/>
                        <w:b/>
                        <w:sz w:val="36"/>
                        <w:szCs w:val="36"/>
                      </w:rPr>
                      <w:t xml:space="preserve"> </w:t>
                    </w:r>
                  </w:p>
                  <w:p w14:paraId="3BBE1891" w14:textId="77777777" w:rsidR="000D2B9D" w:rsidRPr="000D2B9D" w:rsidRDefault="000D2B9D" w:rsidP="000D2B9D">
                    <w:pPr>
                      <w:rPr>
                        <w:lang w:val="es-ES_tradnl"/>
                      </w:rPr>
                    </w:pPr>
                  </w:p>
                  <w:p w14:paraId="06C1422E" w14:textId="77777777" w:rsidR="00625EC2" w:rsidRPr="00FE0D79" w:rsidRDefault="000D2B9D" w:rsidP="000D2B9D">
                    <w:pPr>
                      <w:spacing w:after="120"/>
                      <w:jc w:val="center"/>
                      <w:rPr>
                        <w:rFonts w:ascii="Arial Narrow" w:hAnsi="Arial Narrow" w:cs="Arial"/>
                        <w:b/>
                        <w:sz w:val="36"/>
                        <w:szCs w:val="36"/>
                      </w:rPr>
                    </w:pPr>
                    <w:r w:rsidRPr="00FE0D79">
                      <w:rPr>
                        <w:rFonts w:ascii="Arial Narrow" w:hAnsi="Arial Narrow" w:cs="Arial"/>
                        <w:b/>
                        <w:sz w:val="36"/>
                        <w:szCs w:val="36"/>
                      </w:rPr>
                      <w:t xml:space="preserve"> </w:t>
                    </w:r>
                    <w:r w:rsidR="00625EC2" w:rsidRPr="00FE0D79">
                      <w:rPr>
                        <w:rFonts w:ascii="Arial Narrow" w:hAnsi="Arial Narrow" w:cs="Arial"/>
                        <w:b/>
                        <w:sz w:val="36"/>
                        <w:szCs w:val="36"/>
                      </w:rPr>
                      <w:t>(</w:t>
                    </w:r>
                    <w:r>
                      <w:rPr>
                        <w:rFonts w:ascii="Arial Narrow" w:hAnsi="Arial Narrow" w:cs="Arial"/>
                        <w:b/>
                        <w:sz w:val="36"/>
                        <w:szCs w:val="36"/>
                      </w:rPr>
                      <w:t xml:space="preserve">                           </w:t>
                    </w:r>
                    <w:r w:rsidR="00625EC2" w:rsidRPr="00FE0D79">
                      <w:rPr>
                        <w:rFonts w:ascii="Arial Narrow" w:hAnsi="Arial Narrow" w:cs="Arial"/>
                        <w:b/>
                        <w:sz w:val="36"/>
                        <w:szCs w:val="36"/>
                      </w:rPr>
                      <w:t>)</w:t>
                    </w:r>
                  </w:p>
                  <w:p w14:paraId="3F148779" w14:textId="77777777" w:rsidR="00625EC2" w:rsidRPr="00FE0D79" w:rsidRDefault="00625EC2">
                    <w:pPr>
                      <w:jc w:val="center"/>
                      <w:rPr>
                        <w:rFonts w:ascii="Arial Narrow" w:hAnsi="Arial Narrow"/>
                      </w:rPr>
                    </w:pPr>
                  </w:p>
                  <w:p w14:paraId="119DFF9B" w14:textId="77777777" w:rsidR="00625EC2" w:rsidRDefault="00625EC2">
                    <w:pPr>
                      <w:jc w:val="center"/>
                    </w:pPr>
                  </w:p>
                  <w:p w14:paraId="75639E32" w14:textId="77777777" w:rsidR="00625EC2" w:rsidRDefault="00625EC2">
                    <w:pPr>
                      <w:jc w:val="center"/>
                    </w:pPr>
                  </w:p>
                  <w:p w14:paraId="09B8C98C" w14:textId="77777777" w:rsidR="00625EC2" w:rsidRDefault="00625EC2">
                    <w:pPr>
                      <w:jc w:val="center"/>
                    </w:pPr>
                  </w:p>
                </w:txbxContent>
              </v:textbox>
            </v:rect>
          </w:pict>
        </mc:Fallback>
      </mc:AlternateContent>
    </w:r>
  </w:p>
  <w:p w14:paraId="31A9C630" w14:textId="15B4BC64" w:rsidR="00AB5E7C" w:rsidRPr="00652A5F" w:rsidRDefault="00AB5E7C">
    <w:pPr>
      <w:jc w:val="center"/>
      <w:rPr>
        <w:rFonts w:ascii="Arial" w:hAnsi="Arial"/>
        <w:sz w:val="48"/>
        <w:szCs w:val="48"/>
      </w:rPr>
    </w:pPr>
  </w:p>
  <w:p w14:paraId="0BC1248C" w14:textId="77777777" w:rsidR="00877751" w:rsidRDefault="00877751"/>
  <w:p w14:paraId="4B47D754" w14:textId="77777777" w:rsidR="00877751" w:rsidRDefault="00877751"/>
  <w:p w14:paraId="7D46FBF0" w14:textId="77777777" w:rsidR="00877751" w:rsidRDefault="00877751"/>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D72602"/>
    <w:multiLevelType w:val="hybridMultilevel"/>
    <w:tmpl w:val="89FAB616"/>
    <w:lvl w:ilvl="0" w:tplc="FFFFFFFF">
      <w:start w:val="1"/>
      <w:numFmt w:val="decimal"/>
      <w:lvlText w:val="%1."/>
      <w:lvlJc w:val="left"/>
      <w:pPr>
        <w:tabs>
          <w:tab w:val="num" w:pos="2977"/>
        </w:tabs>
        <w:ind w:left="2977" w:hanging="360"/>
      </w:pPr>
      <w:rPr>
        <w:rFonts w:hint="default"/>
      </w:rPr>
    </w:lvl>
    <w:lvl w:ilvl="1" w:tplc="FFFFFFFF" w:tentative="1">
      <w:start w:val="1"/>
      <w:numFmt w:val="lowerLetter"/>
      <w:lvlText w:val="%2."/>
      <w:lvlJc w:val="left"/>
      <w:pPr>
        <w:tabs>
          <w:tab w:val="num" w:pos="4057"/>
        </w:tabs>
        <w:ind w:left="4057" w:hanging="360"/>
      </w:pPr>
    </w:lvl>
    <w:lvl w:ilvl="2" w:tplc="FFFFFFFF" w:tentative="1">
      <w:start w:val="1"/>
      <w:numFmt w:val="lowerRoman"/>
      <w:lvlText w:val="%3."/>
      <w:lvlJc w:val="right"/>
      <w:pPr>
        <w:tabs>
          <w:tab w:val="num" w:pos="4777"/>
        </w:tabs>
        <w:ind w:left="4777" w:hanging="180"/>
      </w:pPr>
    </w:lvl>
    <w:lvl w:ilvl="3" w:tplc="FFFFFFFF" w:tentative="1">
      <w:start w:val="1"/>
      <w:numFmt w:val="decimal"/>
      <w:lvlText w:val="%4."/>
      <w:lvlJc w:val="left"/>
      <w:pPr>
        <w:tabs>
          <w:tab w:val="num" w:pos="5497"/>
        </w:tabs>
        <w:ind w:left="5497" w:hanging="360"/>
      </w:pPr>
    </w:lvl>
    <w:lvl w:ilvl="4" w:tplc="FFFFFFFF" w:tentative="1">
      <w:start w:val="1"/>
      <w:numFmt w:val="lowerLetter"/>
      <w:lvlText w:val="%5."/>
      <w:lvlJc w:val="left"/>
      <w:pPr>
        <w:tabs>
          <w:tab w:val="num" w:pos="6217"/>
        </w:tabs>
        <w:ind w:left="6217" w:hanging="360"/>
      </w:pPr>
    </w:lvl>
    <w:lvl w:ilvl="5" w:tplc="FFFFFFFF" w:tentative="1">
      <w:start w:val="1"/>
      <w:numFmt w:val="lowerRoman"/>
      <w:lvlText w:val="%6."/>
      <w:lvlJc w:val="right"/>
      <w:pPr>
        <w:tabs>
          <w:tab w:val="num" w:pos="6937"/>
        </w:tabs>
        <w:ind w:left="6937" w:hanging="180"/>
      </w:pPr>
    </w:lvl>
    <w:lvl w:ilvl="6" w:tplc="FFFFFFFF" w:tentative="1">
      <w:start w:val="1"/>
      <w:numFmt w:val="decimal"/>
      <w:lvlText w:val="%7."/>
      <w:lvlJc w:val="left"/>
      <w:pPr>
        <w:tabs>
          <w:tab w:val="num" w:pos="7657"/>
        </w:tabs>
        <w:ind w:left="7657" w:hanging="360"/>
      </w:pPr>
    </w:lvl>
    <w:lvl w:ilvl="7" w:tplc="FFFFFFFF" w:tentative="1">
      <w:start w:val="1"/>
      <w:numFmt w:val="lowerLetter"/>
      <w:lvlText w:val="%8."/>
      <w:lvlJc w:val="left"/>
      <w:pPr>
        <w:tabs>
          <w:tab w:val="num" w:pos="8377"/>
        </w:tabs>
        <w:ind w:left="8377" w:hanging="360"/>
      </w:pPr>
    </w:lvl>
    <w:lvl w:ilvl="8" w:tplc="FFFFFFFF" w:tentative="1">
      <w:start w:val="1"/>
      <w:numFmt w:val="lowerRoman"/>
      <w:lvlText w:val="%9."/>
      <w:lvlJc w:val="right"/>
      <w:pPr>
        <w:tabs>
          <w:tab w:val="num" w:pos="9097"/>
        </w:tabs>
        <w:ind w:left="9097" w:hanging="180"/>
      </w:pPr>
    </w:lvl>
  </w:abstractNum>
  <w:abstractNum w:abstractNumId="1" w15:restartNumberingAfterBreak="0">
    <w:nsid w:val="06F22522"/>
    <w:multiLevelType w:val="hybridMultilevel"/>
    <w:tmpl w:val="7FD23C3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 w15:restartNumberingAfterBreak="0">
    <w:nsid w:val="08B5441E"/>
    <w:multiLevelType w:val="multilevel"/>
    <w:tmpl w:val="D4CAFF96"/>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3" w15:restartNumberingAfterBreak="0">
    <w:nsid w:val="0FAC5AE3"/>
    <w:multiLevelType w:val="hybridMultilevel"/>
    <w:tmpl w:val="DBD4D632"/>
    <w:lvl w:ilvl="0" w:tplc="0C0A000F">
      <w:start w:val="1"/>
      <w:numFmt w:val="decimal"/>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4" w15:restartNumberingAfterBreak="0">
    <w:nsid w:val="131D6644"/>
    <w:multiLevelType w:val="hybridMultilevel"/>
    <w:tmpl w:val="329865E4"/>
    <w:lvl w:ilvl="0" w:tplc="FFFFFFFF">
      <w:start w:val="1"/>
      <w:numFmt w:val="decimal"/>
      <w:lvlText w:val="%1."/>
      <w:lvlJc w:val="left"/>
      <w:pPr>
        <w:tabs>
          <w:tab w:val="num" w:pos="360"/>
        </w:tabs>
        <w:ind w:left="360" w:hanging="360"/>
      </w:pPr>
      <w:rPr>
        <w:rFonts w:hint="default"/>
        <w:strike w:val="0"/>
        <w:color w:val="auto"/>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 w15:restartNumberingAfterBreak="0">
    <w:nsid w:val="13682B22"/>
    <w:multiLevelType w:val="hybridMultilevel"/>
    <w:tmpl w:val="E3E2F896"/>
    <w:lvl w:ilvl="0" w:tplc="FFFFFFFF">
      <w:start w:val="1"/>
      <w:numFmt w:val="decimal"/>
      <w:lvlText w:val="%1."/>
      <w:lvlJc w:val="left"/>
      <w:pPr>
        <w:tabs>
          <w:tab w:val="num" w:pos="360"/>
        </w:tabs>
        <w:ind w:left="360" w:hanging="360"/>
      </w:pPr>
      <w:rPr>
        <w:rFonts w:ascii="Arial" w:hAnsi="Arial" w:hint="default"/>
        <w:b w:val="0"/>
        <w:i w:val="0"/>
        <w:sz w:val="24"/>
      </w:rPr>
    </w:lvl>
    <w:lvl w:ilvl="1" w:tplc="FFFFFFFF" w:tentative="1">
      <w:start w:val="1"/>
      <w:numFmt w:val="lowerLetter"/>
      <w:lvlText w:val="%2."/>
      <w:lvlJc w:val="left"/>
      <w:pPr>
        <w:tabs>
          <w:tab w:val="num" w:pos="1014"/>
        </w:tabs>
        <w:ind w:left="1014" w:hanging="360"/>
      </w:pPr>
    </w:lvl>
    <w:lvl w:ilvl="2" w:tplc="FFFFFFFF" w:tentative="1">
      <w:start w:val="1"/>
      <w:numFmt w:val="lowerRoman"/>
      <w:lvlText w:val="%3."/>
      <w:lvlJc w:val="right"/>
      <w:pPr>
        <w:tabs>
          <w:tab w:val="num" w:pos="1734"/>
        </w:tabs>
        <w:ind w:left="1734" w:hanging="180"/>
      </w:pPr>
    </w:lvl>
    <w:lvl w:ilvl="3" w:tplc="FFFFFFFF" w:tentative="1">
      <w:start w:val="1"/>
      <w:numFmt w:val="decimal"/>
      <w:lvlText w:val="%4."/>
      <w:lvlJc w:val="left"/>
      <w:pPr>
        <w:tabs>
          <w:tab w:val="num" w:pos="2454"/>
        </w:tabs>
        <w:ind w:left="2454" w:hanging="360"/>
      </w:pPr>
    </w:lvl>
    <w:lvl w:ilvl="4" w:tplc="FFFFFFFF" w:tentative="1">
      <w:start w:val="1"/>
      <w:numFmt w:val="lowerLetter"/>
      <w:lvlText w:val="%5."/>
      <w:lvlJc w:val="left"/>
      <w:pPr>
        <w:tabs>
          <w:tab w:val="num" w:pos="3174"/>
        </w:tabs>
        <w:ind w:left="3174" w:hanging="360"/>
      </w:pPr>
    </w:lvl>
    <w:lvl w:ilvl="5" w:tplc="FFFFFFFF" w:tentative="1">
      <w:start w:val="1"/>
      <w:numFmt w:val="lowerRoman"/>
      <w:lvlText w:val="%6."/>
      <w:lvlJc w:val="right"/>
      <w:pPr>
        <w:tabs>
          <w:tab w:val="num" w:pos="3894"/>
        </w:tabs>
        <w:ind w:left="3894" w:hanging="180"/>
      </w:pPr>
    </w:lvl>
    <w:lvl w:ilvl="6" w:tplc="FFFFFFFF" w:tentative="1">
      <w:start w:val="1"/>
      <w:numFmt w:val="decimal"/>
      <w:lvlText w:val="%7."/>
      <w:lvlJc w:val="left"/>
      <w:pPr>
        <w:tabs>
          <w:tab w:val="num" w:pos="4614"/>
        </w:tabs>
        <w:ind w:left="4614" w:hanging="360"/>
      </w:pPr>
    </w:lvl>
    <w:lvl w:ilvl="7" w:tplc="FFFFFFFF" w:tentative="1">
      <w:start w:val="1"/>
      <w:numFmt w:val="lowerLetter"/>
      <w:lvlText w:val="%8."/>
      <w:lvlJc w:val="left"/>
      <w:pPr>
        <w:tabs>
          <w:tab w:val="num" w:pos="5334"/>
        </w:tabs>
        <w:ind w:left="5334" w:hanging="360"/>
      </w:pPr>
    </w:lvl>
    <w:lvl w:ilvl="8" w:tplc="FFFFFFFF" w:tentative="1">
      <w:start w:val="1"/>
      <w:numFmt w:val="lowerRoman"/>
      <w:lvlText w:val="%9."/>
      <w:lvlJc w:val="right"/>
      <w:pPr>
        <w:tabs>
          <w:tab w:val="num" w:pos="6054"/>
        </w:tabs>
        <w:ind w:left="6054" w:hanging="180"/>
      </w:pPr>
    </w:lvl>
  </w:abstractNum>
  <w:abstractNum w:abstractNumId="6" w15:restartNumberingAfterBreak="0">
    <w:nsid w:val="164A4F10"/>
    <w:multiLevelType w:val="hybridMultilevel"/>
    <w:tmpl w:val="DBDADD24"/>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7" w15:restartNumberingAfterBreak="0">
    <w:nsid w:val="1D241B0B"/>
    <w:multiLevelType w:val="hybridMultilevel"/>
    <w:tmpl w:val="B4ACA0CC"/>
    <w:lvl w:ilvl="0" w:tplc="1B7447FC">
      <w:start w:val="1"/>
      <w:numFmt w:val="decimal"/>
      <w:lvlText w:val="%1."/>
      <w:lvlJc w:val="left"/>
      <w:pPr>
        <w:tabs>
          <w:tab w:val="num" w:pos="218"/>
        </w:tabs>
        <w:ind w:left="218" w:hanging="360"/>
      </w:pPr>
      <w:rPr>
        <w:rFonts w:hint="default"/>
      </w:rPr>
    </w:lvl>
    <w:lvl w:ilvl="1" w:tplc="0019040A" w:tentative="1">
      <w:start w:val="1"/>
      <w:numFmt w:val="lowerLetter"/>
      <w:lvlText w:val="%2."/>
      <w:lvlJc w:val="left"/>
      <w:pPr>
        <w:tabs>
          <w:tab w:val="num" w:pos="938"/>
        </w:tabs>
        <w:ind w:left="938" w:hanging="360"/>
      </w:pPr>
    </w:lvl>
    <w:lvl w:ilvl="2" w:tplc="001B040A" w:tentative="1">
      <w:start w:val="1"/>
      <w:numFmt w:val="lowerRoman"/>
      <w:lvlText w:val="%3."/>
      <w:lvlJc w:val="right"/>
      <w:pPr>
        <w:tabs>
          <w:tab w:val="num" w:pos="1658"/>
        </w:tabs>
        <w:ind w:left="1658" w:hanging="180"/>
      </w:pPr>
    </w:lvl>
    <w:lvl w:ilvl="3" w:tplc="000F040A" w:tentative="1">
      <w:start w:val="1"/>
      <w:numFmt w:val="decimal"/>
      <w:lvlText w:val="%4."/>
      <w:lvlJc w:val="left"/>
      <w:pPr>
        <w:tabs>
          <w:tab w:val="num" w:pos="2378"/>
        </w:tabs>
        <w:ind w:left="2378" w:hanging="360"/>
      </w:pPr>
    </w:lvl>
    <w:lvl w:ilvl="4" w:tplc="0019040A" w:tentative="1">
      <w:start w:val="1"/>
      <w:numFmt w:val="lowerLetter"/>
      <w:lvlText w:val="%5."/>
      <w:lvlJc w:val="left"/>
      <w:pPr>
        <w:tabs>
          <w:tab w:val="num" w:pos="3098"/>
        </w:tabs>
        <w:ind w:left="3098" w:hanging="360"/>
      </w:pPr>
    </w:lvl>
    <w:lvl w:ilvl="5" w:tplc="001B040A" w:tentative="1">
      <w:start w:val="1"/>
      <w:numFmt w:val="lowerRoman"/>
      <w:lvlText w:val="%6."/>
      <w:lvlJc w:val="right"/>
      <w:pPr>
        <w:tabs>
          <w:tab w:val="num" w:pos="3818"/>
        </w:tabs>
        <w:ind w:left="3818" w:hanging="180"/>
      </w:pPr>
    </w:lvl>
    <w:lvl w:ilvl="6" w:tplc="000F040A" w:tentative="1">
      <w:start w:val="1"/>
      <w:numFmt w:val="decimal"/>
      <w:lvlText w:val="%7."/>
      <w:lvlJc w:val="left"/>
      <w:pPr>
        <w:tabs>
          <w:tab w:val="num" w:pos="4538"/>
        </w:tabs>
        <w:ind w:left="4538" w:hanging="360"/>
      </w:pPr>
    </w:lvl>
    <w:lvl w:ilvl="7" w:tplc="0019040A" w:tentative="1">
      <w:start w:val="1"/>
      <w:numFmt w:val="lowerLetter"/>
      <w:lvlText w:val="%8."/>
      <w:lvlJc w:val="left"/>
      <w:pPr>
        <w:tabs>
          <w:tab w:val="num" w:pos="5258"/>
        </w:tabs>
        <w:ind w:left="5258" w:hanging="360"/>
      </w:pPr>
    </w:lvl>
    <w:lvl w:ilvl="8" w:tplc="001B040A" w:tentative="1">
      <w:start w:val="1"/>
      <w:numFmt w:val="lowerRoman"/>
      <w:lvlText w:val="%9."/>
      <w:lvlJc w:val="right"/>
      <w:pPr>
        <w:tabs>
          <w:tab w:val="num" w:pos="5978"/>
        </w:tabs>
        <w:ind w:left="5978" w:hanging="180"/>
      </w:pPr>
    </w:lvl>
  </w:abstractNum>
  <w:abstractNum w:abstractNumId="8" w15:restartNumberingAfterBreak="0">
    <w:nsid w:val="204245AC"/>
    <w:multiLevelType w:val="hybridMultilevel"/>
    <w:tmpl w:val="64D6BFF2"/>
    <w:lvl w:ilvl="0" w:tplc="0C0A0005">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22F308C"/>
    <w:multiLevelType w:val="multilevel"/>
    <w:tmpl w:val="28F0DD2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0" w15:restartNumberingAfterBreak="0">
    <w:nsid w:val="229A29EA"/>
    <w:multiLevelType w:val="multilevel"/>
    <w:tmpl w:val="87F0AA30"/>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1" w15:restartNumberingAfterBreak="0">
    <w:nsid w:val="2FB56816"/>
    <w:multiLevelType w:val="hybridMultilevel"/>
    <w:tmpl w:val="B1CA00C0"/>
    <w:lvl w:ilvl="0" w:tplc="FFFFFFFF">
      <w:start w:val="1"/>
      <w:numFmt w:val="decimal"/>
      <w:lvlText w:val="%1."/>
      <w:lvlJc w:val="left"/>
      <w:pPr>
        <w:tabs>
          <w:tab w:val="num" w:pos="360"/>
        </w:tabs>
        <w:ind w:left="36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15:restartNumberingAfterBreak="0">
    <w:nsid w:val="32285D33"/>
    <w:multiLevelType w:val="multilevel"/>
    <w:tmpl w:val="8C3A079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3" w15:restartNumberingAfterBreak="0">
    <w:nsid w:val="35792386"/>
    <w:multiLevelType w:val="hybridMultilevel"/>
    <w:tmpl w:val="1BE69ED4"/>
    <w:lvl w:ilvl="0" w:tplc="FFFFFFFF">
      <w:start w:val="1"/>
      <w:numFmt w:val="decimal"/>
      <w:lvlText w:val="%1."/>
      <w:lvlJc w:val="left"/>
      <w:pPr>
        <w:tabs>
          <w:tab w:val="num" w:pos="786"/>
        </w:tabs>
        <w:ind w:left="786"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4" w15:restartNumberingAfterBreak="0">
    <w:nsid w:val="3C1A7C04"/>
    <w:multiLevelType w:val="hybridMultilevel"/>
    <w:tmpl w:val="D68C4B72"/>
    <w:lvl w:ilvl="0" w:tplc="D6EC92F8">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5" w15:restartNumberingAfterBreak="0">
    <w:nsid w:val="42FB52CE"/>
    <w:multiLevelType w:val="hybridMultilevel"/>
    <w:tmpl w:val="04A6D3A4"/>
    <w:lvl w:ilvl="0" w:tplc="FFE2366A">
      <w:numFmt w:val="bullet"/>
      <w:lvlText w:val="-"/>
      <w:lvlJc w:val="left"/>
      <w:pPr>
        <w:ind w:left="720" w:hanging="360"/>
      </w:pPr>
      <w:rPr>
        <w:rFonts w:ascii="Arial Narrow" w:eastAsia="Times New Roman" w:hAnsi="Arial Narrow"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6" w15:restartNumberingAfterBreak="0">
    <w:nsid w:val="43C94066"/>
    <w:multiLevelType w:val="hybridMultilevel"/>
    <w:tmpl w:val="7272DC22"/>
    <w:lvl w:ilvl="0" w:tplc="0C0A000F">
      <w:start w:val="1"/>
      <w:numFmt w:val="decimal"/>
      <w:lvlText w:val="%1."/>
      <w:lvlJc w:val="left"/>
      <w:pPr>
        <w:tabs>
          <w:tab w:val="num" w:pos="720"/>
        </w:tabs>
        <w:ind w:left="720" w:hanging="360"/>
      </w:pPr>
    </w:lvl>
    <w:lvl w:ilvl="1" w:tplc="0C0A0019">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7" w15:restartNumberingAfterBreak="0">
    <w:nsid w:val="4ACF2E3B"/>
    <w:multiLevelType w:val="hybridMultilevel"/>
    <w:tmpl w:val="8D72D2D8"/>
    <w:lvl w:ilvl="0" w:tplc="240A0001">
      <w:start w:val="1"/>
      <w:numFmt w:val="bullet"/>
      <w:lvlText w:val=""/>
      <w:lvlJc w:val="left"/>
      <w:pPr>
        <w:ind w:left="1146" w:hanging="360"/>
      </w:pPr>
      <w:rPr>
        <w:rFonts w:ascii="Symbol" w:hAnsi="Symbol" w:hint="default"/>
      </w:rPr>
    </w:lvl>
    <w:lvl w:ilvl="1" w:tplc="240A0003" w:tentative="1">
      <w:start w:val="1"/>
      <w:numFmt w:val="bullet"/>
      <w:lvlText w:val="o"/>
      <w:lvlJc w:val="left"/>
      <w:pPr>
        <w:ind w:left="1866" w:hanging="360"/>
      </w:pPr>
      <w:rPr>
        <w:rFonts w:ascii="Courier New" w:hAnsi="Courier New" w:cs="Courier New" w:hint="default"/>
      </w:rPr>
    </w:lvl>
    <w:lvl w:ilvl="2" w:tplc="240A0005" w:tentative="1">
      <w:start w:val="1"/>
      <w:numFmt w:val="bullet"/>
      <w:lvlText w:val=""/>
      <w:lvlJc w:val="left"/>
      <w:pPr>
        <w:ind w:left="2586" w:hanging="360"/>
      </w:pPr>
      <w:rPr>
        <w:rFonts w:ascii="Wingdings" w:hAnsi="Wingdings" w:hint="default"/>
      </w:rPr>
    </w:lvl>
    <w:lvl w:ilvl="3" w:tplc="240A0001" w:tentative="1">
      <w:start w:val="1"/>
      <w:numFmt w:val="bullet"/>
      <w:lvlText w:val=""/>
      <w:lvlJc w:val="left"/>
      <w:pPr>
        <w:ind w:left="3306" w:hanging="360"/>
      </w:pPr>
      <w:rPr>
        <w:rFonts w:ascii="Symbol" w:hAnsi="Symbol" w:hint="default"/>
      </w:rPr>
    </w:lvl>
    <w:lvl w:ilvl="4" w:tplc="240A0003" w:tentative="1">
      <w:start w:val="1"/>
      <w:numFmt w:val="bullet"/>
      <w:lvlText w:val="o"/>
      <w:lvlJc w:val="left"/>
      <w:pPr>
        <w:ind w:left="4026" w:hanging="360"/>
      </w:pPr>
      <w:rPr>
        <w:rFonts w:ascii="Courier New" w:hAnsi="Courier New" w:cs="Courier New" w:hint="default"/>
      </w:rPr>
    </w:lvl>
    <w:lvl w:ilvl="5" w:tplc="240A0005" w:tentative="1">
      <w:start w:val="1"/>
      <w:numFmt w:val="bullet"/>
      <w:lvlText w:val=""/>
      <w:lvlJc w:val="left"/>
      <w:pPr>
        <w:ind w:left="4746" w:hanging="360"/>
      </w:pPr>
      <w:rPr>
        <w:rFonts w:ascii="Wingdings" w:hAnsi="Wingdings" w:hint="default"/>
      </w:rPr>
    </w:lvl>
    <w:lvl w:ilvl="6" w:tplc="240A0001" w:tentative="1">
      <w:start w:val="1"/>
      <w:numFmt w:val="bullet"/>
      <w:lvlText w:val=""/>
      <w:lvlJc w:val="left"/>
      <w:pPr>
        <w:ind w:left="5466" w:hanging="360"/>
      </w:pPr>
      <w:rPr>
        <w:rFonts w:ascii="Symbol" w:hAnsi="Symbol" w:hint="default"/>
      </w:rPr>
    </w:lvl>
    <w:lvl w:ilvl="7" w:tplc="240A0003" w:tentative="1">
      <w:start w:val="1"/>
      <w:numFmt w:val="bullet"/>
      <w:lvlText w:val="o"/>
      <w:lvlJc w:val="left"/>
      <w:pPr>
        <w:ind w:left="6186" w:hanging="360"/>
      </w:pPr>
      <w:rPr>
        <w:rFonts w:ascii="Courier New" w:hAnsi="Courier New" w:cs="Courier New" w:hint="default"/>
      </w:rPr>
    </w:lvl>
    <w:lvl w:ilvl="8" w:tplc="240A0005" w:tentative="1">
      <w:start w:val="1"/>
      <w:numFmt w:val="bullet"/>
      <w:lvlText w:val=""/>
      <w:lvlJc w:val="left"/>
      <w:pPr>
        <w:ind w:left="6906" w:hanging="360"/>
      </w:pPr>
      <w:rPr>
        <w:rFonts w:ascii="Wingdings" w:hAnsi="Wingdings" w:hint="default"/>
      </w:rPr>
    </w:lvl>
  </w:abstractNum>
  <w:abstractNum w:abstractNumId="18" w15:restartNumberingAfterBreak="0">
    <w:nsid w:val="4CA77175"/>
    <w:multiLevelType w:val="hybridMultilevel"/>
    <w:tmpl w:val="275C6916"/>
    <w:lvl w:ilvl="0" w:tplc="0C0A000F">
      <w:start w:val="1"/>
      <w:numFmt w:val="decimal"/>
      <w:lvlText w:val="%1."/>
      <w:lvlJc w:val="left"/>
      <w:pPr>
        <w:ind w:left="720" w:hanging="360"/>
      </w:pPr>
      <w:rPr>
        <w:rFonts w:hint="default"/>
      </w:r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9" w15:restartNumberingAfterBreak="0">
    <w:nsid w:val="593808CC"/>
    <w:multiLevelType w:val="singleLevel"/>
    <w:tmpl w:val="4C2EE262"/>
    <w:lvl w:ilvl="0">
      <w:start w:val="1"/>
      <w:numFmt w:val="lowerLetter"/>
      <w:pStyle w:val="BodyText21"/>
      <w:lvlText w:val="%1)"/>
      <w:lvlJc w:val="left"/>
      <w:pPr>
        <w:tabs>
          <w:tab w:val="num" w:pos="473"/>
        </w:tabs>
        <w:ind w:left="454" w:hanging="341"/>
      </w:pPr>
      <w:rPr>
        <w:rFonts w:ascii="Arial" w:hAnsi="Arial" w:hint="default"/>
        <w:b w:val="0"/>
        <w:i w:val="0"/>
        <w:sz w:val="20"/>
      </w:rPr>
    </w:lvl>
  </w:abstractNum>
  <w:abstractNum w:abstractNumId="20" w15:restartNumberingAfterBreak="0">
    <w:nsid w:val="5A7345DC"/>
    <w:multiLevelType w:val="hybridMultilevel"/>
    <w:tmpl w:val="B0ECC13E"/>
    <w:lvl w:ilvl="0" w:tplc="FFFFFFFF">
      <w:start w:val="1"/>
      <w:numFmt w:val="lowerLetter"/>
      <w:lvlText w:val="%1)"/>
      <w:lvlJc w:val="left"/>
      <w:pPr>
        <w:tabs>
          <w:tab w:val="num" w:pos="360"/>
        </w:tabs>
        <w:ind w:left="360" w:hanging="360"/>
      </w:pPr>
      <w:rPr>
        <w:rFonts w:ascii="Arial" w:hAnsi="Arial" w:hint="default"/>
        <w:b w:val="0"/>
        <w:i w:val="0"/>
        <w:sz w:val="24"/>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1" w15:restartNumberingAfterBreak="0">
    <w:nsid w:val="5E8D173D"/>
    <w:multiLevelType w:val="hybridMultilevel"/>
    <w:tmpl w:val="D5A49DC8"/>
    <w:lvl w:ilvl="0" w:tplc="240A000F">
      <w:start w:val="1"/>
      <w:numFmt w:val="decimal"/>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22" w15:restartNumberingAfterBreak="0">
    <w:nsid w:val="600E4733"/>
    <w:multiLevelType w:val="hybridMultilevel"/>
    <w:tmpl w:val="FC4A26B0"/>
    <w:lvl w:ilvl="0" w:tplc="D7F6AC36">
      <w:start w:val="1"/>
      <w:numFmt w:val="decimal"/>
      <w:lvlText w:val="%1."/>
      <w:lvlJc w:val="left"/>
      <w:pPr>
        <w:tabs>
          <w:tab w:val="num" w:pos="360"/>
        </w:tabs>
        <w:ind w:left="360" w:hanging="360"/>
      </w:pPr>
      <w:rPr>
        <w:rFonts w:hint="default"/>
        <w:strike w:val="0"/>
        <w:dstrike w:val="0"/>
      </w:rPr>
    </w:lvl>
    <w:lvl w:ilvl="1" w:tplc="FFFFFFFF">
      <w:start w:val="2"/>
      <w:numFmt w:val="upperRoman"/>
      <w:lvlText w:val="%2."/>
      <w:lvlJc w:val="left"/>
      <w:pPr>
        <w:tabs>
          <w:tab w:val="num" w:pos="1800"/>
        </w:tabs>
        <w:ind w:left="1800" w:hanging="72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3" w15:restartNumberingAfterBreak="0">
    <w:nsid w:val="633B26BC"/>
    <w:multiLevelType w:val="hybridMultilevel"/>
    <w:tmpl w:val="5D282D48"/>
    <w:lvl w:ilvl="0" w:tplc="240A0001">
      <w:start w:val="1"/>
      <w:numFmt w:val="bullet"/>
      <w:lvlText w:val=""/>
      <w:lvlJc w:val="left"/>
      <w:pPr>
        <w:ind w:left="1440" w:hanging="360"/>
      </w:pPr>
      <w:rPr>
        <w:rFonts w:ascii="Symbol" w:hAnsi="Symbol"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24" w15:restartNumberingAfterBreak="0">
    <w:nsid w:val="67DA5431"/>
    <w:multiLevelType w:val="hybridMultilevel"/>
    <w:tmpl w:val="637C2C70"/>
    <w:lvl w:ilvl="0" w:tplc="FFFFFFFF">
      <w:start w:val="1"/>
      <w:numFmt w:val="lowerLetter"/>
      <w:lvlText w:val="%1)"/>
      <w:lvlJc w:val="left"/>
      <w:pPr>
        <w:tabs>
          <w:tab w:val="num" w:pos="360"/>
        </w:tabs>
        <w:ind w:left="360" w:hanging="360"/>
      </w:pPr>
      <w:rPr>
        <w:rFonts w:hint="default"/>
      </w:rPr>
    </w:lvl>
    <w:lvl w:ilvl="1" w:tplc="FFFFFFFF" w:tentative="1">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25" w15:restartNumberingAfterBreak="0">
    <w:nsid w:val="6A435DFB"/>
    <w:multiLevelType w:val="hybridMultilevel"/>
    <w:tmpl w:val="79182622"/>
    <w:lvl w:ilvl="0" w:tplc="FFFFFFFF">
      <w:start w:val="1"/>
      <w:numFmt w:val="decimal"/>
      <w:lvlText w:val="%1."/>
      <w:lvlJc w:val="left"/>
      <w:pPr>
        <w:tabs>
          <w:tab w:val="num" w:pos="360"/>
        </w:tabs>
        <w:ind w:left="360" w:hanging="360"/>
      </w:pPr>
      <w:rPr>
        <w:rFonts w:hint="default"/>
        <w:b w:val="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6" w15:restartNumberingAfterBreak="0">
    <w:nsid w:val="6D4D7427"/>
    <w:multiLevelType w:val="hybridMultilevel"/>
    <w:tmpl w:val="7CBA8A0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7" w15:restartNumberingAfterBreak="0">
    <w:nsid w:val="6F6A1613"/>
    <w:multiLevelType w:val="hybridMultilevel"/>
    <w:tmpl w:val="7BC6FC26"/>
    <w:lvl w:ilvl="0" w:tplc="FFFFFFFF">
      <w:start w:val="1"/>
      <w:numFmt w:val="upperLetter"/>
      <w:lvlText w:val="%1."/>
      <w:lvlJc w:val="left"/>
      <w:pPr>
        <w:tabs>
          <w:tab w:val="num" w:pos="360"/>
        </w:tabs>
        <w:ind w:left="360" w:hanging="360"/>
      </w:pPr>
      <w:rPr>
        <w:rFonts w:hint="default"/>
      </w:rPr>
    </w:lvl>
    <w:lvl w:ilvl="1" w:tplc="FFFFFFFF">
      <w:start w:val="1"/>
      <w:numFmt w:val="decimal"/>
      <w:lvlText w:val="%2."/>
      <w:lvlJc w:val="left"/>
      <w:pPr>
        <w:tabs>
          <w:tab w:val="num" w:pos="360"/>
        </w:tabs>
        <w:ind w:left="360" w:hanging="360"/>
      </w:pPr>
      <w:rPr>
        <w:rFonts w:hint="default"/>
      </w:r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28" w15:restartNumberingAfterBreak="0">
    <w:nsid w:val="727A7686"/>
    <w:multiLevelType w:val="hybridMultilevel"/>
    <w:tmpl w:val="A3C682B6"/>
    <w:lvl w:ilvl="0" w:tplc="FFFFFFFF">
      <w:start w:val="1"/>
      <w:numFmt w:val="decimal"/>
      <w:lvlText w:val="%1."/>
      <w:lvlJc w:val="left"/>
      <w:pPr>
        <w:tabs>
          <w:tab w:val="num" w:pos="360"/>
        </w:tabs>
        <w:ind w:left="360" w:hanging="360"/>
      </w:pPr>
      <w:rPr>
        <w:rFonts w:hint="default"/>
        <w:b w:val="0"/>
      </w:rPr>
    </w:lvl>
    <w:lvl w:ilvl="1" w:tplc="FFFFFFFF">
      <w:start w:val="1"/>
      <w:numFmt w:val="decimal"/>
      <w:lvlText w:val="%2."/>
      <w:lvlJc w:val="left"/>
      <w:pPr>
        <w:tabs>
          <w:tab w:val="num" w:pos="360"/>
        </w:tabs>
        <w:ind w:left="360" w:hanging="360"/>
      </w:pPr>
      <w:rPr>
        <w:rFonts w:hint="default"/>
        <w:b w:val="0"/>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9" w15:restartNumberingAfterBreak="0">
    <w:nsid w:val="73247073"/>
    <w:multiLevelType w:val="multilevel"/>
    <w:tmpl w:val="8B861C7A"/>
    <w:lvl w:ilvl="0">
      <w:numFmt w:val="bullet"/>
      <w:lvlText w:val="-"/>
      <w:lvlJc w:val="left"/>
      <w:pPr>
        <w:ind w:left="720" w:hanging="360"/>
      </w:pPr>
      <w:rPr>
        <w:rFonts w:ascii="Arial Narrow" w:eastAsia="Arial Narrow" w:hAnsi="Arial Narrow" w:cs="Arial Narrow"/>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30" w15:restartNumberingAfterBreak="0">
    <w:nsid w:val="73500D04"/>
    <w:multiLevelType w:val="hybridMultilevel"/>
    <w:tmpl w:val="27E6E8F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1" w15:restartNumberingAfterBreak="0">
    <w:nsid w:val="741B7459"/>
    <w:multiLevelType w:val="hybridMultilevel"/>
    <w:tmpl w:val="38DCA2CA"/>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2" w15:restartNumberingAfterBreak="0">
    <w:nsid w:val="762F4567"/>
    <w:multiLevelType w:val="hybridMultilevel"/>
    <w:tmpl w:val="2856B726"/>
    <w:lvl w:ilvl="0" w:tplc="240A000F">
      <w:start w:val="1"/>
      <w:numFmt w:val="decimal"/>
      <w:lvlText w:val="%1."/>
      <w:lvlJc w:val="left"/>
      <w:pPr>
        <w:ind w:left="360" w:hanging="360"/>
      </w:pPr>
      <w:rPr>
        <w:rFonts w:cs="Times New Roman" w:hint="default"/>
      </w:rPr>
    </w:lvl>
    <w:lvl w:ilvl="1" w:tplc="240A0019" w:tentative="1">
      <w:start w:val="1"/>
      <w:numFmt w:val="lowerLetter"/>
      <w:lvlText w:val="%2."/>
      <w:lvlJc w:val="left"/>
      <w:pPr>
        <w:ind w:left="1080" w:hanging="360"/>
      </w:pPr>
      <w:rPr>
        <w:rFonts w:cs="Times New Roman"/>
      </w:rPr>
    </w:lvl>
    <w:lvl w:ilvl="2" w:tplc="240A001B" w:tentative="1">
      <w:start w:val="1"/>
      <w:numFmt w:val="lowerRoman"/>
      <w:lvlText w:val="%3."/>
      <w:lvlJc w:val="right"/>
      <w:pPr>
        <w:ind w:left="1800" w:hanging="180"/>
      </w:pPr>
      <w:rPr>
        <w:rFonts w:cs="Times New Roman"/>
      </w:rPr>
    </w:lvl>
    <w:lvl w:ilvl="3" w:tplc="240A000F" w:tentative="1">
      <w:start w:val="1"/>
      <w:numFmt w:val="decimal"/>
      <w:lvlText w:val="%4."/>
      <w:lvlJc w:val="left"/>
      <w:pPr>
        <w:ind w:left="2520" w:hanging="360"/>
      </w:pPr>
      <w:rPr>
        <w:rFonts w:cs="Times New Roman"/>
      </w:rPr>
    </w:lvl>
    <w:lvl w:ilvl="4" w:tplc="240A0019" w:tentative="1">
      <w:start w:val="1"/>
      <w:numFmt w:val="lowerLetter"/>
      <w:lvlText w:val="%5."/>
      <w:lvlJc w:val="left"/>
      <w:pPr>
        <w:ind w:left="3240" w:hanging="360"/>
      </w:pPr>
      <w:rPr>
        <w:rFonts w:cs="Times New Roman"/>
      </w:rPr>
    </w:lvl>
    <w:lvl w:ilvl="5" w:tplc="240A001B" w:tentative="1">
      <w:start w:val="1"/>
      <w:numFmt w:val="lowerRoman"/>
      <w:lvlText w:val="%6."/>
      <w:lvlJc w:val="right"/>
      <w:pPr>
        <w:ind w:left="3960" w:hanging="180"/>
      </w:pPr>
      <w:rPr>
        <w:rFonts w:cs="Times New Roman"/>
      </w:rPr>
    </w:lvl>
    <w:lvl w:ilvl="6" w:tplc="240A000F" w:tentative="1">
      <w:start w:val="1"/>
      <w:numFmt w:val="decimal"/>
      <w:lvlText w:val="%7."/>
      <w:lvlJc w:val="left"/>
      <w:pPr>
        <w:ind w:left="4680" w:hanging="360"/>
      </w:pPr>
      <w:rPr>
        <w:rFonts w:cs="Times New Roman"/>
      </w:rPr>
    </w:lvl>
    <w:lvl w:ilvl="7" w:tplc="240A0019" w:tentative="1">
      <w:start w:val="1"/>
      <w:numFmt w:val="lowerLetter"/>
      <w:lvlText w:val="%8."/>
      <w:lvlJc w:val="left"/>
      <w:pPr>
        <w:ind w:left="5400" w:hanging="360"/>
      </w:pPr>
      <w:rPr>
        <w:rFonts w:cs="Times New Roman"/>
      </w:rPr>
    </w:lvl>
    <w:lvl w:ilvl="8" w:tplc="240A001B" w:tentative="1">
      <w:start w:val="1"/>
      <w:numFmt w:val="lowerRoman"/>
      <w:lvlText w:val="%9."/>
      <w:lvlJc w:val="right"/>
      <w:pPr>
        <w:ind w:left="6120" w:hanging="180"/>
      </w:pPr>
      <w:rPr>
        <w:rFonts w:cs="Times New Roman"/>
      </w:rPr>
    </w:lvl>
  </w:abstractNum>
  <w:abstractNum w:abstractNumId="33" w15:restartNumberingAfterBreak="0">
    <w:nsid w:val="789E0802"/>
    <w:multiLevelType w:val="hybridMultilevel"/>
    <w:tmpl w:val="BBA4F818"/>
    <w:lvl w:ilvl="0" w:tplc="D6EC92F8">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4" w15:restartNumberingAfterBreak="0">
    <w:nsid w:val="7B34501A"/>
    <w:multiLevelType w:val="hybridMultilevel"/>
    <w:tmpl w:val="9CEA232A"/>
    <w:lvl w:ilvl="0" w:tplc="FFFFFFFF">
      <w:start w:val="1"/>
      <w:numFmt w:val="lowerLetter"/>
      <w:lvlText w:val="%1)"/>
      <w:lvlJc w:val="left"/>
      <w:pPr>
        <w:tabs>
          <w:tab w:val="num" w:pos="360"/>
        </w:tabs>
        <w:ind w:left="360" w:hanging="360"/>
      </w:pPr>
      <w:rPr>
        <w:rFonts w:ascii="Arial" w:hAnsi="Arial" w:hint="default"/>
        <w:b w:val="0"/>
        <w:i w:val="0"/>
        <w:sz w:val="24"/>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5" w15:restartNumberingAfterBreak="0">
    <w:nsid w:val="7B9D12FE"/>
    <w:multiLevelType w:val="hybridMultilevel"/>
    <w:tmpl w:val="52BA44C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6" w15:restartNumberingAfterBreak="0">
    <w:nsid w:val="7C24459C"/>
    <w:multiLevelType w:val="hybridMultilevel"/>
    <w:tmpl w:val="1A6AB116"/>
    <w:lvl w:ilvl="0" w:tplc="30BAC35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1991590049">
    <w:abstractNumId w:val="19"/>
  </w:num>
  <w:num w:numId="2" w16cid:durableId="1889753985">
    <w:abstractNumId w:val="24"/>
  </w:num>
  <w:num w:numId="3" w16cid:durableId="1682588711">
    <w:abstractNumId w:val="13"/>
  </w:num>
  <w:num w:numId="4" w16cid:durableId="2065130654">
    <w:abstractNumId w:val="0"/>
  </w:num>
  <w:num w:numId="5" w16cid:durableId="770513732">
    <w:abstractNumId w:val="22"/>
  </w:num>
  <w:num w:numId="6" w16cid:durableId="2097048526">
    <w:abstractNumId w:val="27"/>
  </w:num>
  <w:num w:numId="7" w16cid:durableId="4602765">
    <w:abstractNumId w:val="28"/>
  </w:num>
  <w:num w:numId="8" w16cid:durableId="369844496">
    <w:abstractNumId w:val="4"/>
  </w:num>
  <w:num w:numId="9" w16cid:durableId="34620808">
    <w:abstractNumId w:val="25"/>
  </w:num>
  <w:num w:numId="10" w16cid:durableId="1691949033">
    <w:abstractNumId w:val="20"/>
  </w:num>
  <w:num w:numId="11" w16cid:durableId="1322276482">
    <w:abstractNumId w:val="34"/>
  </w:num>
  <w:num w:numId="12" w16cid:durableId="576288266">
    <w:abstractNumId w:val="5"/>
  </w:num>
  <w:num w:numId="13" w16cid:durableId="136455477">
    <w:abstractNumId w:val="11"/>
  </w:num>
  <w:num w:numId="14" w16cid:durableId="881333727">
    <w:abstractNumId w:val="8"/>
  </w:num>
  <w:num w:numId="15" w16cid:durableId="383600771">
    <w:abstractNumId w:val="16"/>
  </w:num>
  <w:num w:numId="16" w16cid:durableId="1378041502">
    <w:abstractNumId w:val="7"/>
  </w:num>
  <w:num w:numId="17" w16cid:durableId="1116290921">
    <w:abstractNumId w:val="12"/>
  </w:num>
  <w:num w:numId="18" w16cid:durableId="993525931">
    <w:abstractNumId w:val="10"/>
  </w:num>
  <w:num w:numId="19" w16cid:durableId="1359625404">
    <w:abstractNumId w:val="21"/>
  </w:num>
  <w:num w:numId="20" w16cid:durableId="1846743648">
    <w:abstractNumId w:val="3"/>
  </w:num>
  <w:num w:numId="21" w16cid:durableId="1618178113">
    <w:abstractNumId w:val="6"/>
  </w:num>
  <w:num w:numId="22" w16cid:durableId="1332217210">
    <w:abstractNumId w:val="32"/>
  </w:num>
  <w:num w:numId="23" w16cid:durableId="1069616005">
    <w:abstractNumId w:val="15"/>
  </w:num>
  <w:num w:numId="24" w16cid:durableId="1290284915">
    <w:abstractNumId w:val="2"/>
  </w:num>
  <w:num w:numId="25" w16cid:durableId="1057555799">
    <w:abstractNumId w:val="29"/>
  </w:num>
  <w:num w:numId="26" w16cid:durableId="1044790328">
    <w:abstractNumId w:val="36"/>
  </w:num>
  <w:num w:numId="27" w16cid:durableId="231088830">
    <w:abstractNumId w:val="33"/>
  </w:num>
  <w:num w:numId="28" w16cid:durableId="414400105">
    <w:abstractNumId w:val="14"/>
  </w:num>
  <w:num w:numId="29" w16cid:durableId="401371400">
    <w:abstractNumId w:val="18"/>
  </w:num>
  <w:num w:numId="30" w16cid:durableId="2059355676">
    <w:abstractNumId w:val="26"/>
  </w:num>
  <w:num w:numId="31" w16cid:durableId="373426523">
    <w:abstractNumId w:val="17"/>
  </w:num>
  <w:num w:numId="32" w16cid:durableId="1466771293">
    <w:abstractNumId w:val="30"/>
  </w:num>
  <w:num w:numId="33" w16cid:durableId="1233858542">
    <w:abstractNumId w:val="1"/>
  </w:num>
  <w:num w:numId="34" w16cid:durableId="247231636">
    <w:abstractNumId w:val="35"/>
  </w:num>
  <w:num w:numId="35" w16cid:durableId="1071808166">
    <w:abstractNumId w:val="31"/>
  </w:num>
  <w:num w:numId="36" w16cid:durableId="1727875524">
    <w:abstractNumId w:val="23"/>
  </w:num>
  <w:num w:numId="37" w16cid:durableId="55150693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pt-BR" w:vendorID="64" w:dllVersion="6" w:nlCheck="1" w:checkStyle="0"/>
  <w:activeWritingStyle w:appName="MSWord" w:lang="es-ES" w:vendorID="64" w:dllVersion="6" w:nlCheck="1" w:checkStyle="0"/>
  <w:activeWritingStyle w:appName="MSWord" w:lang="es-ES_tradnl" w:vendorID="64" w:dllVersion="6" w:nlCheck="1" w:checkStyle="0"/>
  <w:activeWritingStyle w:appName="MSWord" w:lang="es-CO" w:vendorID="64" w:dllVersion="6" w:nlCheck="1" w:checkStyle="0"/>
  <w:activeWritingStyle w:appName="MSWord" w:lang="es-ES" w:vendorID="64" w:dllVersion="0" w:nlCheck="1" w:checkStyle="0"/>
  <w:activeWritingStyle w:appName="MSWord" w:lang="es-CO" w:vendorID="64" w:dllVersion="0" w:nlCheck="1" w:checkStyle="0"/>
  <w:activeWritingStyle w:appName="MSWord" w:lang="pt-BR" w:vendorID="64" w:dllVersion="0" w:nlCheck="1" w:checkStyle="0"/>
  <w:activeWritingStyle w:appName="MSWord" w:lang="es-ES_tradnl" w:vendorID="64" w:dllVersion="0" w:nlCheck="1" w:checkStyle="0"/>
  <w:activeWritingStyle w:appName="MSWord" w:lang="es-MX"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0636"/>
    <w:rsid w:val="00002B42"/>
    <w:rsid w:val="0001175A"/>
    <w:rsid w:val="00015A62"/>
    <w:rsid w:val="00021DD6"/>
    <w:rsid w:val="00023557"/>
    <w:rsid w:val="00025378"/>
    <w:rsid w:val="00025583"/>
    <w:rsid w:val="00026925"/>
    <w:rsid w:val="00027EB8"/>
    <w:rsid w:val="00036D3A"/>
    <w:rsid w:val="00040C0E"/>
    <w:rsid w:val="000437AA"/>
    <w:rsid w:val="000455BD"/>
    <w:rsid w:val="00046C87"/>
    <w:rsid w:val="00065977"/>
    <w:rsid w:val="00067FEB"/>
    <w:rsid w:val="00071C09"/>
    <w:rsid w:val="000726B9"/>
    <w:rsid w:val="00075691"/>
    <w:rsid w:val="000818FF"/>
    <w:rsid w:val="000858C2"/>
    <w:rsid w:val="000905E4"/>
    <w:rsid w:val="00092070"/>
    <w:rsid w:val="000A1C11"/>
    <w:rsid w:val="000A64A4"/>
    <w:rsid w:val="000A7DD8"/>
    <w:rsid w:val="000B2D49"/>
    <w:rsid w:val="000B6D2B"/>
    <w:rsid w:val="000C2D3F"/>
    <w:rsid w:val="000C5DD2"/>
    <w:rsid w:val="000D078A"/>
    <w:rsid w:val="000D17B3"/>
    <w:rsid w:val="000D1DBE"/>
    <w:rsid w:val="000D2B9D"/>
    <w:rsid w:val="000D3BCA"/>
    <w:rsid w:val="000E1C01"/>
    <w:rsid w:val="000E45BF"/>
    <w:rsid w:val="000F40BE"/>
    <w:rsid w:val="000F703C"/>
    <w:rsid w:val="00101D2B"/>
    <w:rsid w:val="00101FEF"/>
    <w:rsid w:val="001057E2"/>
    <w:rsid w:val="00111DF7"/>
    <w:rsid w:val="001157D2"/>
    <w:rsid w:val="001216BE"/>
    <w:rsid w:val="00121D7F"/>
    <w:rsid w:val="0012383A"/>
    <w:rsid w:val="00126891"/>
    <w:rsid w:val="00131F48"/>
    <w:rsid w:val="001366EA"/>
    <w:rsid w:val="001410D6"/>
    <w:rsid w:val="00141B2A"/>
    <w:rsid w:val="00142438"/>
    <w:rsid w:val="00147E84"/>
    <w:rsid w:val="00151FB0"/>
    <w:rsid w:val="00153C71"/>
    <w:rsid w:val="00155021"/>
    <w:rsid w:val="001562C7"/>
    <w:rsid w:val="00157F08"/>
    <w:rsid w:val="00160220"/>
    <w:rsid w:val="001606CC"/>
    <w:rsid w:val="001608B6"/>
    <w:rsid w:val="00165824"/>
    <w:rsid w:val="00166524"/>
    <w:rsid w:val="00167134"/>
    <w:rsid w:val="00170EC9"/>
    <w:rsid w:val="001710F2"/>
    <w:rsid w:val="0017530B"/>
    <w:rsid w:val="00182F69"/>
    <w:rsid w:val="001847A2"/>
    <w:rsid w:val="00185730"/>
    <w:rsid w:val="001908C5"/>
    <w:rsid w:val="00193AE7"/>
    <w:rsid w:val="00195557"/>
    <w:rsid w:val="00196438"/>
    <w:rsid w:val="0019739C"/>
    <w:rsid w:val="001A11E7"/>
    <w:rsid w:val="001A2A72"/>
    <w:rsid w:val="001A3A30"/>
    <w:rsid w:val="001A6748"/>
    <w:rsid w:val="001A7C57"/>
    <w:rsid w:val="001B0742"/>
    <w:rsid w:val="001B2502"/>
    <w:rsid w:val="001B30AB"/>
    <w:rsid w:val="001B6DA6"/>
    <w:rsid w:val="001C2169"/>
    <w:rsid w:val="001D288E"/>
    <w:rsid w:val="001D410F"/>
    <w:rsid w:val="001D4A90"/>
    <w:rsid w:val="001D5E12"/>
    <w:rsid w:val="001E1C3B"/>
    <w:rsid w:val="001E71F7"/>
    <w:rsid w:val="001F0124"/>
    <w:rsid w:val="001F2062"/>
    <w:rsid w:val="001F2527"/>
    <w:rsid w:val="001F3A97"/>
    <w:rsid w:val="001F4604"/>
    <w:rsid w:val="001F5AF7"/>
    <w:rsid w:val="002000F3"/>
    <w:rsid w:val="00201B25"/>
    <w:rsid w:val="0021262B"/>
    <w:rsid w:val="00222A98"/>
    <w:rsid w:val="00226A9C"/>
    <w:rsid w:val="002277C9"/>
    <w:rsid w:val="00230046"/>
    <w:rsid w:val="002302FE"/>
    <w:rsid w:val="00233E36"/>
    <w:rsid w:val="002343FB"/>
    <w:rsid w:val="002368D8"/>
    <w:rsid w:val="00237DAC"/>
    <w:rsid w:val="00241310"/>
    <w:rsid w:val="0024190D"/>
    <w:rsid w:val="00241D6B"/>
    <w:rsid w:val="00245088"/>
    <w:rsid w:val="00246257"/>
    <w:rsid w:val="00257561"/>
    <w:rsid w:val="00260F4E"/>
    <w:rsid w:val="002656FD"/>
    <w:rsid w:val="002737D4"/>
    <w:rsid w:val="00274B19"/>
    <w:rsid w:val="0027781E"/>
    <w:rsid w:val="002815F1"/>
    <w:rsid w:val="0028215D"/>
    <w:rsid w:val="00282A13"/>
    <w:rsid w:val="0028357C"/>
    <w:rsid w:val="00290DB4"/>
    <w:rsid w:val="00292325"/>
    <w:rsid w:val="00296580"/>
    <w:rsid w:val="00296B24"/>
    <w:rsid w:val="00297CC5"/>
    <w:rsid w:val="00297D73"/>
    <w:rsid w:val="002A1B6D"/>
    <w:rsid w:val="002A51AC"/>
    <w:rsid w:val="002A64F9"/>
    <w:rsid w:val="002C306A"/>
    <w:rsid w:val="002C4783"/>
    <w:rsid w:val="002C6190"/>
    <w:rsid w:val="002D4E1C"/>
    <w:rsid w:val="002E0CA7"/>
    <w:rsid w:val="002E1A0C"/>
    <w:rsid w:val="002F1A4C"/>
    <w:rsid w:val="003003DE"/>
    <w:rsid w:val="003012AA"/>
    <w:rsid w:val="00301EED"/>
    <w:rsid w:val="00312226"/>
    <w:rsid w:val="0031334B"/>
    <w:rsid w:val="00314E76"/>
    <w:rsid w:val="00315329"/>
    <w:rsid w:val="0031581E"/>
    <w:rsid w:val="0031799B"/>
    <w:rsid w:val="00322343"/>
    <w:rsid w:val="00326B26"/>
    <w:rsid w:val="0033261A"/>
    <w:rsid w:val="0033580E"/>
    <w:rsid w:val="00343DB0"/>
    <w:rsid w:val="00344EC9"/>
    <w:rsid w:val="003518BC"/>
    <w:rsid w:val="003559A8"/>
    <w:rsid w:val="00357CCC"/>
    <w:rsid w:val="003629CF"/>
    <w:rsid w:val="0036310C"/>
    <w:rsid w:val="003675E8"/>
    <w:rsid w:val="00370E36"/>
    <w:rsid w:val="00373314"/>
    <w:rsid w:val="00373EEC"/>
    <w:rsid w:val="0037727B"/>
    <w:rsid w:val="00380B2B"/>
    <w:rsid w:val="00381B84"/>
    <w:rsid w:val="00383133"/>
    <w:rsid w:val="0038780F"/>
    <w:rsid w:val="00392B6A"/>
    <w:rsid w:val="003930B2"/>
    <w:rsid w:val="00397275"/>
    <w:rsid w:val="003A1E0D"/>
    <w:rsid w:val="003A51E7"/>
    <w:rsid w:val="003A5B69"/>
    <w:rsid w:val="003A7B64"/>
    <w:rsid w:val="003B0358"/>
    <w:rsid w:val="003B1B57"/>
    <w:rsid w:val="003B24FD"/>
    <w:rsid w:val="003B2701"/>
    <w:rsid w:val="003C2442"/>
    <w:rsid w:val="003C57F5"/>
    <w:rsid w:val="003C7597"/>
    <w:rsid w:val="003D027B"/>
    <w:rsid w:val="003D3A4F"/>
    <w:rsid w:val="003E131F"/>
    <w:rsid w:val="003E5992"/>
    <w:rsid w:val="003E5E10"/>
    <w:rsid w:val="003E63A1"/>
    <w:rsid w:val="003E64C3"/>
    <w:rsid w:val="003F7F1C"/>
    <w:rsid w:val="0040280F"/>
    <w:rsid w:val="004049C5"/>
    <w:rsid w:val="00405895"/>
    <w:rsid w:val="004101E9"/>
    <w:rsid w:val="00410706"/>
    <w:rsid w:val="00414C88"/>
    <w:rsid w:val="004230AC"/>
    <w:rsid w:val="004260D5"/>
    <w:rsid w:val="004354F2"/>
    <w:rsid w:val="004409A8"/>
    <w:rsid w:val="004421E6"/>
    <w:rsid w:val="00442282"/>
    <w:rsid w:val="004438EB"/>
    <w:rsid w:val="004443F8"/>
    <w:rsid w:val="00450DC1"/>
    <w:rsid w:val="00456DC0"/>
    <w:rsid w:val="00462255"/>
    <w:rsid w:val="00463ED1"/>
    <w:rsid w:val="004643A3"/>
    <w:rsid w:val="00464443"/>
    <w:rsid w:val="00464AF1"/>
    <w:rsid w:val="00471F3D"/>
    <w:rsid w:val="00474019"/>
    <w:rsid w:val="00474984"/>
    <w:rsid w:val="00474DBB"/>
    <w:rsid w:val="004819D3"/>
    <w:rsid w:val="0048516D"/>
    <w:rsid w:val="00485E74"/>
    <w:rsid w:val="00486270"/>
    <w:rsid w:val="00493410"/>
    <w:rsid w:val="00494AAB"/>
    <w:rsid w:val="004A22DF"/>
    <w:rsid w:val="004A249B"/>
    <w:rsid w:val="004A2952"/>
    <w:rsid w:val="004A43A0"/>
    <w:rsid w:val="004A69D2"/>
    <w:rsid w:val="004B0749"/>
    <w:rsid w:val="004B12C6"/>
    <w:rsid w:val="004B3FE5"/>
    <w:rsid w:val="004C0FAA"/>
    <w:rsid w:val="004C1836"/>
    <w:rsid w:val="004C2FBF"/>
    <w:rsid w:val="004D1C4D"/>
    <w:rsid w:val="004D5835"/>
    <w:rsid w:val="004E052A"/>
    <w:rsid w:val="004E34B4"/>
    <w:rsid w:val="004E6325"/>
    <w:rsid w:val="004F20AA"/>
    <w:rsid w:val="004F2A28"/>
    <w:rsid w:val="004F2AE2"/>
    <w:rsid w:val="004F4BC8"/>
    <w:rsid w:val="00521E4B"/>
    <w:rsid w:val="00521F5D"/>
    <w:rsid w:val="00523778"/>
    <w:rsid w:val="00523CB1"/>
    <w:rsid w:val="005265F3"/>
    <w:rsid w:val="00535287"/>
    <w:rsid w:val="0054460F"/>
    <w:rsid w:val="00547807"/>
    <w:rsid w:val="00551D47"/>
    <w:rsid w:val="0055467F"/>
    <w:rsid w:val="00562935"/>
    <w:rsid w:val="00567E35"/>
    <w:rsid w:val="00571E21"/>
    <w:rsid w:val="00572688"/>
    <w:rsid w:val="00582A7C"/>
    <w:rsid w:val="00582BB4"/>
    <w:rsid w:val="00583B85"/>
    <w:rsid w:val="005845FF"/>
    <w:rsid w:val="00594087"/>
    <w:rsid w:val="005A1DCD"/>
    <w:rsid w:val="005C3532"/>
    <w:rsid w:val="005C3540"/>
    <w:rsid w:val="005D3808"/>
    <w:rsid w:val="005E174E"/>
    <w:rsid w:val="005E60CB"/>
    <w:rsid w:val="005F1067"/>
    <w:rsid w:val="005F1F93"/>
    <w:rsid w:val="005F366A"/>
    <w:rsid w:val="005F565D"/>
    <w:rsid w:val="006023BF"/>
    <w:rsid w:val="006051C0"/>
    <w:rsid w:val="00606135"/>
    <w:rsid w:val="00606CA5"/>
    <w:rsid w:val="0061071C"/>
    <w:rsid w:val="00610ED7"/>
    <w:rsid w:val="00611A12"/>
    <w:rsid w:val="006171D4"/>
    <w:rsid w:val="00624C47"/>
    <w:rsid w:val="00625EC2"/>
    <w:rsid w:val="0062759F"/>
    <w:rsid w:val="006302E8"/>
    <w:rsid w:val="00630582"/>
    <w:rsid w:val="00630F39"/>
    <w:rsid w:val="00635557"/>
    <w:rsid w:val="00637A30"/>
    <w:rsid w:val="00641D25"/>
    <w:rsid w:val="006474C9"/>
    <w:rsid w:val="006517FD"/>
    <w:rsid w:val="00652252"/>
    <w:rsid w:val="00652301"/>
    <w:rsid w:val="00652A5F"/>
    <w:rsid w:val="00662A49"/>
    <w:rsid w:val="00667DC9"/>
    <w:rsid w:val="00670CBF"/>
    <w:rsid w:val="00674FA3"/>
    <w:rsid w:val="00676010"/>
    <w:rsid w:val="00676197"/>
    <w:rsid w:val="006762F0"/>
    <w:rsid w:val="00680B62"/>
    <w:rsid w:val="00683B2C"/>
    <w:rsid w:val="006850B1"/>
    <w:rsid w:val="00685986"/>
    <w:rsid w:val="006861ED"/>
    <w:rsid w:val="00691E92"/>
    <w:rsid w:val="006922CF"/>
    <w:rsid w:val="006A1598"/>
    <w:rsid w:val="006C0CA2"/>
    <w:rsid w:val="006C5E97"/>
    <w:rsid w:val="006D0E04"/>
    <w:rsid w:val="006D1BDC"/>
    <w:rsid w:val="006D29EB"/>
    <w:rsid w:val="006D3981"/>
    <w:rsid w:val="006D6FA5"/>
    <w:rsid w:val="006E3996"/>
    <w:rsid w:val="006E3C77"/>
    <w:rsid w:val="006E5260"/>
    <w:rsid w:val="006F1133"/>
    <w:rsid w:val="006F33BD"/>
    <w:rsid w:val="00701DFD"/>
    <w:rsid w:val="00704827"/>
    <w:rsid w:val="00705859"/>
    <w:rsid w:val="00712D1E"/>
    <w:rsid w:val="00715026"/>
    <w:rsid w:val="00717344"/>
    <w:rsid w:val="00724E3F"/>
    <w:rsid w:val="0072622C"/>
    <w:rsid w:val="007336D7"/>
    <w:rsid w:val="00734F62"/>
    <w:rsid w:val="007366FC"/>
    <w:rsid w:val="007379C2"/>
    <w:rsid w:val="00741DD4"/>
    <w:rsid w:val="0075501E"/>
    <w:rsid w:val="007602A4"/>
    <w:rsid w:val="00764971"/>
    <w:rsid w:val="00766234"/>
    <w:rsid w:val="00766375"/>
    <w:rsid w:val="007669F4"/>
    <w:rsid w:val="00766EAB"/>
    <w:rsid w:val="00771941"/>
    <w:rsid w:val="00771F07"/>
    <w:rsid w:val="00772F79"/>
    <w:rsid w:val="007734BB"/>
    <w:rsid w:val="00775B35"/>
    <w:rsid w:val="00776053"/>
    <w:rsid w:val="0077776E"/>
    <w:rsid w:val="00784FEA"/>
    <w:rsid w:val="00790FDF"/>
    <w:rsid w:val="0079299B"/>
    <w:rsid w:val="00793E3C"/>
    <w:rsid w:val="00794210"/>
    <w:rsid w:val="00794C42"/>
    <w:rsid w:val="007A0C90"/>
    <w:rsid w:val="007A138C"/>
    <w:rsid w:val="007A2C91"/>
    <w:rsid w:val="007A69C6"/>
    <w:rsid w:val="007B4963"/>
    <w:rsid w:val="007C19DE"/>
    <w:rsid w:val="007C4084"/>
    <w:rsid w:val="007D7897"/>
    <w:rsid w:val="007E1427"/>
    <w:rsid w:val="007E1817"/>
    <w:rsid w:val="007E1AE0"/>
    <w:rsid w:val="007E1C38"/>
    <w:rsid w:val="007E559C"/>
    <w:rsid w:val="007E55E9"/>
    <w:rsid w:val="007F300C"/>
    <w:rsid w:val="007F7B1E"/>
    <w:rsid w:val="0080114C"/>
    <w:rsid w:val="0080133D"/>
    <w:rsid w:val="00803289"/>
    <w:rsid w:val="0081138A"/>
    <w:rsid w:val="00813497"/>
    <w:rsid w:val="008253C3"/>
    <w:rsid w:val="00827D54"/>
    <w:rsid w:val="00832446"/>
    <w:rsid w:val="00840236"/>
    <w:rsid w:val="00840BD7"/>
    <w:rsid w:val="00841711"/>
    <w:rsid w:val="00841D6D"/>
    <w:rsid w:val="00857CF1"/>
    <w:rsid w:val="00863C0D"/>
    <w:rsid w:val="00865C71"/>
    <w:rsid w:val="00867345"/>
    <w:rsid w:val="00872327"/>
    <w:rsid w:val="00877751"/>
    <w:rsid w:val="00883884"/>
    <w:rsid w:val="00884753"/>
    <w:rsid w:val="008900F4"/>
    <w:rsid w:val="00890A33"/>
    <w:rsid w:val="0089217A"/>
    <w:rsid w:val="00893A51"/>
    <w:rsid w:val="00894E6F"/>
    <w:rsid w:val="0089571A"/>
    <w:rsid w:val="00896FA3"/>
    <w:rsid w:val="00897460"/>
    <w:rsid w:val="008A5DBE"/>
    <w:rsid w:val="008C7325"/>
    <w:rsid w:val="008D0D48"/>
    <w:rsid w:val="008E1E05"/>
    <w:rsid w:val="008E53EF"/>
    <w:rsid w:val="008E5FAD"/>
    <w:rsid w:val="008F26A3"/>
    <w:rsid w:val="008F2A40"/>
    <w:rsid w:val="008F7208"/>
    <w:rsid w:val="008F73F9"/>
    <w:rsid w:val="0090016A"/>
    <w:rsid w:val="00901D3C"/>
    <w:rsid w:val="00906520"/>
    <w:rsid w:val="00912686"/>
    <w:rsid w:val="009152F6"/>
    <w:rsid w:val="0092179A"/>
    <w:rsid w:val="0092389B"/>
    <w:rsid w:val="00924D77"/>
    <w:rsid w:val="00925EB4"/>
    <w:rsid w:val="00931939"/>
    <w:rsid w:val="0093298B"/>
    <w:rsid w:val="00933AA9"/>
    <w:rsid w:val="00935255"/>
    <w:rsid w:val="00936EEE"/>
    <w:rsid w:val="009378FC"/>
    <w:rsid w:val="00940BCF"/>
    <w:rsid w:val="00943618"/>
    <w:rsid w:val="009459C1"/>
    <w:rsid w:val="0095073F"/>
    <w:rsid w:val="0095176E"/>
    <w:rsid w:val="0095365A"/>
    <w:rsid w:val="00955E9E"/>
    <w:rsid w:val="00960E79"/>
    <w:rsid w:val="00962867"/>
    <w:rsid w:val="00966266"/>
    <w:rsid w:val="00971CA4"/>
    <w:rsid w:val="00972461"/>
    <w:rsid w:val="0097374E"/>
    <w:rsid w:val="0097647D"/>
    <w:rsid w:val="00984BFA"/>
    <w:rsid w:val="009854CE"/>
    <w:rsid w:val="00986863"/>
    <w:rsid w:val="00997C82"/>
    <w:rsid w:val="009A1C95"/>
    <w:rsid w:val="009A443D"/>
    <w:rsid w:val="009A44CE"/>
    <w:rsid w:val="009A624A"/>
    <w:rsid w:val="009A6A46"/>
    <w:rsid w:val="009B2756"/>
    <w:rsid w:val="009C03BD"/>
    <w:rsid w:val="009C0627"/>
    <w:rsid w:val="009C0832"/>
    <w:rsid w:val="009C12DF"/>
    <w:rsid w:val="009C1AD0"/>
    <w:rsid w:val="009C255E"/>
    <w:rsid w:val="009C45DA"/>
    <w:rsid w:val="009C6B08"/>
    <w:rsid w:val="009D1A84"/>
    <w:rsid w:val="009D442B"/>
    <w:rsid w:val="009D4AD0"/>
    <w:rsid w:val="009D527D"/>
    <w:rsid w:val="009E6581"/>
    <w:rsid w:val="009F0269"/>
    <w:rsid w:val="00A00BB0"/>
    <w:rsid w:val="00A01C64"/>
    <w:rsid w:val="00A10893"/>
    <w:rsid w:val="00A1120F"/>
    <w:rsid w:val="00A22634"/>
    <w:rsid w:val="00A277FF"/>
    <w:rsid w:val="00A305FB"/>
    <w:rsid w:val="00A31171"/>
    <w:rsid w:val="00A32FAB"/>
    <w:rsid w:val="00A3414E"/>
    <w:rsid w:val="00A55B83"/>
    <w:rsid w:val="00A57A4E"/>
    <w:rsid w:val="00A57E45"/>
    <w:rsid w:val="00A60DB1"/>
    <w:rsid w:val="00A675C7"/>
    <w:rsid w:val="00A7077B"/>
    <w:rsid w:val="00A760D8"/>
    <w:rsid w:val="00A774A7"/>
    <w:rsid w:val="00A77757"/>
    <w:rsid w:val="00A8021B"/>
    <w:rsid w:val="00A87F04"/>
    <w:rsid w:val="00A948AF"/>
    <w:rsid w:val="00A97059"/>
    <w:rsid w:val="00A976DB"/>
    <w:rsid w:val="00AA760B"/>
    <w:rsid w:val="00AB3B39"/>
    <w:rsid w:val="00AB40A2"/>
    <w:rsid w:val="00AB52C3"/>
    <w:rsid w:val="00AB5E7C"/>
    <w:rsid w:val="00AC02AB"/>
    <w:rsid w:val="00AD0ECA"/>
    <w:rsid w:val="00AD1BE1"/>
    <w:rsid w:val="00AD5747"/>
    <w:rsid w:val="00AD798D"/>
    <w:rsid w:val="00AE050D"/>
    <w:rsid w:val="00AE78D5"/>
    <w:rsid w:val="00AF0138"/>
    <w:rsid w:val="00B0143A"/>
    <w:rsid w:val="00B11998"/>
    <w:rsid w:val="00B13A8C"/>
    <w:rsid w:val="00B15DA1"/>
    <w:rsid w:val="00B238F3"/>
    <w:rsid w:val="00B30CAB"/>
    <w:rsid w:val="00B54584"/>
    <w:rsid w:val="00B60C3A"/>
    <w:rsid w:val="00B636A2"/>
    <w:rsid w:val="00B63DDC"/>
    <w:rsid w:val="00B6423E"/>
    <w:rsid w:val="00B71006"/>
    <w:rsid w:val="00B72249"/>
    <w:rsid w:val="00B738B6"/>
    <w:rsid w:val="00B7556D"/>
    <w:rsid w:val="00B7591E"/>
    <w:rsid w:val="00B81F07"/>
    <w:rsid w:val="00B848FD"/>
    <w:rsid w:val="00B875E3"/>
    <w:rsid w:val="00B966C6"/>
    <w:rsid w:val="00B96F3F"/>
    <w:rsid w:val="00BA3745"/>
    <w:rsid w:val="00BA3DAA"/>
    <w:rsid w:val="00BA732A"/>
    <w:rsid w:val="00BB007F"/>
    <w:rsid w:val="00BB13B0"/>
    <w:rsid w:val="00BB35C1"/>
    <w:rsid w:val="00BC0ED1"/>
    <w:rsid w:val="00BC1425"/>
    <w:rsid w:val="00BC5244"/>
    <w:rsid w:val="00BD0756"/>
    <w:rsid w:val="00BD5A24"/>
    <w:rsid w:val="00BD7D63"/>
    <w:rsid w:val="00BE51A4"/>
    <w:rsid w:val="00BF0E57"/>
    <w:rsid w:val="00BF5B4D"/>
    <w:rsid w:val="00BF5BCE"/>
    <w:rsid w:val="00BF705E"/>
    <w:rsid w:val="00C03B5D"/>
    <w:rsid w:val="00C077D6"/>
    <w:rsid w:val="00C110A5"/>
    <w:rsid w:val="00C12C57"/>
    <w:rsid w:val="00C1380C"/>
    <w:rsid w:val="00C20D67"/>
    <w:rsid w:val="00C24540"/>
    <w:rsid w:val="00C2559B"/>
    <w:rsid w:val="00C25AFF"/>
    <w:rsid w:val="00C32170"/>
    <w:rsid w:val="00C32994"/>
    <w:rsid w:val="00C3629D"/>
    <w:rsid w:val="00C36B79"/>
    <w:rsid w:val="00C4333A"/>
    <w:rsid w:val="00C43C41"/>
    <w:rsid w:val="00C45568"/>
    <w:rsid w:val="00C50AA1"/>
    <w:rsid w:val="00C50B84"/>
    <w:rsid w:val="00C52558"/>
    <w:rsid w:val="00C53AB2"/>
    <w:rsid w:val="00C729C2"/>
    <w:rsid w:val="00C72EFE"/>
    <w:rsid w:val="00C735BE"/>
    <w:rsid w:val="00C745B2"/>
    <w:rsid w:val="00C75639"/>
    <w:rsid w:val="00C7565F"/>
    <w:rsid w:val="00C83B64"/>
    <w:rsid w:val="00C83D2A"/>
    <w:rsid w:val="00C85961"/>
    <w:rsid w:val="00C87B8C"/>
    <w:rsid w:val="00C912B7"/>
    <w:rsid w:val="00C92053"/>
    <w:rsid w:val="00C93415"/>
    <w:rsid w:val="00C93B01"/>
    <w:rsid w:val="00CA07F0"/>
    <w:rsid w:val="00CA4CB8"/>
    <w:rsid w:val="00CA7962"/>
    <w:rsid w:val="00CB0938"/>
    <w:rsid w:val="00CB20D4"/>
    <w:rsid w:val="00CB48D5"/>
    <w:rsid w:val="00CB7CA0"/>
    <w:rsid w:val="00CC009F"/>
    <w:rsid w:val="00CC0ABC"/>
    <w:rsid w:val="00CD0D1C"/>
    <w:rsid w:val="00CD7B5E"/>
    <w:rsid w:val="00CE16B0"/>
    <w:rsid w:val="00CE66EB"/>
    <w:rsid w:val="00CF1A6F"/>
    <w:rsid w:val="00CF56AA"/>
    <w:rsid w:val="00CF7E2F"/>
    <w:rsid w:val="00CF7FC9"/>
    <w:rsid w:val="00D00032"/>
    <w:rsid w:val="00D0024A"/>
    <w:rsid w:val="00D03CCF"/>
    <w:rsid w:val="00D060B5"/>
    <w:rsid w:val="00D06730"/>
    <w:rsid w:val="00D1629E"/>
    <w:rsid w:val="00D2259B"/>
    <w:rsid w:val="00D32DD7"/>
    <w:rsid w:val="00D34238"/>
    <w:rsid w:val="00D345AF"/>
    <w:rsid w:val="00D36E9F"/>
    <w:rsid w:val="00D40DA6"/>
    <w:rsid w:val="00D43B0D"/>
    <w:rsid w:val="00D451C9"/>
    <w:rsid w:val="00D47BE0"/>
    <w:rsid w:val="00D502B5"/>
    <w:rsid w:val="00D54207"/>
    <w:rsid w:val="00D577C9"/>
    <w:rsid w:val="00D60DB0"/>
    <w:rsid w:val="00D63955"/>
    <w:rsid w:val="00D65656"/>
    <w:rsid w:val="00D715DE"/>
    <w:rsid w:val="00D72194"/>
    <w:rsid w:val="00D8550A"/>
    <w:rsid w:val="00D86014"/>
    <w:rsid w:val="00D86DD2"/>
    <w:rsid w:val="00D92AEB"/>
    <w:rsid w:val="00D9325A"/>
    <w:rsid w:val="00D93C58"/>
    <w:rsid w:val="00D94D64"/>
    <w:rsid w:val="00DA10C9"/>
    <w:rsid w:val="00DA3242"/>
    <w:rsid w:val="00DA477A"/>
    <w:rsid w:val="00DA672E"/>
    <w:rsid w:val="00DA7911"/>
    <w:rsid w:val="00DB09A7"/>
    <w:rsid w:val="00DB2C7D"/>
    <w:rsid w:val="00DB30D0"/>
    <w:rsid w:val="00DB4E34"/>
    <w:rsid w:val="00DC5A3E"/>
    <w:rsid w:val="00DC5E21"/>
    <w:rsid w:val="00DD0872"/>
    <w:rsid w:val="00DD0BAB"/>
    <w:rsid w:val="00DD0F14"/>
    <w:rsid w:val="00DD2F38"/>
    <w:rsid w:val="00DD4FB2"/>
    <w:rsid w:val="00DD76D8"/>
    <w:rsid w:val="00DE0636"/>
    <w:rsid w:val="00DE0F9C"/>
    <w:rsid w:val="00DE16C6"/>
    <w:rsid w:val="00DE555E"/>
    <w:rsid w:val="00DE5D83"/>
    <w:rsid w:val="00DE5EF4"/>
    <w:rsid w:val="00DF718B"/>
    <w:rsid w:val="00E02ED8"/>
    <w:rsid w:val="00E037D3"/>
    <w:rsid w:val="00E03AB2"/>
    <w:rsid w:val="00E04C5C"/>
    <w:rsid w:val="00E1389A"/>
    <w:rsid w:val="00E2177A"/>
    <w:rsid w:val="00E2760C"/>
    <w:rsid w:val="00E3119E"/>
    <w:rsid w:val="00E35DE6"/>
    <w:rsid w:val="00E373A6"/>
    <w:rsid w:val="00E37D74"/>
    <w:rsid w:val="00E41577"/>
    <w:rsid w:val="00E42E56"/>
    <w:rsid w:val="00E437D6"/>
    <w:rsid w:val="00E461AA"/>
    <w:rsid w:val="00E56309"/>
    <w:rsid w:val="00E62D58"/>
    <w:rsid w:val="00E65FA6"/>
    <w:rsid w:val="00E725CF"/>
    <w:rsid w:val="00E72D3E"/>
    <w:rsid w:val="00E77150"/>
    <w:rsid w:val="00E83633"/>
    <w:rsid w:val="00E851DA"/>
    <w:rsid w:val="00E871CD"/>
    <w:rsid w:val="00E87B18"/>
    <w:rsid w:val="00E87D39"/>
    <w:rsid w:val="00E92CA6"/>
    <w:rsid w:val="00E95BBB"/>
    <w:rsid w:val="00E97A59"/>
    <w:rsid w:val="00EA6AD6"/>
    <w:rsid w:val="00EB2332"/>
    <w:rsid w:val="00EB4FBF"/>
    <w:rsid w:val="00EB555A"/>
    <w:rsid w:val="00EC0805"/>
    <w:rsid w:val="00EC7507"/>
    <w:rsid w:val="00ED04F3"/>
    <w:rsid w:val="00ED5B7A"/>
    <w:rsid w:val="00ED67E9"/>
    <w:rsid w:val="00EE1A85"/>
    <w:rsid w:val="00EE323F"/>
    <w:rsid w:val="00EF1482"/>
    <w:rsid w:val="00EF28EE"/>
    <w:rsid w:val="00EF5313"/>
    <w:rsid w:val="00EF71B5"/>
    <w:rsid w:val="00F010B1"/>
    <w:rsid w:val="00F129A3"/>
    <w:rsid w:val="00F12F34"/>
    <w:rsid w:val="00F14ACF"/>
    <w:rsid w:val="00F226A6"/>
    <w:rsid w:val="00F24068"/>
    <w:rsid w:val="00F24A81"/>
    <w:rsid w:val="00F30787"/>
    <w:rsid w:val="00F35A67"/>
    <w:rsid w:val="00F42E85"/>
    <w:rsid w:val="00F43CB9"/>
    <w:rsid w:val="00F46925"/>
    <w:rsid w:val="00F47C20"/>
    <w:rsid w:val="00F51F36"/>
    <w:rsid w:val="00F627B9"/>
    <w:rsid w:val="00F63A19"/>
    <w:rsid w:val="00F6452F"/>
    <w:rsid w:val="00F64C1C"/>
    <w:rsid w:val="00F73419"/>
    <w:rsid w:val="00F76405"/>
    <w:rsid w:val="00F76551"/>
    <w:rsid w:val="00F76B0A"/>
    <w:rsid w:val="00F77148"/>
    <w:rsid w:val="00F913CF"/>
    <w:rsid w:val="00F91594"/>
    <w:rsid w:val="00F915C6"/>
    <w:rsid w:val="00F92140"/>
    <w:rsid w:val="00F92587"/>
    <w:rsid w:val="00F92974"/>
    <w:rsid w:val="00F93801"/>
    <w:rsid w:val="00F94F3B"/>
    <w:rsid w:val="00FA25B0"/>
    <w:rsid w:val="00FB63D4"/>
    <w:rsid w:val="00FC1FF5"/>
    <w:rsid w:val="00FC3581"/>
    <w:rsid w:val="00FC3B6E"/>
    <w:rsid w:val="00FC7E2D"/>
    <w:rsid w:val="00FC7F07"/>
    <w:rsid w:val="00FD283E"/>
    <w:rsid w:val="00FD2DDF"/>
    <w:rsid w:val="00FD4067"/>
    <w:rsid w:val="00FE0A46"/>
    <w:rsid w:val="00FE0D79"/>
    <w:rsid w:val="00FE2430"/>
    <w:rsid w:val="00FE2918"/>
    <w:rsid w:val="00FE5C9E"/>
    <w:rsid w:val="00FF2A98"/>
    <w:rsid w:val="00FF5F18"/>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D47B39E"/>
  <w15:docId w15:val="{E68BBE2B-8717-4C86-B0D1-6197056A59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CO" w:eastAsia="es-CO"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734BB"/>
    <w:rPr>
      <w:sz w:val="24"/>
      <w:lang w:val="es-ES" w:eastAsia="es-ES"/>
    </w:rPr>
  </w:style>
  <w:style w:type="paragraph" w:styleId="Ttulo1">
    <w:name w:val="heading 1"/>
    <w:basedOn w:val="Normal"/>
    <w:next w:val="Normal"/>
    <w:link w:val="Ttulo1Car"/>
    <w:uiPriority w:val="9"/>
    <w:qFormat/>
    <w:rsid w:val="00E04C5C"/>
    <w:pPr>
      <w:keepNext/>
      <w:jc w:val="center"/>
      <w:outlineLvl w:val="0"/>
    </w:pPr>
    <w:rPr>
      <w:b/>
    </w:rPr>
  </w:style>
  <w:style w:type="paragraph" w:styleId="Ttulo2">
    <w:name w:val="heading 2"/>
    <w:basedOn w:val="Normal"/>
    <w:next w:val="Normal"/>
    <w:link w:val="Ttulo2Car"/>
    <w:uiPriority w:val="9"/>
    <w:qFormat/>
    <w:rsid w:val="00E04C5C"/>
    <w:pPr>
      <w:keepNext/>
      <w:jc w:val="center"/>
      <w:outlineLvl w:val="1"/>
    </w:pPr>
    <w:rPr>
      <w:rFonts w:ascii="Arial" w:hAnsi="Arial"/>
      <w:b/>
      <w:sz w:val="32"/>
      <w:lang w:val="es-ES_tradnl"/>
    </w:rPr>
  </w:style>
  <w:style w:type="paragraph" w:styleId="Ttulo3">
    <w:name w:val="heading 3"/>
    <w:basedOn w:val="Normal"/>
    <w:next w:val="Normal"/>
    <w:link w:val="Ttulo3Car"/>
    <w:uiPriority w:val="9"/>
    <w:qFormat/>
    <w:rsid w:val="00E04C5C"/>
    <w:pPr>
      <w:keepNext/>
      <w:jc w:val="center"/>
      <w:outlineLvl w:val="2"/>
    </w:pPr>
    <w:rPr>
      <w:rFonts w:ascii="Arial" w:hAnsi="Arial"/>
      <w:lang w:val="es-ES_tradnl"/>
    </w:rPr>
  </w:style>
  <w:style w:type="paragraph" w:styleId="Ttulo4">
    <w:name w:val="heading 4"/>
    <w:basedOn w:val="Normal"/>
    <w:next w:val="Normal"/>
    <w:link w:val="Ttulo4Car"/>
    <w:uiPriority w:val="9"/>
    <w:qFormat/>
    <w:rsid w:val="00E04C5C"/>
    <w:pPr>
      <w:keepNext/>
      <w:jc w:val="center"/>
      <w:outlineLvl w:val="3"/>
    </w:pPr>
    <w:rPr>
      <w:sz w:val="28"/>
    </w:rPr>
  </w:style>
  <w:style w:type="paragraph" w:styleId="Ttulo5">
    <w:name w:val="heading 5"/>
    <w:basedOn w:val="Normal"/>
    <w:next w:val="Normal"/>
    <w:link w:val="Ttulo5Car"/>
    <w:uiPriority w:val="9"/>
    <w:qFormat/>
    <w:rsid w:val="00E04C5C"/>
    <w:pPr>
      <w:keepNext/>
      <w:jc w:val="center"/>
      <w:outlineLvl w:val="4"/>
    </w:pPr>
    <w:rPr>
      <w:b/>
      <w:sz w:val="28"/>
    </w:rPr>
  </w:style>
  <w:style w:type="paragraph" w:styleId="Ttulo6">
    <w:name w:val="heading 6"/>
    <w:aliases w:val="TITULO 4"/>
    <w:basedOn w:val="Normal"/>
    <w:next w:val="Normal"/>
    <w:link w:val="Ttulo6Car"/>
    <w:qFormat/>
    <w:rsid w:val="00E04C5C"/>
    <w:pPr>
      <w:keepNext/>
      <w:outlineLvl w:val="5"/>
    </w:pPr>
    <w:rPr>
      <w:b/>
    </w:rPr>
  </w:style>
  <w:style w:type="paragraph" w:styleId="Ttulo7">
    <w:name w:val="heading 7"/>
    <w:aliases w:val="no"/>
    <w:basedOn w:val="Normal"/>
    <w:next w:val="Normal"/>
    <w:link w:val="Ttulo7Car"/>
    <w:uiPriority w:val="9"/>
    <w:qFormat/>
    <w:rsid w:val="00E04C5C"/>
    <w:pPr>
      <w:keepNext/>
      <w:ind w:left="-142"/>
      <w:jc w:val="center"/>
      <w:outlineLvl w:val="6"/>
    </w:pPr>
    <w:rPr>
      <w:rFonts w:ascii="Arial" w:hAnsi="Arial"/>
      <w:lang w:val="es-ES_tradnl"/>
    </w:rPr>
  </w:style>
  <w:style w:type="paragraph" w:styleId="Ttulo8">
    <w:name w:val="heading 8"/>
    <w:basedOn w:val="Normal"/>
    <w:next w:val="Normal"/>
    <w:link w:val="Ttulo8Car"/>
    <w:uiPriority w:val="9"/>
    <w:qFormat/>
    <w:rsid w:val="00E04C5C"/>
    <w:pPr>
      <w:keepNext/>
      <w:outlineLvl w:val="7"/>
    </w:pPr>
    <w:rPr>
      <w:rFonts w:ascii="Arial" w:hAnsi="Arial"/>
      <w:sz w:val="12"/>
      <w:lang w:val="es-ES_tradnl"/>
    </w:rPr>
  </w:style>
  <w:style w:type="paragraph" w:styleId="Ttulo9">
    <w:name w:val="heading 9"/>
    <w:basedOn w:val="Normal"/>
    <w:next w:val="Normal"/>
    <w:link w:val="Ttulo9Car"/>
    <w:uiPriority w:val="9"/>
    <w:qFormat/>
    <w:rsid w:val="00E04C5C"/>
    <w:pPr>
      <w:keepNext/>
      <w:jc w:val="both"/>
      <w:outlineLvl w:val="8"/>
    </w:pPr>
    <w:rPr>
      <w:rFonts w:ascii="Arial" w:hAnsi="Arial"/>
      <w:b/>
      <w:sz w:val="22"/>
      <w:lang w:val="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aliases w:val="Encabezado1"/>
    <w:basedOn w:val="Normal"/>
    <w:rsid w:val="00E04C5C"/>
    <w:pPr>
      <w:tabs>
        <w:tab w:val="center" w:pos="4252"/>
        <w:tab w:val="right" w:pos="8504"/>
      </w:tabs>
    </w:pPr>
    <w:rPr>
      <w:sz w:val="20"/>
      <w:lang w:val="es-ES_tradnl"/>
    </w:rPr>
  </w:style>
  <w:style w:type="paragraph" w:styleId="Piedepgina">
    <w:name w:val="footer"/>
    <w:basedOn w:val="Normal"/>
    <w:link w:val="PiedepginaCar"/>
    <w:uiPriority w:val="99"/>
    <w:rsid w:val="00E04C5C"/>
    <w:pPr>
      <w:tabs>
        <w:tab w:val="center" w:pos="4252"/>
        <w:tab w:val="right" w:pos="8504"/>
      </w:tabs>
    </w:pPr>
    <w:rPr>
      <w:sz w:val="20"/>
      <w:lang w:val="es-ES_tradnl"/>
    </w:rPr>
  </w:style>
  <w:style w:type="paragraph" w:styleId="Textoindependiente">
    <w:name w:val="Body Text"/>
    <w:basedOn w:val="Normal"/>
    <w:rsid w:val="00E04C5C"/>
    <w:pPr>
      <w:jc w:val="both"/>
    </w:pPr>
  </w:style>
  <w:style w:type="paragraph" w:styleId="Sangradetextonormal">
    <w:name w:val="Body Text Indent"/>
    <w:aliases w:val="Sangría de t. independiente"/>
    <w:basedOn w:val="Normal"/>
    <w:rsid w:val="00E04C5C"/>
    <w:pPr>
      <w:jc w:val="both"/>
    </w:pPr>
    <w:rPr>
      <w:rFonts w:ascii="Arial" w:hAnsi="Arial"/>
      <w:color w:val="000080"/>
    </w:rPr>
  </w:style>
  <w:style w:type="paragraph" w:styleId="Textoindependiente3">
    <w:name w:val="Body Text 3"/>
    <w:basedOn w:val="Normal"/>
    <w:rsid w:val="00E04C5C"/>
    <w:rPr>
      <w:sz w:val="28"/>
    </w:rPr>
  </w:style>
  <w:style w:type="paragraph" w:styleId="NormalWeb">
    <w:name w:val="Normal (Web)"/>
    <w:basedOn w:val="Normal"/>
    <w:uiPriority w:val="99"/>
    <w:rsid w:val="00E04C5C"/>
    <w:pPr>
      <w:spacing w:before="100" w:after="100"/>
    </w:pPr>
  </w:style>
  <w:style w:type="character" w:styleId="Nmerodepgina">
    <w:name w:val="page number"/>
    <w:basedOn w:val="Fuentedeprrafopredeter"/>
    <w:rsid w:val="00E04C5C"/>
  </w:style>
  <w:style w:type="paragraph" w:customStyle="1" w:styleId="epgrafe">
    <w:name w:val="epígrafe"/>
    <w:basedOn w:val="Normal"/>
    <w:rsid w:val="00E04C5C"/>
    <w:pPr>
      <w:jc w:val="both"/>
    </w:pPr>
    <w:rPr>
      <w:rFonts w:ascii="Arial" w:hAnsi="Arial"/>
      <w:lang w:val="es-CO"/>
    </w:rPr>
  </w:style>
  <w:style w:type="paragraph" w:customStyle="1" w:styleId="Ttulo10">
    <w:name w:val="T’tulo 1"/>
    <w:basedOn w:val="Normal"/>
    <w:next w:val="Normal"/>
    <w:rsid w:val="00E04C5C"/>
    <w:pPr>
      <w:keepNext/>
      <w:jc w:val="center"/>
    </w:pPr>
    <w:rPr>
      <w:rFonts w:ascii="Arial" w:hAnsi="Arial"/>
      <w:b/>
    </w:rPr>
  </w:style>
  <w:style w:type="paragraph" w:customStyle="1" w:styleId="Ttulo20">
    <w:name w:val="T’tulo 2"/>
    <w:basedOn w:val="Normal"/>
    <w:next w:val="Normal"/>
    <w:rsid w:val="00E04C5C"/>
    <w:pPr>
      <w:keepNext/>
      <w:jc w:val="both"/>
    </w:pPr>
    <w:rPr>
      <w:rFonts w:ascii="Arial" w:hAnsi="Arial"/>
      <w:b/>
    </w:rPr>
  </w:style>
  <w:style w:type="paragraph" w:styleId="Ttulo">
    <w:name w:val="Title"/>
    <w:basedOn w:val="Normal"/>
    <w:qFormat/>
    <w:rsid w:val="00E04C5C"/>
    <w:pPr>
      <w:jc w:val="center"/>
    </w:pPr>
    <w:rPr>
      <w:rFonts w:ascii="Arial" w:hAnsi="Arial"/>
      <w:b/>
      <w:lang w:val="es-MX"/>
    </w:rPr>
  </w:style>
  <w:style w:type="paragraph" w:customStyle="1" w:styleId="Ttulo30">
    <w:name w:val="T’tulo 3"/>
    <w:basedOn w:val="Normal"/>
    <w:next w:val="Normal"/>
    <w:rsid w:val="00E04C5C"/>
    <w:pPr>
      <w:keepNext/>
      <w:tabs>
        <w:tab w:val="center" w:pos="4512"/>
      </w:tabs>
      <w:jc w:val="center"/>
    </w:pPr>
    <w:rPr>
      <w:rFonts w:ascii="Arial" w:hAnsi="Arial"/>
      <w:b/>
    </w:rPr>
  </w:style>
  <w:style w:type="paragraph" w:customStyle="1" w:styleId="Ttulo40">
    <w:name w:val="T’tulo 4"/>
    <w:basedOn w:val="Normal"/>
    <w:next w:val="Normal"/>
    <w:rsid w:val="00E04C5C"/>
    <w:pPr>
      <w:keepNext/>
      <w:tabs>
        <w:tab w:val="left" w:pos="11340"/>
      </w:tabs>
      <w:jc w:val="right"/>
    </w:pPr>
    <w:rPr>
      <w:rFonts w:ascii="Arial" w:hAnsi="Arial"/>
      <w:b/>
      <w:sz w:val="28"/>
    </w:rPr>
  </w:style>
  <w:style w:type="character" w:styleId="Textoennegrita">
    <w:name w:val="Strong"/>
    <w:basedOn w:val="Fuentedeprrafopredeter"/>
    <w:qFormat/>
    <w:rsid w:val="00E04C5C"/>
    <w:rPr>
      <w:b/>
    </w:rPr>
  </w:style>
  <w:style w:type="character" w:styleId="Refdecomentario">
    <w:name w:val="annotation reference"/>
    <w:basedOn w:val="Fuentedeprrafopredeter"/>
    <w:semiHidden/>
    <w:rsid w:val="00E04C5C"/>
    <w:rPr>
      <w:sz w:val="16"/>
    </w:rPr>
  </w:style>
  <w:style w:type="paragraph" w:styleId="Textodebloque">
    <w:name w:val="Block Text"/>
    <w:basedOn w:val="Normal"/>
    <w:rsid w:val="00E04C5C"/>
    <w:pPr>
      <w:ind w:left="567" w:right="51"/>
      <w:jc w:val="both"/>
    </w:pPr>
    <w:rPr>
      <w:rFonts w:ascii="Arial" w:hAnsi="Arial"/>
      <w:lang w:val="es-CO"/>
    </w:rPr>
  </w:style>
  <w:style w:type="paragraph" w:customStyle="1" w:styleId="BodyText21">
    <w:name w:val="Body Text 21"/>
    <w:basedOn w:val="Normal"/>
    <w:rsid w:val="00E04C5C"/>
    <w:pPr>
      <w:numPr>
        <w:numId w:val="1"/>
      </w:numPr>
      <w:jc w:val="both"/>
    </w:pPr>
    <w:rPr>
      <w:rFonts w:ascii="Arial" w:hAnsi="Arial"/>
      <w:sz w:val="20"/>
      <w:lang w:val="es-ES_tradnl"/>
    </w:rPr>
  </w:style>
  <w:style w:type="character" w:styleId="Refdenotaalpie">
    <w:name w:val="footnote reference"/>
    <w:aliases w:val="Nota de pie,referencia nota al pie,Ref. de nota al pieREF1,Footnote symbol,Footnote,Ref,Texto nota al pie,BVI fnr,Texto de nota al pie,de nota al pie,Ref. de nota al pie2,normal, de nota al pie,16 Point,Superscript 6 Point,stylish"/>
    <w:basedOn w:val="Fuentedeprrafopredeter"/>
    <w:uiPriority w:val="99"/>
    <w:qFormat/>
    <w:rsid w:val="00E04C5C"/>
    <w:rPr>
      <w:sz w:val="20"/>
      <w:vertAlign w:val="superscript"/>
    </w:rPr>
  </w:style>
  <w:style w:type="paragraph" w:styleId="Textonotapie">
    <w:name w:val="footnote text"/>
    <w:aliases w:val="Car8 Car Car,Car8 Car,ft,ft1,ft2,ft3,ft4,ft5,ft Char, Car Car Car,Car Car Car,texto de nota al pie,Nota a pie/Bibliog,Texto nota pie Car1,Texto nota pie Car Car,Car1 Car Car,Car1 Car2,Car1,ft Car Car,Texto nota pie Car11,Car1 Car Car1"/>
    <w:basedOn w:val="Normal"/>
    <w:link w:val="TextonotapieCar"/>
    <w:uiPriority w:val="99"/>
    <w:qFormat/>
    <w:rsid w:val="00E04C5C"/>
    <w:rPr>
      <w:sz w:val="20"/>
    </w:rPr>
  </w:style>
  <w:style w:type="paragraph" w:styleId="Mapadeldocumento">
    <w:name w:val="Document Map"/>
    <w:basedOn w:val="Normal"/>
    <w:semiHidden/>
    <w:rsid w:val="00E04C5C"/>
    <w:pPr>
      <w:shd w:val="clear" w:color="auto" w:fill="000080"/>
    </w:pPr>
    <w:rPr>
      <w:rFonts w:ascii="Tahoma" w:hAnsi="Tahoma"/>
      <w:sz w:val="20"/>
      <w:lang w:val="es-ES_tradnl"/>
    </w:rPr>
  </w:style>
  <w:style w:type="paragraph" w:customStyle="1" w:styleId="Sangradetindependiente">
    <w:name w:val="Sangr’a de t. independiente"/>
    <w:basedOn w:val="Normal"/>
    <w:rsid w:val="00E04C5C"/>
    <w:pPr>
      <w:widowControl w:val="0"/>
      <w:jc w:val="both"/>
    </w:pPr>
    <w:rPr>
      <w:rFonts w:ascii="Arial" w:hAnsi="Arial"/>
      <w:color w:val="000000"/>
      <w:sz w:val="22"/>
      <w:lang w:val="es-CO"/>
    </w:rPr>
  </w:style>
  <w:style w:type="paragraph" w:styleId="Sangra2detindependiente">
    <w:name w:val="Body Text Indent 2"/>
    <w:basedOn w:val="Normal"/>
    <w:rsid w:val="00E04C5C"/>
    <w:pPr>
      <w:ind w:left="360"/>
      <w:jc w:val="both"/>
    </w:pPr>
  </w:style>
  <w:style w:type="paragraph" w:styleId="Sangra3detindependiente">
    <w:name w:val="Body Text Indent 3"/>
    <w:basedOn w:val="Normal"/>
    <w:rsid w:val="00E04C5C"/>
    <w:pPr>
      <w:ind w:left="284" w:firstLine="76"/>
      <w:jc w:val="both"/>
    </w:pPr>
    <w:rPr>
      <w:rFonts w:ascii="Arial" w:hAnsi="Arial"/>
      <w:sz w:val="22"/>
    </w:rPr>
  </w:style>
  <w:style w:type="paragraph" w:styleId="Textoindependiente2">
    <w:name w:val="Body Text 2"/>
    <w:aliases w:val="Figura"/>
    <w:basedOn w:val="Normal"/>
    <w:link w:val="Textoindependiente2Car"/>
    <w:rsid w:val="00E04C5C"/>
    <w:pPr>
      <w:spacing w:line="240" w:lineRule="atLeast"/>
      <w:jc w:val="both"/>
    </w:pPr>
    <w:rPr>
      <w:rFonts w:ascii="Arial" w:hAnsi="Arial"/>
      <w:lang w:val="es-ES_tradnl"/>
    </w:rPr>
  </w:style>
  <w:style w:type="paragraph" w:customStyle="1" w:styleId="Titulo4">
    <w:name w:val="Titulo 4"/>
    <w:basedOn w:val="Ttulo3"/>
    <w:rsid w:val="00E04C5C"/>
    <w:pPr>
      <w:jc w:val="both"/>
    </w:pPr>
    <w:rPr>
      <w:rFonts w:ascii="Arial Narrow" w:hAnsi="Arial Narrow"/>
      <w:b/>
      <w:position w:val="-24"/>
      <w:sz w:val="22"/>
    </w:rPr>
  </w:style>
  <w:style w:type="paragraph" w:customStyle="1" w:styleId="BodyText31">
    <w:name w:val="Body Text 31"/>
    <w:basedOn w:val="Normal"/>
    <w:rsid w:val="00E04C5C"/>
    <w:pPr>
      <w:widowControl w:val="0"/>
      <w:jc w:val="both"/>
    </w:pPr>
    <w:rPr>
      <w:rFonts w:ascii="Arial Narrow" w:hAnsi="Arial Narrow"/>
      <w:sz w:val="22"/>
      <w:lang w:val="es-ES_tradnl"/>
    </w:rPr>
  </w:style>
  <w:style w:type="paragraph" w:customStyle="1" w:styleId="Textoindependiente21">
    <w:name w:val="Texto independiente 21"/>
    <w:basedOn w:val="Normal"/>
    <w:rsid w:val="00E04C5C"/>
    <w:pPr>
      <w:tabs>
        <w:tab w:val="left" w:pos="3515"/>
      </w:tabs>
      <w:spacing w:line="240" w:lineRule="atLeast"/>
      <w:jc w:val="center"/>
    </w:pPr>
    <w:rPr>
      <w:rFonts w:ascii="Arial" w:hAnsi="Arial"/>
      <w:sz w:val="22"/>
      <w:lang w:val="es-ES_tradnl"/>
    </w:rPr>
  </w:style>
  <w:style w:type="paragraph" w:customStyle="1" w:styleId="Body">
    <w:name w:val="Body"/>
    <w:aliases w:val="Text,23"/>
    <w:basedOn w:val="Normal"/>
    <w:rsid w:val="00E04C5C"/>
    <w:pPr>
      <w:tabs>
        <w:tab w:val="left" w:pos="0"/>
      </w:tabs>
      <w:jc w:val="both"/>
    </w:pPr>
    <w:rPr>
      <w:rFonts w:ascii="Arial" w:hAnsi="Arial"/>
      <w:sz w:val="20"/>
    </w:rPr>
  </w:style>
  <w:style w:type="paragraph" w:customStyle="1" w:styleId="Textoindependiente0">
    <w:name w:val="Texto independiente/”%Ÿ"/>
    <w:basedOn w:val="Normal"/>
    <w:rsid w:val="00E04C5C"/>
    <w:pPr>
      <w:widowControl w:val="0"/>
      <w:jc w:val="both"/>
    </w:pPr>
    <w:rPr>
      <w:rFonts w:ascii="Arial" w:hAnsi="Arial"/>
      <w:snapToGrid w:val="0"/>
      <w:sz w:val="22"/>
      <w:szCs w:val="24"/>
      <w:lang w:val="es-ES_tradnl"/>
    </w:rPr>
  </w:style>
  <w:style w:type="paragraph" w:customStyle="1" w:styleId="NORMAL10">
    <w:name w:val="NORMAL10"/>
    <w:basedOn w:val="Normal"/>
    <w:rsid w:val="00E04C5C"/>
    <w:pPr>
      <w:widowControl w:val="0"/>
      <w:suppressAutoHyphens/>
      <w:jc w:val="both"/>
    </w:pPr>
    <w:rPr>
      <w:spacing w:val="-2"/>
      <w:sz w:val="20"/>
      <w:szCs w:val="24"/>
      <w:lang w:val="es-CO"/>
    </w:rPr>
  </w:style>
  <w:style w:type="paragraph" w:customStyle="1" w:styleId="Ttulo50">
    <w:name w:val="TÕtulo 5"/>
    <w:basedOn w:val="Normal"/>
    <w:next w:val="Normal"/>
    <w:rsid w:val="00E04C5C"/>
    <w:pPr>
      <w:widowControl w:val="0"/>
      <w:spacing w:before="240" w:after="60"/>
      <w:jc w:val="both"/>
    </w:pPr>
    <w:rPr>
      <w:rFonts w:ascii="Arial" w:hAnsi="Arial"/>
      <w:snapToGrid w:val="0"/>
      <w:sz w:val="22"/>
    </w:rPr>
  </w:style>
  <w:style w:type="paragraph" w:customStyle="1" w:styleId="Tabla">
    <w:name w:val="Tabla"/>
    <w:basedOn w:val="Normal"/>
    <w:rsid w:val="00E04C5C"/>
    <w:pPr>
      <w:widowControl w:val="0"/>
      <w:jc w:val="center"/>
    </w:pPr>
    <w:rPr>
      <w:rFonts w:ascii="Arial" w:hAnsi="Arial"/>
      <w:b/>
      <w:snapToGrid w:val="0"/>
      <w:sz w:val="22"/>
      <w:lang w:val="es-ES_tradnl"/>
    </w:rPr>
  </w:style>
  <w:style w:type="paragraph" w:customStyle="1" w:styleId="CUERPOTEXTO">
    <w:name w:val="CUERPO TEXTO"/>
    <w:rsid w:val="00E04C5C"/>
    <w:pPr>
      <w:widowControl w:val="0"/>
      <w:tabs>
        <w:tab w:val="center" w:pos="510"/>
        <w:tab w:val="left" w:pos="1134"/>
      </w:tabs>
      <w:autoSpaceDE w:val="0"/>
      <w:autoSpaceDN w:val="0"/>
      <w:adjustRightInd w:val="0"/>
      <w:spacing w:before="28" w:after="28" w:line="210" w:lineRule="atLeast"/>
      <w:ind w:firstLine="283"/>
      <w:jc w:val="both"/>
    </w:pPr>
    <w:rPr>
      <w:color w:val="000000"/>
      <w:sz w:val="19"/>
      <w:szCs w:val="19"/>
      <w:lang w:val="es-ES" w:eastAsia="es-ES"/>
    </w:rPr>
  </w:style>
  <w:style w:type="paragraph" w:customStyle="1" w:styleId="p3">
    <w:name w:val="p3"/>
    <w:basedOn w:val="Normal"/>
    <w:rsid w:val="00322343"/>
    <w:pPr>
      <w:widowControl w:val="0"/>
      <w:tabs>
        <w:tab w:val="left" w:pos="720"/>
      </w:tabs>
      <w:spacing w:line="200" w:lineRule="atLeast"/>
      <w:jc w:val="both"/>
    </w:pPr>
    <w:rPr>
      <w:snapToGrid w:val="0"/>
    </w:rPr>
  </w:style>
  <w:style w:type="paragraph" w:customStyle="1" w:styleId="p38">
    <w:name w:val="p38"/>
    <w:basedOn w:val="Normal"/>
    <w:rsid w:val="00322343"/>
    <w:pPr>
      <w:spacing w:before="100" w:beforeAutospacing="1" w:after="100" w:afterAutospacing="1"/>
    </w:pPr>
    <w:rPr>
      <w:szCs w:val="24"/>
      <w:lang w:val="es-CO" w:eastAsia="es-CO"/>
    </w:rPr>
  </w:style>
  <w:style w:type="paragraph" w:customStyle="1" w:styleId="xl36">
    <w:name w:val="xl36"/>
    <w:basedOn w:val="Normal"/>
    <w:rsid w:val="0077776E"/>
    <w:pPr>
      <w:pBdr>
        <w:bottom w:val="single" w:sz="8" w:space="0" w:color="auto"/>
      </w:pBdr>
      <w:spacing w:before="100" w:beforeAutospacing="1" w:after="100" w:afterAutospacing="1"/>
      <w:textAlignment w:val="center"/>
    </w:pPr>
    <w:rPr>
      <w:rFonts w:ascii="Arial" w:eastAsia="Arial Unicode MS" w:hAnsi="Arial" w:cs="Arial"/>
      <w:b/>
      <w:bCs/>
      <w:szCs w:val="24"/>
    </w:rPr>
  </w:style>
  <w:style w:type="paragraph" w:styleId="Firmadecorreoelectrnico">
    <w:name w:val="E-mail Signature"/>
    <w:basedOn w:val="Normal"/>
    <w:link w:val="FirmadecorreoelectrnicoCar"/>
    <w:rsid w:val="0077776E"/>
    <w:rPr>
      <w:szCs w:val="24"/>
    </w:rPr>
  </w:style>
  <w:style w:type="character" w:customStyle="1" w:styleId="FirmadecorreoelectrnicoCar">
    <w:name w:val="Firma de correo electrónico Car"/>
    <w:basedOn w:val="Fuentedeprrafopredeter"/>
    <w:link w:val="Firmadecorreoelectrnico"/>
    <w:rsid w:val="0077776E"/>
    <w:rPr>
      <w:sz w:val="24"/>
      <w:szCs w:val="24"/>
    </w:rPr>
  </w:style>
  <w:style w:type="paragraph" w:customStyle="1" w:styleId="estilo1">
    <w:name w:val="estilo1"/>
    <w:basedOn w:val="Normal"/>
    <w:rsid w:val="0077776E"/>
    <w:pPr>
      <w:spacing w:before="230" w:after="230" w:line="216" w:lineRule="atLeast"/>
      <w:ind w:left="230" w:right="230"/>
    </w:pPr>
    <w:rPr>
      <w:rFonts w:ascii="Verdana" w:hAnsi="Verdana"/>
      <w:color w:val="000000"/>
      <w:sz w:val="18"/>
      <w:szCs w:val="18"/>
    </w:rPr>
  </w:style>
  <w:style w:type="paragraph" w:styleId="Textosinformato">
    <w:name w:val="Plain Text"/>
    <w:basedOn w:val="Normal"/>
    <w:link w:val="TextosinformatoCar"/>
    <w:uiPriority w:val="99"/>
    <w:rsid w:val="0077776E"/>
    <w:rPr>
      <w:rFonts w:ascii="Courier New" w:hAnsi="Courier New"/>
      <w:sz w:val="20"/>
    </w:rPr>
  </w:style>
  <w:style w:type="character" w:customStyle="1" w:styleId="TextosinformatoCar">
    <w:name w:val="Texto sin formato Car"/>
    <w:basedOn w:val="Fuentedeprrafopredeter"/>
    <w:link w:val="Textosinformato"/>
    <w:uiPriority w:val="99"/>
    <w:rsid w:val="0077776E"/>
    <w:rPr>
      <w:rFonts w:ascii="Courier New" w:hAnsi="Courier New"/>
    </w:rPr>
  </w:style>
  <w:style w:type="paragraph" w:customStyle="1" w:styleId="Default">
    <w:name w:val="Default"/>
    <w:rsid w:val="00CB20D4"/>
    <w:pPr>
      <w:autoSpaceDE w:val="0"/>
      <w:autoSpaceDN w:val="0"/>
      <w:adjustRightInd w:val="0"/>
    </w:pPr>
    <w:rPr>
      <w:color w:val="000000"/>
      <w:sz w:val="24"/>
      <w:szCs w:val="24"/>
      <w:lang w:val="es-ES" w:eastAsia="es-ES"/>
    </w:rPr>
  </w:style>
  <w:style w:type="paragraph" w:customStyle="1" w:styleId="H3">
    <w:name w:val="H3"/>
    <w:basedOn w:val="Normal"/>
    <w:next w:val="Normal"/>
    <w:rsid w:val="00912686"/>
    <w:pPr>
      <w:keepNext/>
      <w:spacing w:before="100" w:after="100"/>
      <w:outlineLvl w:val="3"/>
    </w:pPr>
    <w:rPr>
      <w:b/>
      <w:snapToGrid w:val="0"/>
      <w:sz w:val="28"/>
      <w:lang w:val="es-MX"/>
    </w:rPr>
  </w:style>
  <w:style w:type="character" w:customStyle="1" w:styleId="Ttulo4Car">
    <w:name w:val="Título 4 Car"/>
    <w:basedOn w:val="Fuentedeprrafopredeter"/>
    <w:link w:val="Ttulo4"/>
    <w:uiPriority w:val="9"/>
    <w:rsid w:val="00195557"/>
    <w:rPr>
      <w:sz w:val="28"/>
      <w:lang w:val="es-ES" w:eastAsia="es-ES"/>
    </w:rPr>
  </w:style>
  <w:style w:type="paragraph" w:styleId="Prrafodelista">
    <w:name w:val="List Paragraph"/>
    <w:aliases w:val="Ha,titulo 3,HOJA,Bolita,List Paragraph,Párrafo de lista4,BOLADEF,Párrafo de lista3,Párrafo de lista21,BOLA,Nivel 1 OS,Colorful List Accent 1,Colorful List - Accent 11,Viñeta 6,Flor,Bullets,Titulo 8,Guión,Párrafo de lista211,titulo 5,lp1"/>
    <w:basedOn w:val="Normal"/>
    <w:link w:val="PrrafodelistaCar"/>
    <w:qFormat/>
    <w:rsid w:val="00195557"/>
    <w:pPr>
      <w:ind w:left="720"/>
    </w:pPr>
    <w:rPr>
      <w:rFonts w:ascii="Calibri" w:eastAsia="Calibri" w:hAnsi="Calibri"/>
      <w:sz w:val="22"/>
      <w:szCs w:val="22"/>
      <w:lang w:val="es-CO" w:eastAsia="es-CO"/>
    </w:rPr>
  </w:style>
  <w:style w:type="character" w:customStyle="1" w:styleId="Textoindependiente2Car">
    <w:name w:val="Texto independiente 2 Car"/>
    <w:aliases w:val="Figura Car"/>
    <w:basedOn w:val="Fuentedeprrafopredeter"/>
    <w:link w:val="Textoindependiente2"/>
    <w:rsid w:val="00E1389A"/>
    <w:rPr>
      <w:rFonts w:ascii="Arial" w:hAnsi="Arial"/>
      <w:sz w:val="24"/>
      <w:lang w:val="es-ES_tradnl" w:eastAsia="es-ES"/>
    </w:rPr>
  </w:style>
  <w:style w:type="character" w:customStyle="1" w:styleId="PiedepginaCar">
    <w:name w:val="Pie de página Car"/>
    <w:basedOn w:val="Fuentedeprrafopredeter"/>
    <w:link w:val="Piedepgina"/>
    <w:uiPriority w:val="99"/>
    <w:locked/>
    <w:rsid w:val="00260F4E"/>
    <w:rPr>
      <w:lang w:val="es-ES_tradnl" w:eastAsia="es-ES"/>
    </w:rPr>
  </w:style>
  <w:style w:type="paragraph" w:styleId="Textodeglobo">
    <w:name w:val="Balloon Text"/>
    <w:basedOn w:val="Normal"/>
    <w:link w:val="TextodegloboCar"/>
    <w:rsid w:val="003518BC"/>
    <w:rPr>
      <w:rFonts w:ascii="Tahoma" w:hAnsi="Tahoma" w:cs="Tahoma"/>
      <w:sz w:val="16"/>
      <w:szCs w:val="16"/>
    </w:rPr>
  </w:style>
  <w:style w:type="character" w:customStyle="1" w:styleId="TextodegloboCar">
    <w:name w:val="Texto de globo Car"/>
    <w:basedOn w:val="Fuentedeprrafopredeter"/>
    <w:link w:val="Textodeglobo"/>
    <w:rsid w:val="003518BC"/>
    <w:rPr>
      <w:rFonts w:ascii="Tahoma" w:hAnsi="Tahoma" w:cs="Tahoma"/>
      <w:sz w:val="16"/>
      <w:szCs w:val="16"/>
      <w:lang w:val="es-ES" w:eastAsia="es-ES"/>
    </w:rPr>
  </w:style>
  <w:style w:type="character" w:styleId="Textodelmarcadordeposicin">
    <w:name w:val="Placeholder Text"/>
    <w:basedOn w:val="Fuentedeprrafopredeter"/>
    <w:uiPriority w:val="99"/>
    <w:semiHidden/>
    <w:rsid w:val="00A55B83"/>
    <w:rPr>
      <w:color w:val="808080"/>
    </w:rPr>
  </w:style>
  <w:style w:type="table" w:styleId="Tablaconcuadrcula">
    <w:name w:val="Table Grid"/>
    <w:basedOn w:val="Tablanormal"/>
    <w:rsid w:val="004101E9"/>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Textocomentario">
    <w:name w:val="annotation text"/>
    <w:basedOn w:val="Normal"/>
    <w:link w:val="TextocomentarioCar"/>
    <w:unhideWhenUsed/>
    <w:rsid w:val="00F76551"/>
    <w:rPr>
      <w:sz w:val="20"/>
    </w:rPr>
  </w:style>
  <w:style w:type="character" w:customStyle="1" w:styleId="TextocomentarioCar">
    <w:name w:val="Texto comentario Car"/>
    <w:basedOn w:val="Fuentedeprrafopredeter"/>
    <w:link w:val="Textocomentario"/>
    <w:rsid w:val="00F76551"/>
    <w:rPr>
      <w:lang w:val="es-ES" w:eastAsia="es-ES"/>
    </w:rPr>
  </w:style>
  <w:style w:type="paragraph" w:styleId="Asuntodelcomentario">
    <w:name w:val="annotation subject"/>
    <w:basedOn w:val="Textocomentario"/>
    <w:next w:val="Textocomentario"/>
    <w:link w:val="AsuntodelcomentarioCar"/>
    <w:semiHidden/>
    <w:unhideWhenUsed/>
    <w:rsid w:val="00F76551"/>
    <w:rPr>
      <w:b/>
      <w:bCs/>
    </w:rPr>
  </w:style>
  <w:style w:type="character" w:customStyle="1" w:styleId="AsuntodelcomentarioCar">
    <w:name w:val="Asunto del comentario Car"/>
    <w:basedOn w:val="TextocomentarioCar"/>
    <w:link w:val="Asuntodelcomentario"/>
    <w:semiHidden/>
    <w:rsid w:val="00F76551"/>
    <w:rPr>
      <w:b/>
      <w:bCs/>
      <w:lang w:val="es-ES" w:eastAsia="es-ES"/>
    </w:rPr>
  </w:style>
  <w:style w:type="paragraph" w:styleId="Sinespaciado">
    <w:name w:val="No Spacing"/>
    <w:qFormat/>
    <w:rsid w:val="00AE050D"/>
    <w:rPr>
      <w:rFonts w:asciiTheme="minorHAnsi" w:eastAsiaTheme="minorHAnsi" w:hAnsiTheme="minorHAnsi" w:cstheme="minorBidi"/>
      <w:sz w:val="22"/>
      <w:szCs w:val="22"/>
      <w:lang w:eastAsia="en-US"/>
    </w:rPr>
  </w:style>
  <w:style w:type="character" w:customStyle="1" w:styleId="PrrafodelistaCar">
    <w:name w:val="Párrafo de lista Car"/>
    <w:aliases w:val="Ha Car,titulo 3 Car,HOJA Car,Bolita Car,List Paragraph Car,Párrafo de lista4 Car,BOLADEF Car,Párrafo de lista3 Car,Párrafo de lista21 Car,BOLA Car,Nivel 1 OS Car,Colorful List Accent 1 Car,Colorful List - Accent 11 Car,Viñeta 6 Car"/>
    <w:link w:val="Prrafodelista"/>
    <w:qFormat/>
    <w:rsid w:val="00AE050D"/>
    <w:rPr>
      <w:rFonts w:ascii="Calibri" w:eastAsia="Calibri" w:hAnsi="Calibri"/>
      <w:sz w:val="22"/>
      <w:szCs w:val="22"/>
    </w:rPr>
  </w:style>
  <w:style w:type="character" w:customStyle="1" w:styleId="TextonotapieCar">
    <w:name w:val="Texto nota pie Car"/>
    <w:aliases w:val="Car8 Car Car Car,Car8 Car Car1,ft Car,ft1 Car,ft2 Car,ft3 Car,ft4 Car,ft5 Car,ft Char Car, Car Car Car Car,Car Car Car Car,texto de nota al pie Car,Nota a pie/Bibliog Car,Texto nota pie Car1 Car,Texto nota pie Car Car Car,Car1 Car"/>
    <w:basedOn w:val="Fuentedeprrafopredeter"/>
    <w:link w:val="Textonotapie"/>
    <w:uiPriority w:val="99"/>
    <w:rsid w:val="00AE050D"/>
    <w:rPr>
      <w:lang w:val="es-ES" w:eastAsia="es-ES"/>
    </w:rPr>
  </w:style>
  <w:style w:type="paragraph" w:customStyle="1" w:styleId="Normal1">
    <w:name w:val="Normal1"/>
    <w:rsid w:val="00AE050D"/>
    <w:rPr>
      <w:sz w:val="24"/>
      <w:szCs w:val="24"/>
      <w:lang w:eastAsia="en-US"/>
    </w:rPr>
  </w:style>
  <w:style w:type="paragraph" w:styleId="Revisin">
    <w:name w:val="Revision"/>
    <w:hidden/>
    <w:uiPriority w:val="99"/>
    <w:semiHidden/>
    <w:rsid w:val="00F627B9"/>
    <w:rPr>
      <w:sz w:val="24"/>
      <w:lang w:val="es-ES" w:eastAsia="es-ES"/>
    </w:rPr>
  </w:style>
  <w:style w:type="paragraph" w:styleId="Descripcin">
    <w:name w:val="caption"/>
    <w:basedOn w:val="Normal"/>
    <w:next w:val="Normal"/>
    <w:uiPriority w:val="35"/>
    <w:unhideWhenUsed/>
    <w:qFormat/>
    <w:rsid w:val="00E461AA"/>
    <w:pPr>
      <w:spacing w:after="200"/>
    </w:pPr>
    <w:rPr>
      <w:rFonts w:asciiTheme="minorHAnsi" w:eastAsiaTheme="minorEastAsia" w:hAnsiTheme="minorHAnsi" w:cstheme="minorBidi"/>
      <w:i/>
      <w:iCs/>
      <w:color w:val="1F497D" w:themeColor="text2"/>
      <w:sz w:val="18"/>
      <w:szCs w:val="18"/>
      <w:lang w:val="es-ES_tradnl"/>
    </w:rPr>
  </w:style>
  <w:style w:type="character" w:customStyle="1" w:styleId="Ttulo1Car">
    <w:name w:val="Título 1 Car"/>
    <w:basedOn w:val="Fuentedeprrafopredeter"/>
    <w:link w:val="Ttulo1"/>
    <w:uiPriority w:val="9"/>
    <w:rsid w:val="00A01C64"/>
    <w:rPr>
      <w:b/>
      <w:sz w:val="24"/>
      <w:lang w:val="es-ES" w:eastAsia="es-ES"/>
    </w:rPr>
  </w:style>
  <w:style w:type="character" w:customStyle="1" w:styleId="Ttulo2Car">
    <w:name w:val="Título 2 Car"/>
    <w:basedOn w:val="Fuentedeprrafopredeter"/>
    <w:link w:val="Ttulo2"/>
    <w:uiPriority w:val="9"/>
    <w:rsid w:val="00A01C64"/>
    <w:rPr>
      <w:rFonts w:ascii="Arial" w:hAnsi="Arial"/>
      <w:b/>
      <w:sz w:val="32"/>
      <w:lang w:val="es-ES_tradnl" w:eastAsia="es-ES"/>
    </w:rPr>
  </w:style>
  <w:style w:type="character" w:customStyle="1" w:styleId="Ttulo3Car">
    <w:name w:val="Título 3 Car"/>
    <w:basedOn w:val="Fuentedeprrafopredeter"/>
    <w:link w:val="Ttulo3"/>
    <w:uiPriority w:val="9"/>
    <w:rsid w:val="00A01C64"/>
    <w:rPr>
      <w:rFonts w:ascii="Arial" w:hAnsi="Arial"/>
      <w:sz w:val="24"/>
      <w:lang w:val="es-ES_tradnl" w:eastAsia="es-ES"/>
    </w:rPr>
  </w:style>
  <w:style w:type="character" w:customStyle="1" w:styleId="Ttulo5Car">
    <w:name w:val="Título 5 Car"/>
    <w:basedOn w:val="Fuentedeprrafopredeter"/>
    <w:link w:val="Ttulo5"/>
    <w:uiPriority w:val="9"/>
    <w:rsid w:val="00A01C64"/>
    <w:rPr>
      <w:b/>
      <w:sz w:val="28"/>
      <w:lang w:val="es-ES" w:eastAsia="es-ES"/>
    </w:rPr>
  </w:style>
  <w:style w:type="character" w:customStyle="1" w:styleId="Ttulo6Car">
    <w:name w:val="Título 6 Car"/>
    <w:aliases w:val="TITULO 4 Car"/>
    <w:basedOn w:val="Fuentedeprrafopredeter"/>
    <w:link w:val="Ttulo6"/>
    <w:rsid w:val="00A01C64"/>
    <w:rPr>
      <w:b/>
      <w:sz w:val="24"/>
      <w:lang w:val="es-ES" w:eastAsia="es-ES"/>
    </w:rPr>
  </w:style>
  <w:style w:type="character" w:customStyle="1" w:styleId="Ttulo7Car">
    <w:name w:val="Título 7 Car"/>
    <w:aliases w:val="no Car"/>
    <w:basedOn w:val="Fuentedeprrafopredeter"/>
    <w:link w:val="Ttulo7"/>
    <w:uiPriority w:val="9"/>
    <w:rsid w:val="00A01C64"/>
    <w:rPr>
      <w:rFonts w:ascii="Arial" w:hAnsi="Arial"/>
      <w:sz w:val="24"/>
      <w:lang w:val="es-ES_tradnl" w:eastAsia="es-ES"/>
    </w:rPr>
  </w:style>
  <w:style w:type="character" w:customStyle="1" w:styleId="Ttulo8Car">
    <w:name w:val="Título 8 Car"/>
    <w:basedOn w:val="Fuentedeprrafopredeter"/>
    <w:link w:val="Ttulo8"/>
    <w:uiPriority w:val="9"/>
    <w:rsid w:val="00A01C64"/>
    <w:rPr>
      <w:rFonts w:ascii="Arial" w:hAnsi="Arial"/>
      <w:sz w:val="12"/>
      <w:lang w:val="es-ES_tradnl" w:eastAsia="es-ES"/>
    </w:rPr>
  </w:style>
  <w:style w:type="character" w:customStyle="1" w:styleId="Ttulo9Car">
    <w:name w:val="Título 9 Car"/>
    <w:basedOn w:val="Fuentedeprrafopredeter"/>
    <w:link w:val="Ttulo9"/>
    <w:uiPriority w:val="9"/>
    <w:rsid w:val="00A01C64"/>
    <w:rPr>
      <w:rFonts w:ascii="Arial" w:hAnsi="Arial"/>
      <w:b/>
      <w:sz w:val="22"/>
      <w:lang w:val="es-MX"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3899324">
      <w:bodyDiv w:val="1"/>
      <w:marLeft w:val="0"/>
      <w:marRight w:val="0"/>
      <w:marTop w:val="0"/>
      <w:marBottom w:val="0"/>
      <w:divBdr>
        <w:top w:val="none" w:sz="0" w:space="0" w:color="auto"/>
        <w:left w:val="none" w:sz="0" w:space="0" w:color="auto"/>
        <w:bottom w:val="none" w:sz="0" w:space="0" w:color="auto"/>
        <w:right w:val="none" w:sz="0" w:space="0" w:color="auto"/>
      </w:divBdr>
    </w:div>
    <w:div w:id="464354410">
      <w:bodyDiv w:val="1"/>
      <w:marLeft w:val="450"/>
      <w:marRight w:val="0"/>
      <w:marTop w:val="75"/>
      <w:marBottom w:val="0"/>
      <w:divBdr>
        <w:top w:val="none" w:sz="0" w:space="0" w:color="auto"/>
        <w:left w:val="none" w:sz="0" w:space="0" w:color="auto"/>
        <w:bottom w:val="none" w:sz="0" w:space="0" w:color="auto"/>
        <w:right w:val="none" w:sz="0" w:space="0" w:color="auto"/>
      </w:divBdr>
    </w:div>
    <w:div w:id="465590685">
      <w:bodyDiv w:val="1"/>
      <w:marLeft w:val="0"/>
      <w:marRight w:val="0"/>
      <w:marTop w:val="0"/>
      <w:marBottom w:val="0"/>
      <w:divBdr>
        <w:top w:val="none" w:sz="0" w:space="0" w:color="auto"/>
        <w:left w:val="none" w:sz="0" w:space="0" w:color="auto"/>
        <w:bottom w:val="none" w:sz="0" w:space="0" w:color="auto"/>
        <w:right w:val="none" w:sz="0" w:space="0" w:color="auto"/>
      </w:divBdr>
    </w:div>
    <w:div w:id="740635002">
      <w:bodyDiv w:val="1"/>
      <w:marLeft w:val="0"/>
      <w:marRight w:val="0"/>
      <w:marTop w:val="0"/>
      <w:marBottom w:val="0"/>
      <w:divBdr>
        <w:top w:val="none" w:sz="0" w:space="0" w:color="auto"/>
        <w:left w:val="none" w:sz="0" w:space="0" w:color="auto"/>
        <w:bottom w:val="none" w:sz="0" w:space="0" w:color="auto"/>
        <w:right w:val="none" w:sz="0" w:space="0" w:color="auto"/>
      </w:divBdr>
    </w:div>
    <w:div w:id="1271936148">
      <w:bodyDiv w:val="1"/>
      <w:marLeft w:val="0"/>
      <w:marRight w:val="0"/>
      <w:marTop w:val="0"/>
      <w:marBottom w:val="0"/>
      <w:divBdr>
        <w:top w:val="none" w:sz="0" w:space="0" w:color="auto"/>
        <w:left w:val="none" w:sz="0" w:space="0" w:color="auto"/>
        <w:bottom w:val="none" w:sz="0" w:space="0" w:color="auto"/>
        <w:right w:val="none" w:sz="0" w:space="0" w:color="auto"/>
      </w:divBdr>
    </w:div>
    <w:div w:id="1379234965">
      <w:bodyDiv w:val="1"/>
      <w:marLeft w:val="0"/>
      <w:marRight w:val="0"/>
      <w:marTop w:val="0"/>
      <w:marBottom w:val="0"/>
      <w:divBdr>
        <w:top w:val="none" w:sz="0" w:space="0" w:color="auto"/>
        <w:left w:val="none" w:sz="0" w:space="0" w:color="auto"/>
        <w:bottom w:val="none" w:sz="0" w:space="0" w:color="auto"/>
        <w:right w:val="none" w:sz="0" w:space="0" w:color="auto"/>
      </w:divBdr>
    </w:div>
    <w:div w:id="1483696722">
      <w:bodyDiv w:val="1"/>
      <w:marLeft w:val="0"/>
      <w:marRight w:val="0"/>
      <w:marTop w:val="0"/>
      <w:marBottom w:val="0"/>
      <w:divBdr>
        <w:top w:val="none" w:sz="0" w:space="0" w:color="auto"/>
        <w:left w:val="none" w:sz="0" w:space="0" w:color="auto"/>
        <w:bottom w:val="none" w:sz="0" w:space="0" w:color="auto"/>
        <w:right w:val="none" w:sz="0" w:space="0" w:color="auto"/>
      </w:divBdr>
    </w:div>
    <w:div w:id="1512449681">
      <w:bodyDiv w:val="1"/>
      <w:marLeft w:val="0"/>
      <w:marRight w:val="0"/>
      <w:marTop w:val="0"/>
      <w:marBottom w:val="0"/>
      <w:divBdr>
        <w:top w:val="none" w:sz="0" w:space="0" w:color="auto"/>
        <w:left w:val="none" w:sz="0" w:space="0" w:color="auto"/>
        <w:bottom w:val="none" w:sz="0" w:space="0" w:color="auto"/>
        <w:right w:val="none" w:sz="0" w:space="0" w:color="auto"/>
      </w:divBdr>
    </w:div>
    <w:div w:id="1732776323">
      <w:bodyDiv w:val="1"/>
      <w:marLeft w:val="0"/>
      <w:marRight w:val="0"/>
      <w:marTop w:val="0"/>
      <w:marBottom w:val="0"/>
      <w:divBdr>
        <w:top w:val="none" w:sz="0" w:space="0" w:color="auto"/>
        <w:left w:val="none" w:sz="0" w:space="0" w:color="auto"/>
        <w:bottom w:val="none" w:sz="0" w:space="0" w:color="auto"/>
        <w:right w:val="none" w:sz="0" w:space="0" w:color="auto"/>
      </w:divBdr>
    </w:div>
    <w:div w:id="1956254631">
      <w:bodyDiv w:val="1"/>
      <w:marLeft w:val="0"/>
      <w:marRight w:val="0"/>
      <w:marTop w:val="0"/>
      <w:marBottom w:val="0"/>
      <w:divBdr>
        <w:top w:val="none" w:sz="0" w:space="0" w:color="auto"/>
        <w:left w:val="none" w:sz="0" w:space="0" w:color="auto"/>
        <w:bottom w:val="none" w:sz="0" w:space="0" w:color="auto"/>
        <w:right w:val="none" w:sz="0" w:space="0" w:color="auto"/>
      </w:divBdr>
    </w:div>
    <w:div w:id="1973093008">
      <w:bodyDiv w:val="1"/>
      <w:marLeft w:val="0"/>
      <w:marRight w:val="0"/>
      <w:marTop w:val="0"/>
      <w:marBottom w:val="0"/>
      <w:divBdr>
        <w:top w:val="none" w:sz="0" w:space="0" w:color="auto"/>
        <w:left w:val="none" w:sz="0" w:space="0" w:color="auto"/>
        <w:bottom w:val="none" w:sz="0" w:space="0" w:color="auto"/>
        <w:right w:val="none" w:sz="0" w:space="0" w:color="auto"/>
      </w:divBdr>
    </w:div>
    <w:div w:id="199695238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CC1F0F4-7269-4C40-8111-A04C83B03D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6766</Words>
  <Characters>37213</Characters>
  <Application>Microsoft Office Word</Application>
  <DocSecurity>0</DocSecurity>
  <Lines>310</Lines>
  <Paragraphs>87</Paragraphs>
  <ScaleCrop>false</ScaleCrop>
  <HeadingPairs>
    <vt:vector size="2" baseType="variant">
      <vt:variant>
        <vt:lpstr>Título</vt:lpstr>
      </vt:variant>
      <vt:variant>
        <vt:i4>1</vt:i4>
      </vt:variant>
    </vt:vector>
  </HeadingPairs>
  <TitlesOfParts>
    <vt:vector size="1" baseType="lpstr">
      <vt:lpstr>“Por la cual se resuelve un recurso de reposición”</vt:lpstr>
    </vt:vector>
  </TitlesOfParts>
  <Company>Minambiente</Company>
  <LinksUpToDate>false</LinksUpToDate>
  <CharactersWithSpaces>43892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“Por la cual se resuelve un recurso de reposición”</dc:title>
  <dc:subject/>
  <dc:creator>Minambiente</dc:creator>
  <cp:keywords/>
  <dc:description/>
  <cp:lastModifiedBy>Angela Carolina Amaya Vargas</cp:lastModifiedBy>
  <cp:revision>2</cp:revision>
  <cp:lastPrinted>2023-10-10T14:53:00Z</cp:lastPrinted>
  <dcterms:created xsi:type="dcterms:W3CDTF">2023-10-18T15:36:00Z</dcterms:created>
  <dcterms:modified xsi:type="dcterms:W3CDTF">2023-10-18T15:36:00Z</dcterms:modified>
</cp:coreProperties>
</file>