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417" w:rsidRPr="00B87BA5" w:rsidRDefault="00895478" w:rsidP="006D2417">
      <w:pPr>
        <w:pStyle w:val="Textoindependiente"/>
        <w:widowControl w:val="0"/>
        <w:tabs>
          <w:tab w:val="left" w:pos="7797"/>
        </w:tabs>
        <w:jc w:val="center"/>
        <w:rPr>
          <w:rFonts w:ascii="Arial Narrow" w:hAnsi="Arial Narrow" w:cs="Arial"/>
          <w:sz w:val="24"/>
          <w:szCs w:val="24"/>
        </w:rPr>
      </w:pPr>
      <w:bookmarkStart w:id="0" w:name="_GoBack"/>
      <w:bookmarkEnd w:id="0"/>
      <w:r w:rsidRPr="00B87BA5">
        <w:rPr>
          <w:rFonts w:ascii="Arial Narrow" w:hAnsi="Arial Narrow" w:cs="Arial"/>
          <w:b/>
          <w:sz w:val="24"/>
          <w:szCs w:val="24"/>
        </w:rPr>
        <w:t xml:space="preserve">MEMORIA JUSTIFICATIVA </w:t>
      </w:r>
      <w:r w:rsidR="009F38A5" w:rsidRPr="00B87BA5">
        <w:rPr>
          <w:rFonts w:ascii="Arial Narrow" w:hAnsi="Arial Narrow" w:cs="Arial"/>
          <w:b/>
          <w:sz w:val="24"/>
          <w:szCs w:val="24"/>
        </w:rPr>
        <w:t xml:space="preserve"> DE LA RESOLUCIÓN</w:t>
      </w:r>
      <w:r w:rsidR="006D2417" w:rsidRPr="00B87BA5">
        <w:rPr>
          <w:rFonts w:ascii="Arial Narrow" w:hAnsi="Arial Narrow" w:cs="Arial"/>
          <w:b/>
          <w:sz w:val="24"/>
          <w:szCs w:val="24"/>
        </w:rPr>
        <w:t xml:space="preserve"> “</w:t>
      </w:r>
      <w:r w:rsidR="009F38A5" w:rsidRPr="00B87BA5">
        <w:rPr>
          <w:rFonts w:ascii="Arial Narrow" w:hAnsi="Arial Narrow" w:cs="Arial"/>
          <w:b/>
          <w:bCs/>
          <w:sz w:val="24"/>
          <w:szCs w:val="24"/>
        </w:rPr>
        <w:t>POR LA CUAL SE ADICIONA LA RESOLUCIÓN 668 DE 2016 SOBRE USO RACIONAL DE BOLSAS PLÁSTICAS Y SE ADOPTAN OTRAS DISPOSICIONES</w:t>
      </w:r>
      <w:r w:rsidR="009F38A5" w:rsidRPr="00B87BA5">
        <w:rPr>
          <w:rFonts w:ascii="Arial Narrow" w:hAnsi="Arial Narrow" w:cs="Arial"/>
          <w:b/>
          <w:sz w:val="24"/>
          <w:szCs w:val="24"/>
        </w:rPr>
        <w:t>”</w:t>
      </w:r>
    </w:p>
    <w:p w:rsidR="006D2417" w:rsidRPr="00B87BA5" w:rsidRDefault="006D2417" w:rsidP="006D2417">
      <w:pPr>
        <w:pStyle w:val="Textoindependiente"/>
        <w:widowControl w:val="0"/>
        <w:tabs>
          <w:tab w:val="left" w:pos="7797"/>
        </w:tabs>
        <w:jc w:val="center"/>
        <w:rPr>
          <w:rFonts w:ascii="Arial Narrow" w:hAnsi="Arial Narrow" w:cs="Arial"/>
          <w:sz w:val="24"/>
          <w:szCs w:val="24"/>
        </w:rPr>
      </w:pPr>
    </w:p>
    <w:p w:rsidR="006D2417" w:rsidRPr="00B87BA5" w:rsidRDefault="001A44B7" w:rsidP="006D2417">
      <w:pPr>
        <w:pStyle w:val="Prrafodelista"/>
        <w:numPr>
          <w:ilvl w:val="0"/>
          <w:numId w:val="2"/>
        </w:numPr>
        <w:ind w:left="284" w:hanging="284"/>
        <w:contextualSpacing w:val="0"/>
        <w:rPr>
          <w:rFonts w:ascii="Arial Narrow" w:hAnsi="Arial Narrow" w:cs="Arial"/>
          <w:b/>
          <w:sz w:val="24"/>
          <w:szCs w:val="24"/>
        </w:rPr>
      </w:pPr>
      <w:r>
        <w:rPr>
          <w:rFonts w:ascii="Arial Narrow" w:hAnsi="Arial Narrow" w:cs="Arial"/>
          <w:b/>
          <w:sz w:val="24"/>
          <w:szCs w:val="24"/>
          <w:lang w:val="es-ES"/>
        </w:rPr>
        <w:t>A</w:t>
      </w:r>
      <w:r>
        <w:rPr>
          <w:rFonts w:ascii="Arial Narrow" w:hAnsi="Arial Narrow" w:cs="Arial"/>
          <w:b/>
          <w:sz w:val="24"/>
          <w:szCs w:val="24"/>
        </w:rPr>
        <w:t>ntecedentes</w:t>
      </w:r>
      <w:r w:rsidR="006D2417" w:rsidRPr="00B87BA5">
        <w:rPr>
          <w:rFonts w:ascii="Arial Narrow" w:hAnsi="Arial Narrow" w:cs="Arial"/>
          <w:b/>
          <w:sz w:val="24"/>
          <w:szCs w:val="24"/>
        </w:rPr>
        <w:t xml:space="preserve"> que justifican la expedición</w:t>
      </w:r>
    </w:p>
    <w:p w:rsidR="00DF7AE2" w:rsidRPr="00B87BA5" w:rsidRDefault="00DF7AE2" w:rsidP="00DF7AE2">
      <w:pPr>
        <w:rPr>
          <w:rFonts w:ascii="Arial Narrow" w:hAnsi="Arial Narrow" w:cs="Arial"/>
          <w:b/>
          <w:sz w:val="24"/>
          <w:szCs w:val="24"/>
        </w:rPr>
      </w:pPr>
    </w:p>
    <w:p w:rsidR="003A7F16" w:rsidRPr="00B87BA5" w:rsidRDefault="009F38A5" w:rsidP="00DF7AE2">
      <w:pPr>
        <w:rPr>
          <w:rFonts w:ascii="Arial Narrow" w:hAnsi="Arial Narrow" w:cs="Arial"/>
          <w:sz w:val="24"/>
          <w:szCs w:val="24"/>
        </w:rPr>
      </w:pPr>
      <w:r w:rsidRPr="00B87BA5">
        <w:rPr>
          <w:rFonts w:ascii="Arial Narrow" w:hAnsi="Arial Narrow" w:cs="Arial"/>
          <w:sz w:val="24"/>
          <w:szCs w:val="24"/>
        </w:rPr>
        <w:t>La resolución 668 de 2016, busca promover el uso racional de bolsas plásticas, dentro del cual se incluye la distribución únicamente de las bolsas que se requieren para el transporte de mercancías y evitar la distribución indiscriminada de bolsas.</w:t>
      </w:r>
    </w:p>
    <w:p w:rsidR="000F00A9" w:rsidRDefault="000F00A9" w:rsidP="000F00A9">
      <w:pPr>
        <w:rPr>
          <w:rFonts w:ascii="Arial Narrow" w:hAnsi="Arial Narrow"/>
          <w:sz w:val="24"/>
          <w:szCs w:val="24"/>
        </w:rPr>
      </w:pPr>
    </w:p>
    <w:p w:rsidR="004452C6" w:rsidRPr="004452C6" w:rsidRDefault="004452C6" w:rsidP="004452C6">
      <w:pPr>
        <w:rPr>
          <w:rFonts w:ascii="Arial Narrow" w:hAnsi="Arial Narrow"/>
          <w:sz w:val="24"/>
          <w:szCs w:val="24"/>
        </w:rPr>
      </w:pPr>
      <w:r w:rsidRPr="004452C6">
        <w:rPr>
          <w:rFonts w:ascii="Arial Narrow" w:hAnsi="Arial Narrow"/>
          <w:sz w:val="24"/>
          <w:szCs w:val="24"/>
        </w:rPr>
        <w:t>Según lo establecido en el CONPES3874  de 2016,  en Colombia persiste una problemática sobre la gestión de residuos, que identifica entre otros, lo siguiente:</w:t>
      </w:r>
    </w:p>
    <w:p w:rsidR="001A44B7" w:rsidRDefault="001A44B7" w:rsidP="001A44B7">
      <w:pPr>
        <w:rPr>
          <w:rFonts w:ascii="Arial Narrow" w:hAnsi="Arial Narrow"/>
          <w:sz w:val="24"/>
          <w:szCs w:val="24"/>
        </w:rPr>
      </w:pPr>
    </w:p>
    <w:p w:rsidR="004452C6" w:rsidRPr="001A44B7" w:rsidRDefault="004452C6" w:rsidP="001A44B7">
      <w:pPr>
        <w:pStyle w:val="Prrafodelista"/>
        <w:numPr>
          <w:ilvl w:val="0"/>
          <w:numId w:val="20"/>
        </w:numPr>
        <w:rPr>
          <w:rFonts w:ascii="Arial Narrow" w:hAnsi="Arial Narrow"/>
          <w:sz w:val="24"/>
          <w:szCs w:val="24"/>
        </w:rPr>
      </w:pPr>
      <w:r w:rsidRPr="001A44B7">
        <w:rPr>
          <w:rFonts w:ascii="Arial Narrow" w:hAnsi="Arial Narrow"/>
          <w:sz w:val="24"/>
          <w:szCs w:val="24"/>
        </w:rPr>
        <w:t>Sostenibilidad en el mediano y largo plazo del modelo lineal de manejo de residuos: no hay incentivos para el aprovechamiento, la gran mayoría de los residuos sólidos generados terminan su ciclo de vida en los rellenos sanitarios (modelo lineal).</w:t>
      </w:r>
    </w:p>
    <w:p w:rsidR="004452C6" w:rsidRPr="004452C6" w:rsidRDefault="004452C6" w:rsidP="004452C6">
      <w:pPr>
        <w:rPr>
          <w:rFonts w:ascii="Arial Narrow" w:hAnsi="Arial Narrow"/>
          <w:sz w:val="24"/>
          <w:szCs w:val="24"/>
        </w:rPr>
      </w:pPr>
    </w:p>
    <w:p w:rsidR="004452C6" w:rsidRPr="001A44B7" w:rsidRDefault="004452C6" w:rsidP="001A44B7">
      <w:pPr>
        <w:pStyle w:val="Prrafodelista"/>
        <w:numPr>
          <w:ilvl w:val="0"/>
          <w:numId w:val="21"/>
        </w:numPr>
        <w:rPr>
          <w:rFonts w:ascii="Arial Narrow" w:hAnsi="Arial Narrow"/>
          <w:sz w:val="24"/>
          <w:szCs w:val="24"/>
        </w:rPr>
      </w:pPr>
      <w:r w:rsidRPr="001A44B7">
        <w:rPr>
          <w:rFonts w:ascii="Arial Narrow" w:hAnsi="Arial Narrow"/>
          <w:sz w:val="24"/>
          <w:szCs w:val="24"/>
        </w:rPr>
        <w:t>Disponibilidad de suelos para efectuar la disposición final no está acorde con la creciente generación de residuos: El 83% de los residuos sólidos domiciliarios que se generan van a los rellenos sanitarios y solo el 17% es recuperado por recicladores para su reincorporación al ciclo productivo (DNP y BM, 2015). Si se continúa con la misma dinámica de generación de residuos, sin adecuadas medidas para mejorar su aprovechamiento o tratamiento, y con patrones de producción y consumo insostenibles, en el año 2030 tendremos emergencias sanitarias en la mayoría de ciudades del país y una alta generación de emisiones de GEI. Se generarán 18,74 millones de toneladas anuales de residuos.</w:t>
      </w:r>
    </w:p>
    <w:p w:rsidR="001A44B7" w:rsidRDefault="001A44B7" w:rsidP="004452C6">
      <w:pPr>
        <w:rPr>
          <w:rFonts w:ascii="Arial Narrow" w:hAnsi="Arial Narrow"/>
          <w:sz w:val="24"/>
          <w:szCs w:val="24"/>
        </w:rPr>
      </w:pPr>
    </w:p>
    <w:p w:rsidR="004452C6" w:rsidRPr="001A44B7" w:rsidRDefault="004452C6" w:rsidP="001A44B7">
      <w:pPr>
        <w:pStyle w:val="Prrafodelista"/>
        <w:numPr>
          <w:ilvl w:val="0"/>
          <w:numId w:val="21"/>
        </w:numPr>
        <w:rPr>
          <w:rFonts w:ascii="Arial Narrow" w:hAnsi="Arial Narrow"/>
          <w:sz w:val="24"/>
          <w:szCs w:val="24"/>
        </w:rPr>
      </w:pPr>
      <w:r w:rsidRPr="001A44B7">
        <w:rPr>
          <w:rFonts w:ascii="Arial Narrow" w:hAnsi="Arial Narrow"/>
          <w:sz w:val="24"/>
          <w:szCs w:val="24"/>
        </w:rPr>
        <w:t xml:space="preserve">La política de disposición final requiere hacer frente a los retos faltantes: es necesario seguir avanzando en la solución de los siguientes retos: • El 38% (71) del total de sitios de disposición final de residuos cuentan con una vida útil menor a 3 años (SSPD, 2015) de acuerdo con su licencia ambiental. • Aún existen 124 municipios con sitios de disposición final inadecuados. • Asegurar que se realice las provisiones y se ejecuten las obras para la clausura y </w:t>
      </w:r>
      <w:proofErr w:type="spellStart"/>
      <w:r w:rsidRPr="001A44B7">
        <w:rPr>
          <w:rFonts w:ascii="Arial Narrow" w:hAnsi="Arial Narrow"/>
          <w:sz w:val="24"/>
          <w:szCs w:val="24"/>
        </w:rPr>
        <w:t>posclausura</w:t>
      </w:r>
      <w:proofErr w:type="spellEnd"/>
      <w:r w:rsidRPr="001A44B7">
        <w:rPr>
          <w:rFonts w:ascii="Arial Narrow" w:hAnsi="Arial Narrow"/>
          <w:sz w:val="24"/>
          <w:szCs w:val="24"/>
        </w:rPr>
        <w:t xml:space="preserve"> de los rellenos. • Mejorar las condiciones de operación de los rellenos sanitarios y seguir promoviendo la regionalización.</w:t>
      </w:r>
    </w:p>
    <w:p w:rsidR="004452C6" w:rsidRPr="004452C6" w:rsidRDefault="004452C6" w:rsidP="004452C6">
      <w:pPr>
        <w:rPr>
          <w:rFonts w:ascii="Arial Narrow" w:hAnsi="Arial Narrow"/>
          <w:sz w:val="24"/>
          <w:szCs w:val="24"/>
        </w:rPr>
      </w:pPr>
    </w:p>
    <w:p w:rsidR="004452C6" w:rsidRDefault="004452C6" w:rsidP="001A44B7">
      <w:pPr>
        <w:pStyle w:val="Prrafodelista"/>
        <w:numPr>
          <w:ilvl w:val="0"/>
          <w:numId w:val="20"/>
        </w:numPr>
        <w:rPr>
          <w:rFonts w:ascii="Arial Narrow" w:hAnsi="Arial Narrow"/>
          <w:sz w:val="24"/>
          <w:szCs w:val="24"/>
        </w:rPr>
      </w:pPr>
      <w:r w:rsidRPr="001A44B7">
        <w:rPr>
          <w:rFonts w:ascii="Arial Narrow" w:hAnsi="Arial Narrow"/>
          <w:sz w:val="24"/>
          <w:szCs w:val="24"/>
        </w:rPr>
        <w:t>La separación en la fuente es insuficiente y no garantiza un mayor aprovechamiento o tratamiento de residuos sólidos. Sin lo cual no es viable el aprovechamiento de residuos.</w:t>
      </w:r>
    </w:p>
    <w:p w:rsidR="001A44B7" w:rsidRDefault="001A44B7" w:rsidP="001A44B7">
      <w:pPr>
        <w:rPr>
          <w:rFonts w:ascii="Arial Narrow" w:hAnsi="Arial Narrow"/>
          <w:sz w:val="24"/>
          <w:szCs w:val="24"/>
        </w:rPr>
      </w:pPr>
    </w:p>
    <w:p w:rsidR="001A44B7" w:rsidRPr="001A44B7" w:rsidRDefault="001A44B7" w:rsidP="001A44B7">
      <w:pPr>
        <w:rPr>
          <w:rFonts w:ascii="Arial Narrow" w:hAnsi="Arial Narrow"/>
          <w:sz w:val="24"/>
          <w:szCs w:val="24"/>
        </w:rPr>
      </w:pPr>
    </w:p>
    <w:p w:rsidR="00FB6F02" w:rsidRPr="00B87BA5" w:rsidRDefault="00FB6F02" w:rsidP="00DF463E">
      <w:pPr>
        <w:rPr>
          <w:rFonts w:ascii="Arial Narrow" w:hAnsi="Arial Narrow" w:cs="Arial"/>
          <w:sz w:val="24"/>
          <w:szCs w:val="24"/>
        </w:rPr>
      </w:pPr>
    </w:p>
    <w:p w:rsidR="006D2417" w:rsidRPr="001A44B7" w:rsidRDefault="006D2417" w:rsidP="001A44B7">
      <w:pPr>
        <w:pStyle w:val="Prrafodelista"/>
        <w:numPr>
          <w:ilvl w:val="0"/>
          <w:numId w:val="2"/>
        </w:numPr>
        <w:outlineLvl w:val="0"/>
        <w:rPr>
          <w:rFonts w:ascii="Arial Narrow" w:hAnsi="Arial Narrow" w:cs="Arial"/>
          <w:b/>
          <w:sz w:val="24"/>
          <w:szCs w:val="24"/>
        </w:rPr>
      </w:pPr>
      <w:r w:rsidRPr="001A44B7">
        <w:rPr>
          <w:rFonts w:ascii="Arial Narrow" w:hAnsi="Arial Narrow" w:cs="Arial"/>
          <w:b/>
          <w:sz w:val="24"/>
          <w:szCs w:val="24"/>
        </w:rPr>
        <w:lastRenderedPageBreak/>
        <w:t>Razones de oportunidad y conveniencia que justifican la expedición</w:t>
      </w:r>
    </w:p>
    <w:p w:rsidR="00377317" w:rsidRPr="00B87BA5" w:rsidRDefault="00377317" w:rsidP="00377317">
      <w:pPr>
        <w:outlineLvl w:val="0"/>
        <w:rPr>
          <w:rFonts w:ascii="Arial Narrow" w:hAnsi="Arial Narrow" w:cs="Arial"/>
          <w:b/>
          <w:sz w:val="24"/>
          <w:szCs w:val="24"/>
        </w:rPr>
      </w:pPr>
    </w:p>
    <w:p w:rsidR="00977482" w:rsidRPr="004452C6" w:rsidRDefault="004452C6" w:rsidP="00977482">
      <w:pPr>
        <w:rPr>
          <w:rFonts w:ascii="Arial Narrow" w:hAnsi="Arial Narrow"/>
          <w:sz w:val="24"/>
          <w:szCs w:val="24"/>
        </w:rPr>
      </w:pPr>
      <w:r w:rsidRPr="004452C6">
        <w:rPr>
          <w:rFonts w:ascii="Arial Narrow" w:hAnsi="Arial Narrow"/>
          <w:sz w:val="24"/>
          <w:szCs w:val="24"/>
        </w:rPr>
        <w:t xml:space="preserve">El aprovechamiento de residuos </w:t>
      </w:r>
      <w:r w:rsidR="00977482" w:rsidRPr="004452C6">
        <w:rPr>
          <w:rFonts w:ascii="Arial Narrow" w:hAnsi="Arial Narrow"/>
          <w:sz w:val="24"/>
          <w:szCs w:val="24"/>
        </w:rPr>
        <w:t>tiene innumerables beneficios ambientales, sociales y económicos como</w:t>
      </w:r>
      <w:r w:rsidRPr="004452C6">
        <w:rPr>
          <w:rFonts w:ascii="Arial Narrow" w:hAnsi="Arial Narrow"/>
          <w:sz w:val="24"/>
          <w:szCs w:val="24"/>
        </w:rPr>
        <w:t>:</w:t>
      </w:r>
      <w:r w:rsidR="00977482" w:rsidRPr="004452C6">
        <w:rPr>
          <w:rFonts w:ascii="Arial Narrow" w:hAnsi="Arial Narrow"/>
          <w:sz w:val="24"/>
          <w:szCs w:val="24"/>
        </w:rPr>
        <w:t xml:space="preserve"> </w:t>
      </w:r>
    </w:p>
    <w:p w:rsidR="00977482" w:rsidRPr="00B87BA5" w:rsidRDefault="00977482" w:rsidP="00977482">
      <w:pPr>
        <w:rPr>
          <w:rFonts w:ascii="Arial Narrow" w:hAnsi="Arial Narrow"/>
          <w:sz w:val="24"/>
          <w:szCs w:val="24"/>
        </w:rPr>
      </w:pPr>
    </w:p>
    <w:p w:rsidR="00977482" w:rsidRPr="00B87BA5" w:rsidRDefault="00977482" w:rsidP="001A44B7">
      <w:pPr>
        <w:pStyle w:val="Prrafodelista"/>
        <w:numPr>
          <w:ilvl w:val="0"/>
          <w:numId w:val="22"/>
        </w:numPr>
        <w:jc w:val="left"/>
        <w:rPr>
          <w:rFonts w:ascii="Arial Narrow" w:hAnsi="Arial Narrow"/>
          <w:sz w:val="24"/>
          <w:szCs w:val="24"/>
        </w:rPr>
      </w:pPr>
      <w:r w:rsidRPr="00B87BA5">
        <w:rPr>
          <w:rFonts w:ascii="Arial Narrow" w:hAnsi="Arial Narrow"/>
          <w:sz w:val="24"/>
          <w:szCs w:val="24"/>
        </w:rPr>
        <w:t xml:space="preserve">La disminución de la presión sobre los recursos naturales </w:t>
      </w:r>
    </w:p>
    <w:p w:rsidR="00977482" w:rsidRPr="00B87BA5" w:rsidRDefault="00977482" w:rsidP="001A44B7">
      <w:pPr>
        <w:pStyle w:val="Prrafodelista"/>
        <w:numPr>
          <w:ilvl w:val="0"/>
          <w:numId w:val="22"/>
        </w:numPr>
        <w:jc w:val="left"/>
        <w:rPr>
          <w:rFonts w:ascii="Arial Narrow" w:hAnsi="Arial Narrow"/>
          <w:sz w:val="24"/>
          <w:szCs w:val="24"/>
        </w:rPr>
      </w:pPr>
      <w:r w:rsidRPr="00B87BA5">
        <w:rPr>
          <w:rFonts w:ascii="Arial Narrow" w:hAnsi="Arial Narrow"/>
          <w:sz w:val="24"/>
          <w:szCs w:val="24"/>
        </w:rPr>
        <w:t>Economías en los procesos productivos a usar material reciclado</w:t>
      </w:r>
    </w:p>
    <w:p w:rsidR="00977482" w:rsidRPr="00B87BA5" w:rsidRDefault="00977482" w:rsidP="001A44B7">
      <w:pPr>
        <w:pStyle w:val="Prrafodelista"/>
        <w:numPr>
          <w:ilvl w:val="0"/>
          <w:numId w:val="22"/>
        </w:numPr>
        <w:jc w:val="left"/>
        <w:rPr>
          <w:rFonts w:ascii="Arial Narrow" w:hAnsi="Arial Narrow"/>
          <w:sz w:val="24"/>
          <w:szCs w:val="24"/>
        </w:rPr>
      </w:pPr>
      <w:r w:rsidRPr="00B87BA5">
        <w:rPr>
          <w:rFonts w:ascii="Arial Narrow" w:hAnsi="Arial Narrow"/>
          <w:sz w:val="24"/>
          <w:szCs w:val="24"/>
        </w:rPr>
        <w:t>Generación de ingresos y empleo para población vulnerable</w:t>
      </w:r>
    </w:p>
    <w:p w:rsidR="00977482" w:rsidRPr="00B87BA5" w:rsidRDefault="00977482" w:rsidP="001A44B7">
      <w:pPr>
        <w:pStyle w:val="Prrafodelista"/>
        <w:numPr>
          <w:ilvl w:val="0"/>
          <w:numId w:val="22"/>
        </w:numPr>
        <w:jc w:val="left"/>
        <w:rPr>
          <w:rFonts w:ascii="Arial Narrow" w:hAnsi="Arial Narrow"/>
          <w:sz w:val="24"/>
          <w:szCs w:val="24"/>
        </w:rPr>
      </w:pPr>
      <w:r w:rsidRPr="00B87BA5">
        <w:rPr>
          <w:rFonts w:ascii="Arial Narrow" w:hAnsi="Arial Narrow"/>
          <w:sz w:val="24"/>
          <w:szCs w:val="24"/>
        </w:rPr>
        <w:t xml:space="preserve">Aumento de la vida útil de los rellenos sanitarios y disminución de impactos ambientales en dichos sitios. </w:t>
      </w:r>
    </w:p>
    <w:p w:rsidR="00977482" w:rsidRPr="00B87BA5" w:rsidRDefault="00977482" w:rsidP="00977482">
      <w:pPr>
        <w:rPr>
          <w:rFonts w:ascii="Arial Narrow" w:hAnsi="Arial Narrow"/>
          <w:sz w:val="24"/>
          <w:szCs w:val="24"/>
        </w:rPr>
      </w:pPr>
    </w:p>
    <w:p w:rsidR="00977482" w:rsidRPr="00B87BA5" w:rsidRDefault="00977482" w:rsidP="00977482">
      <w:pPr>
        <w:rPr>
          <w:rFonts w:ascii="Arial Narrow" w:hAnsi="Arial Narrow"/>
          <w:sz w:val="24"/>
          <w:szCs w:val="24"/>
        </w:rPr>
      </w:pPr>
      <w:r w:rsidRPr="00B87BA5">
        <w:rPr>
          <w:rFonts w:ascii="Arial Narrow" w:hAnsi="Arial Narrow"/>
          <w:sz w:val="24"/>
          <w:szCs w:val="24"/>
        </w:rPr>
        <w:t xml:space="preserve">La </w:t>
      </w:r>
      <w:r w:rsidRPr="004452C6">
        <w:rPr>
          <w:rFonts w:ascii="Arial Narrow" w:hAnsi="Arial Narrow"/>
          <w:sz w:val="24"/>
          <w:szCs w:val="24"/>
        </w:rPr>
        <w:t>gestión diferencial de</w:t>
      </w:r>
      <w:r w:rsidRPr="00B87BA5">
        <w:rPr>
          <w:rFonts w:ascii="Arial Narrow" w:hAnsi="Arial Narrow"/>
          <w:sz w:val="24"/>
          <w:szCs w:val="24"/>
        </w:rPr>
        <w:t xml:space="preserve"> los residuos es necesaria  para que no se contaminen entre sí y para evitar residuos en los sitios de aprovechamiento.</w:t>
      </w:r>
      <w:r w:rsidR="004452C6">
        <w:rPr>
          <w:rFonts w:ascii="Arial Narrow" w:hAnsi="Arial Narrow"/>
          <w:sz w:val="24"/>
          <w:szCs w:val="24"/>
        </w:rPr>
        <w:t xml:space="preserve"> </w:t>
      </w:r>
      <w:r w:rsidRPr="00B87BA5">
        <w:rPr>
          <w:rFonts w:ascii="Arial Narrow" w:hAnsi="Arial Narrow"/>
          <w:sz w:val="24"/>
          <w:szCs w:val="24"/>
        </w:rPr>
        <w:t>En ese contexto,  los residuos reciclables (papel y cartón, vidrio, plástico, metales) deben separarse y depositarse en un recipiente independiente de los residuos orgánicos y estos últimos igualmente deben separarse de los residuos que no se pueden aprovechar (</w:t>
      </w:r>
      <w:proofErr w:type="spellStart"/>
      <w:r w:rsidRPr="00B87BA5">
        <w:rPr>
          <w:rFonts w:ascii="Arial Narrow" w:hAnsi="Arial Narrow"/>
          <w:sz w:val="24"/>
          <w:szCs w:val="24"/>
        </w:rPr>
        <w:t>p.e</w:t>
      </w:r>
      <w:proofErr w:type="spellEnd"/>
      <w:r w:rsidRPr="00B87BA5">
        <w:rPr>
          <w:rFonts w:ascii="Arial Narrow" w:hAnsi="Arial Narrow"/>
          <w:sz w:val="24"/>
          <w:szCs w:val="24"/>
        </w:rPr>
        <w:t>. residuos sani</w:t>
      </w:r>
      <w:r w:rsidR="004452C6">
        <w:rPr>
          <w:rFonts w:ascii="Arial Narrow" w:hAnsi="Arial Narrow"/>
          <w:sz w:val="24"/>
          <w:szCs w:val="24"/>
        </w:rPr>
        <w:t>tarios) y que deben ir a disposición final</w:t>
      </w:r>
      <w:r w:rsidRPr="00B87BA5">
        <w:rPr>
          <w:rFonts w:ascii="Arial Narrow" w:hAnsi="Arial Narrow"/>
          <w:sz w:val="24"/>
          <w:szCs w:val="24"/>
        </w:rPr>
        <w:t>.</w:t>
      </w:r>
    </w:p>
    <w:p w:rsidR="00977482" w:rsidRPr="00B87BA5" w:rsidRDefault="00977482" w:rsidP="00977482">
      <w:pPr>
        <w:rPr>
          <w:rFonts w:ascii="Arial Narrow" w:hAnsi="Arial Narrow"/>
          <w:sz w:val="24"/>
          <w:szCs w:val="24"/>
        </w:rPr>
      </w:pPr>
    </w:p>
    <w:p w:rsidR="00977482" w:rsidRPr="00B87BA5" w:rsidRDefault="00977482" w:rsidP="00977482">
      <w:pPr>
        <w:rPr>
          <w:rFonts w:ascii="Arial Narrow" w:hAnsi="Arial Narrow"/>
          <w:sz w:val="24"/>
          <w:szCs w:val="24"/>
        </w:rPr>
      </w:pPr>
      <w:r w:rsidRPr="00B87BA5">
        <w:rPr>
          <w:rFonts w:ascii="Arial Narrow" w:hAnsi="Arial Narrow"/>
          <w:sz w:val="24"/>
          <w:szCs w:val="24"/>
        </w:rPr>
        <w:t xml:space="preserve">Dicha </w:t>
      </w:r>
      <w:r w:rsidRPr="004452C6">
        <w:rPr>
          <w:rFonts w:ascii="Arial Narrow" w:hAnsi="Arial Narrow"/>
          <w:sz w:val="24"/>
          <w:szCs w:val="24"/>
        </w:rPr>
        <w:t>gestión diferencial inicia con la separación en la fuente que debe ser realizada por el consumidor de bienes y servicios en sus domicilios, continúa con la</w:t>
      </w:r>
      <w:r w:rsidRPr="00B87BA5">
        <w:rPr>
          <w:rFonts w:ascii="Arial Narrow" w:hAnsi="Arial Narrow"/>
          <w:sz w:val="24"/>
          <w:szCs w:val="24"/>
        </w:rPr>
        <w:t xml:space="preserve"> recolección y transporte en rutas de reciclaje hasta los sitios de almacenamiento, acondicionamiento y transformación en materias primas para su reincorporación en nuevos procesos productivos. En ese momento se completa lo que se ha denominado a nivel nacional e internacional, la economía circular.</w:t>
      </w:r>
    </w:p>
    <w:p w:rsidR="00977482" w:rsidRPr="00B87BA5" w:rsidRDefault="00977482" w:rsidP="00977482">
      <w:pPr>
        <w:rPr>
          <w:rFonts w:ascii="Arial Narrow" w:hAnsi="Arial Narrow"/>
          <w:sz w:val="24"/>
          <w:szCs w:val="24"/>
        </w:rPr>
      </w:pPr>
    </w:p>
    <w:p w:rsidR="00977482" w:rsidRPr="00B87BA5" w:rsidRDefault="00977482" w:rsidP="00977482">
      <w:pPr>
        <w:rPr>
          <w:rFonts w:ascii="Arial Narrow" w:hAnsi="Arial Narrow"/>
          <w:sz w:val="24"/>
          <w:szCs w:val="24"/>
        </w:rPr>
      </w:pPr>
      <w:r w:rsidRPr="00B87BA5">
        <w:rPr>
          <w:rFonts w:ascii="Arial Narrow" w:hAnsi="Arial Narrow"/>
          <w:sz w:val="24"/>
          <w:szCs w:val="24"/>
        </w:rPr>
        <w:t>Por lo anterior, se considera de vital importancia, desarrollar un proceso de cultura ciudadana orientado a  promover la separación en la fuente, como actividad fundamental para viabilizar el reciclaje.</w:t>
      </w:r>
    </w:p>
    <w:p w:rsidR="00033E6B" w:rsidRPr="00B87BA5" w:rsidRDefault="00033E6B" w:rsidP="00033E6B">
      <w:pPr>
        <w:rPr>
          <w:rFonts w:ascii="Arial Narrow" w:hAnsi="Arial Narrow" w:cs="Arial"/>
          <w:sz w:val="24"/>
          <w:szCs w:val="24"/>
        </w:rPr>
      </w:pPr>
    </w:p>
    <w:p w:rsidR="00660FBE" w:rsidRPr="00B87BA5" w:rsidRDefault="00660FBE" w:rsidP="00660FBE">
      <w:pPr>
        <w:outlineLvl w:val="0"/>
        <w:rPr>
          <w:rFonts w:ascii="Arial Narrow" w:hAnsi="Arial Narrow" w:cs="Arial"/>
          <w:sz w:val="24"/>
          <w:szCs w:val="24"/>
        </w:rPr>
      </w:pPr>
    </w:p>
    <w:p w:rsidR="006D2417" w:rsidRPr="00B87BA5" w:rsidRDefault="006D2417" w:rsidP="001A44B7">
      <w:pPr>
        <w:pStyle w:val="Prrafodelista"/>
        <w:numPr>
          <w:ilvl w:val="0"/>
          <w:numId w:val="2"/>
        </w:numPr>
        <w:ind w:left="284" w:hanging="284"/>
        <w:contextualSpacing w:val="0"/>
        <w:rPr>
          <w:rFonts w:ascii="Arial Narrow" w:hAnsi="Arial Narrow" w:cs="Arial"/>
          <w:b/>
          <w:sz w:val="24"/>
          <w:szCs w:val="24"/>
        </w:rPr>
      </w:pPr>
      <w:r w:rsidRPr="00B87BA5">
        <w:rPr>
          <w:rFonts w:ascii="Arial Narrow" w:hAnsi="Arial Narrow" w:cs="Arial"/>
          <w:b/>
          <w:sz w:val="24"/>
          <w:szCs w:val="24"/>
        </w:rPr>
        <w:t>Ámbito de aplicación y sujetos a la que va dirigida</w:t>
      </w:r>
    </w:p>
    <w:p w:rsidR="00E52239" w:rsidRPr="00B87BA5" w:rsidRDefault="00E52239" w:rsidP="00E52239">
      <w:pPr>
        <w:rPr>
          <w:rFonts w:ascii="Arial Narrow" w:hAnsi="Arial Narrow" w:cs="Arial"/>
          <w:b/>
          <w:sz w:val="24"/>
          <w:szCs w:val="24"/>
        </w:rPr>
      </w:pPr>
    </w:p>
    <w:p w:rsidR="00CE0245" w:rsidRPr="00B87BA5" w:rsidRDefault="00E52239" w:rsidP="00E52239">
      <w:pPr>
        <w:rPr>
          <w:rFonts w:ascii="Arial Narrow" w:hAnsi="Arial Narrow" w:cs="Arial"/>
          <w:sz w:val="24"/>
          <w:szCs w:val="24"/>
          <w:lang w:eastAsia="es-CO"/>
        </w:rPr>
      </w:pPr>
      <w:r w:rsidRPr="00B87BA5">
        <w:rPr>
          <w:rFonts w:ascii="Arial Narrow" w:hAnsi="Arial Narrow" w:cs="Arial"/>
          <w:sz w:val="24"/>
          <w:szCs w:val="24"/>
          <w:lang w:eastAsia="es-CO"/>
        </w:rPr>
        <w:t xml:space="preserve">El alcance de las disposiciones establecidas en el proyecto normativo </w:t>
      </w:r>
      <w:r w:rsidR="007A7318" w:rsidRPr="00B87BA5">
        <w:rPr>
          <w:rFonts w:ascii="Arial Narrow" w:hAnsi="Arial Narrow" w:cs="Arial"/>
          <w:sz w:val="24"/>
          <w:szCs w:val="24"/>
          <w:lang w:eastAsia="es-CO"/>
        </w:rPr>
        <w:t xml:space="preserve"> aplica a distribuidores de bolsas plásticas,  los almacenes de cadena, grandes superficies comerciales, </w:t>
      </w:r>
      <w:proofErr w:type="spellStart"/>
      <w:r w:rsidR="007A7318" w:rsidRPr="00B87BA5">
        <w:rPr>
          <w:rFonts w:ascii="Arial Narrow" w:hAnsi="Arial Narrow" w:cs="Arial"/>
          <w:sz w:val="24"/>
          <w:szCs w:val="24"/>
          <w:lang w:eastAsia="es-CO"/>
        </w:rPr>
        <w:t>superetes</w:t>
      </w:r>
      <w:proofErr w:type="spellEnd"/>
      <w:r w:rsidR="007A7318" w:rsidRPr="00B87BA5">
        <w:rPr>
          <w:rFonts w:ascii="Arial Narrow" w:hAnsi="Arial Narrow" w:cs="Arial"/>
          <w:sz w:val="24"/>
          <w:szCs w:val="24"/>
          <w:lang w:eastAsia="es-CO"/>
        </w:rPr>
        <w:t xml:space="preserve"> de cadena y farmacias de cadena que en ejercicio de su actividad comercial distribuyan bolsas plásticas en los puntos de pago.</w:t>
      </w:r>
    </w:p>
    <w:p w:rsidR="007A7318" w:rsidRDefault="007A7318" w:rsidP="00E52239">
      <w:pPr>
        <w:rPr>
          <w:rFonts w:ascii="Arial Narrow" w:hAnsi="Arial Narrow" w:cs="Arial"/>
          <w:sz w:val="24"/>
          <w:szCs w:val="24"/>
          <w:lang w:eastAsia="es-CO"/>
        </w:rPr>
      </w:pPr>
    </w:p>
    <w:p w:rsidR="001A44B7" w:rsidRDefault="001A44B7" w:rsidP="00E52239">
      <w:pPr>
        <w:rPr>
          <w:rFonts w:ascii="Arial Narrow" w:hAnsi="Arial Narrow" w:cs="Arial"/>
          <w:sz w:val="24"/>
          <w:szCs w:val="24"/>
          <w:lang w:eastAsia="es-CO"/>
        </w:rPr>
      </w:pPr>
    </w:p>
    <w:p w:rsidR="001A44B7" w:rsidRDefault="001A44B7" w:rsidP="00E52239">
      <w:pPr>
        <w:rPr>
          <w:rFonts w:ascii="Arial Narrow" w:hAnsi="Arial Narrow" w:cs="Arial"/>
          <w:sz w:val="24"/>
          <w:szCs w:val="24"/>
          <w:lang w:eastAsia="es-CO"/>
        </w:rPr>
      </w:pPr>
    </w:p>
    <w:p w:rsidR="001A44B7" w:rsidRDefault="001A44B7" w:rsidP="00E52239">
      <w:pPr>
        <w:rPr>
          <w:rFonts w:ascii="Arial Narrow" w:hAnsi="Arial Narrow" w:cs="Arial"/>
          <w:sz w:val="24"/>
          <w:szCs w:val="24"/>
          <w:lang w:eastAsia="es-CO"/>
        </w:rPr>
      </w:pPr>
    </w:p>
    <w:p w:rsidR="001A44B7" w:rsidRPr="00B87BA5" w:rsidRDefault="001A44B7" w:rsidP="00E52239">
      <w:pPr>
        <w:rPr>
          <w:rFonts w:ascii="Arial Narrow" w:hAnsi="Arial Narrow" w:cs="Arial"/>
          <w:sz w:val="24"/>
          <w:szCs w:val="24"/>
          <w:lang w:eastAsia="es-CO"/>
        </w:rPr>
      </w:pPr>
    </w:p>
    <w:p w:rsidR="007A7318" w:rsidRPr="00B87BA5" w:rsidRDefault="007A7318" w:rsidP="00E52239">
      <w:pPr>
        <w:rPr>
          <w:rFonts w:ascii="Arial Narrow" w:hAnsi="Arial Narrow" w:cs="Arial"/>
          <w:sz w:val="24"/>
          <w:szCs w:val="24"/>
          <w:lang w:eastAsia="es-CO"/>
        </w:rPr>
      </w:pPr>
    </w:p>
    <w:p w:rsidR="006D2417" w:rsidRPr="00B87BA5" w:rsidRDefault="006D2417" w:rsidP="001A44B7">
      <w:pPr>
        <w:pStyle w:val="Prrafodelista"/>
        <w:numPr>
          <w:ilvl w:val="0"/>
          <w:numId w:val="2"/>
        </w:numPr>
        <w:autoSpaceDE w:val="0"/>
        <w:ind w:left="284" w:hanging="284"/>
        <w:contextualSpacing w:val="0"/>
        <w:rPr>
          <w:rFonts w:ascii="Arial Narrow" w:hAnsi="Arial Narrow" w:cs="Arial"/>
          <w:b/>
          <w:sz w:val="24"/>
          <w:szCs w:val="24"/>
        </w:rPr>
      </w:pPr>
      <w:r w:rsidRPr="00B87BA5">
        <w:rPr>
          <w:rFonts w:ascii="Arial Narrow" w:hAnsi="Arial Narrow" w:cs="Arial"/>
          <w:b/>
          <w:sz w:val="24"/>
          <w:szCs w:val="24"/>
        </w:rPr>
        <w:lastRenderedPageBreak/>
        <w:t>Viabilidad Jurídica</w:t>
      </w:r>
    </w:p>
    <w:p w:rsidR="006D2417" w:rsidRPr="00B87BA5" w:rsidRDefault="006D2417" w:rsidP="006D2417">
      <w:pPr>
        <w:autoSpaceDE w:val="0"/>
        <w:rPr>
          <w:rFonts w:ascii="Arial Narrow" w:hAnsi="Arial Narrow" w:cs="Arial"/>
          <w:b/>
          <w:sz w:val="24"/>
          <w:szCs w:val="24"/>
        </w:rPr>
      </w:pPr>
    </w:p>
    <w:p w:rsidR="006D2417" w:rsidRPr="00B87BA5" w:rsidRDefault="006D2417" w:rsidP="001A44B7">
      <w:pPr>
        <w:pStyle w:val="Prrafodelista"/>
        <w:numPr>
          <w:ilvl w:val="1"/>
          <w:numId w:val="2"/>
        </w:numPr>
        <w:autoSpaceDE w:val="0"/>
        <w:ind w:left="720"/>
        <w:rPr>
          <w:rFonts w:ascii="Arial Narrow" w:hAnsi="Arial Narrow" w:cs="Arial"/>
          <w:b/>
          <w:sz w:val="24"/>
          <w:szCs w:val="24"/>
        </w:rPr>
      </w:pPr>
      <w:r w:rsidRPr="00B87BA5">
        <w:rPr>
          <w:rFonts w:ascii="Arial Narrow" w:hAnsi="Arial Narrow" w:cs="Arial"/>
          <w:b/>
          <w:sz w:val="24"/>
          <w:szCs w:val="24"/>
        </w:rPr>
        <w:t>Análisis expreso y detallado de las normas que otorgan la competencia para la expedición del correspondiente acto</w:t>
      </w:r>
      <w:r w:rsidR="00B27995" w:rsidRPr="00B87BA5">
        <w:rPr>
          <w:rFonts w:ascii="Arial Narrow" w:hAnsi="Arial Narrow" w:cs="Arial"/>
          <w:b/>
          <w:sz w:val="24"/>
          <w:szCs w:val="24"/>
        </w:rPr>
        <w:t>.</w:t>
      </w:r>
    </w:p>
    <w:p w:rsidR="006D2417" w:rsidRPr="00B87BA5" w:rsidRDefault="006D2417" w:rsidP="006D2417">
      <w:pPr>
        <w:pStyle w:val="Prrafodelista"/>
        <w:autoSpaceDE w:val="0"/>
        <w:rPr>
          <w:rFonts w:ascii="Arial Narrow" w:hAnsi="Arial Narrow" w:cs="Arial"/>
          <w:b/>
          <w:sz w:val="24"/>
          <w:szCs w:val="24"/>
        </w:rPr>
      </w:pPr>
    </w:p>
    <w:p w:rsidR="006D2417" w:rsidRPr="00B87BA5" w:rsidRDefault="006D2417" w:rsidP="006D2417">
      <w:pPr>
        <w:spacing w:after="100" w:afterAutospacing="1"/>
        <w:mirrorIndents/>
        <w:rPr>
          <w:rFonts w:ascii="Arial Narrow" w:hAnsi="Arial Narrow" w:cs="Arial"/>
          <w:sz w:val="24"/>
          <w:szCs w:val="24"/>
        </w:rPr>
      </w:pPr>
      <w:r w:rsidRPr="00B87BA5">
        <w:rPr>
          <w:rFonts w:ascii="Arial Narrow" w:hAnsi="Arial Narrow" w:cs="Arial"/>
          <w:sz w:val="24"/>
          <w:szCs w:val="24"/>
        </w:rPr>
        <w:t xml:space="preserve">Los artículos 79 y 80 de la Constitución Política consagran el derecho colectivo a gozar de un ambiente sano y el deber del Estado de proteger la diversidad e integridad del ambiente. </w:t>
      </w:r>
    </w:p>
    <w:p w:rsidR="006D2417" w:rsidRPr="00B87BA5" w:rsidDel="0049650E" w:rsidRDefault="006D2417" w:rsidP="006D2417">
      <w:pPr>
        <w:spacing w:after="100" w:afterAutospacing="1"/>
        <w:mirrorIndents/>
        <w:rPr>
          <w:rFonts w:ascii="Arial Narrow" w:hAnsi="Arial Narrow" w:cs="Arial"/>
          <w:sz w:val="24"/>
          <w:szCs w:val="24"/>
        </w:rPr>
      </w:pPr>
      <w:r w:rsidRPr="00B87BA5">
        <w:rPr>
          <w:rFonts w:ascii="Arial Narrow" w:hAnsi="Arial Narrow" w:cs="Arial"/>
          <w:sz w:val="24"/>
          <w:szCs w:val="24"/>
        </w:rPr>
        <w:t>E</w:t>
      </w:r>
      <w:r w:rsidRPr="00B87BA5" w:rsidDel="0049650E">
        <w:rPr>
          <w:rFonts w:ascii="Arial Narrow" w:hAnsi="Arial Narrow" w:cs="Arial"/>
          <w:sz w:val="24"/>
          <w:szCs w:val="24"/>
        </w:rPr>
        <w:t xml:space="preserve">l Decreto Ley 2811 de 1974, estableció los factores que contribuyen a la degradación del medio ambiente y señaló </w:t>
      </w:r>
      <w:r w:rsidR="004A7A1A" w:rsidRPr="00B87BA5" w:rsidDel="0049650E">
        <w:rPr>
          <w:rFonts w:ascii="Arial Narrow" w:hAnsi="Arial Narrow" w:cs="Arial"/>
          <w:sz w:val="24"/>
          <w:szCs w:val="24"/>
        </w:rPr>
        <w:t>que,</w:t>
      </w:r>
      <w:r w:rsidRPr="00B87BA5" w:rsidDel="0049650E">
        <w:rPr>
          <w:rFonts w:ascii="Arial Narrow" w:hAnsi="Arial Narrow" w:cs="Arial"/>
          <w:sz w:val="24"/>
          <w:szCs w:val="24"/>
        </w:rPr>
        <w:t xml:space="preserve"> en el manejo de residuos, basuras, desechos y desperdicios, se deberán utilizar los mejores métodos de acuerdo con los avances de la ciencia y la tecnología y reintegrar al proceso natural económico los residuos provenientes de las actividades domésticas o de núcleos humanos en gener</w:t>
      </w:r>
      <w:r w:rsidRPr="00B87BA5">
        <w:rPr>
          <w:rFonts w:ascii="Arial Narrow" w:hAnsi="Arial Narrow" w:cs="Arial"/>
          <w:sz w:val="24"/>
          <w:szCs w:val="24"/>
        </w:rPr>
        <w:t>al.</w:t>
      </w:r>
    </w:p>
    <w:p w:rsidR="006D2417" w:rsidRPr="00B87BA5" w:rsidRDefault="006D2417" w:rsidP="006D2417">
      <w:pPr>
        <w:spacing w:after="100" w:afterAutospacing="1"/>
        <w:mirrorIndents/>
        <w:rPr>
          <w:rFonts w:ascii="Arial Narrow" w:hAnsi="Arial Narrow" w:cs="Arial"/>
          <w:sz w:val="24"/>
          <w:szCs w:val="24"/>
        </w:rPr>
      </w:pPr>
      <w:r w:rsidRPr="00B87BA5">
        <w:rPr>
          <w:rFonts w:ascii="Arial Narrow" w:hAnsi="Arial Narrow" w:cs="Arial"/>
          <w:sz w:val="24"/>
          <w:szCs w:val="24"/>
        </w:rPr>
        <w:t>De igual manera, en</w:t>
      </w:r>
      <w:r w:rsidRPr="00B87BA5" w:rsidDel="0049650E">
        <w:rPr>
          <w:rFonts w:ascii="Arial Narrow" w:hAnsi="Arial Narrow" w:cs="Arial"/>
          <w:sz w:val="24"/>
          <w:szCs w:val="24"/>
        </w:rPr>
        <w:t xml:space="preserve"> el artículo 8º del Decreto Ley 2811 de 1974 se consideran factores que deterioran el ambiente, entre otros; la contaminación del aire, de las aguas, del suelo y de los demás recursos naturales renovables, la degradación, la erosión y el revenimiento de suelos y tierras, las alteraciones nocivas de la </w:t>
      </w:r>
      <w:r w:rsidR="004547C4" w:rsidRPr="00B87BA5" w:rsidDel="0049650E">
        <w:rPr>
          <w:rFonts w:ascii="Arial Narrow" w:hAnsi="Arial Narrow" w:cs="Arial"/>
          <w:sz w:val="24"/>
          <w:szCs w:val="24"/>
        </w:rPr>
        <w:t>topografía,</w:t>
      </w:r>
      <w:r w:rsidRPr="00B87BA5" w:rsidDel="0049650E">
        <w:rPr>
          <w:rFonts w:ascii="Arial Narrow" w:hAnsi="Arial Narrow" w:cs="Arial"/>
          <w:sz w:val="24"/>
          <w:szCs w:val="24"/>
        </w:rPr>
        <w:t xml:space="preserve"> así como la acumulación o disposición inadecuada de residuos, basuras, desechos y desperdicios.</w:t>
      </w:r>
    </w:p>
    <w:p w:rsidR="00F70332" w:rsidRPr="00B87BA5" w:rsidRDefault="00B27995" w:rsidP="00F70332">
      <w:pPr>
        <w:spacing w:after="100" w:afterAutospacing="1"/>
        <w:mirrorIndents/>
        <w:rPr>
          <w:rFonts w:ascii="Arial Narrow" w:hAnsi="Arial Narrow" w:cs="Arial"/>
          <w:sz w:val="24"/>
          <w:szCs w:val="24"/>
        </w:rPr>
      </w:pPr>
      <w:r w:rsidRPr="00B87BA5">
        <w:rPr>
          <w:rFonts w:ascii="Arial Narrow" w:hAnsi="Arial Narrow" w:cs="Arial"/>
          <w:sz w:val="24"/>
          <w:szCs w:val="24"/>
        </w:rPr>
        <w:t xml:space="preserve">Por su parte, </w:t>
      </w:r>
      <w:r w:rsidR="00F70332" w:rsidRPr="00B87BA5">
        <w:rPr>
          <w:rFonts w:ascii="Arial Narrow" w:hAnsi="Arial Narrow" w:cs="Arial"/>
          <w:sz w:val="24"/>
          <w:szCs w:val="24"/>
        </w:rPr>
        <w:t>el numeral 10 y 14 del artículo 5 de la ley 99 de 1993 establece como funciones para el Ministerio de Ambiente y Desarrollo Sostenible, respectivamente: definir  y regular los instrumentos administrativos y mecanismos necesarios para la prevención y el control de los factores de deterioro ambiental y determinar los criterios de evaluación, seguimiento y manejo ambientales de las actividades económicas; y determinar las normas ambientales mínimas y las regulaciones de carácter general sobre medio ambiente a las que deberán sujetarse los centros urbanos y asentamientos humanos y las actividades mineras, industriales, de transporte y en general todo servicio o actividad que pueda generar directa o in</w:t>
      </w:r>
      <w:r w:rsidRPr="00B87BA5">
        <w:rPr>
          <w:rFonts w:ascii="Arial Narrow" w:hAnsi="Arial Narrow" w:cs="Arial"/>
          <w:sz w:val="24"/>
          <w:szCs w:val="24"/>
        </w:rPr>
        <w:t>directamente daños ambientales;</w:t>
      </w:r>
    </w:p>
    <w:p w:rsidR="002704E6" w:rsidRPr="00B87BA5" w:rsidRDefault="002704E6" w:rsidP="002704E6">
      <w:pPr>
        <w:autoSpaceDE w:val="0"/>
        <w:autoSpaceDN w:val="0"/>
        <w:adjustRightInd w:val="0"/>
        <w:rPr>
          <w:rFonts w:ascii="Arial Narrow" w:hAnsi="Arial Narrow" w:cs="Arial"/>
          <w:sz w:val="24"/>
          <w:szCs w:val="24"/>
          <w:lang w:val="es-ES"/>
        </w:rPr>
      </w:pPr>
      <w:r w:rsidRPr="00B87BA5">
        <w:rPr>
          <w:rFonts w:ascii="Arial Narrow" w:hAnsi="Arial Narrow" w:cs="Arial"/>
          <w:sz w:val="24"/>
          <w:szCs w:val="24"/>
          <w:lang w:val="es-ES"/>
        </w:rPr>
        <w:t>Así mismo, el numeral 25 de la mencionada ley 99 de 1993, define para el ministerio la función del establecer los límites máximos permisibles de emisión, descarga, transporte o depósito de substancias, productos, compuestos o cualquier otra materia que pueda afectar el medio ambiente o los recursos naturales renovables; del mismo modo, prohibir, restringir o regular la fabricación, distribución, uso, disposición o vertimiento de sustancias causantes de degradación ambiental. Los límites máximos se establecerán con base en estudios técnicos, sin perjuicio del principio de precaución;</w:t>
      </w:r>
    </w:p>
    <w:p w:rsidR="002704E6" w:rsidRPr="00B87BA5" w:rsidRDefault="002704E6" w:rsidP="002704E6">
      <w:pPr>
        <w:autoSpaceDE w:val="0"/>
        <w:autoSpaceDN w:val="0"/>
        <w:adjustRightInd w:val="0"/>
        <w:rPr>
          <w:rFonts w:ascii="Arial Narrow" w:hAnsi="Arial Narrow" w:cs="Arial"/>
          <w:sz w:val="24"/>
          <w:szCs w:val="24"/>
        </w:rPr>
      </w:pPr>
    </w:p>
    <w:p w:rsidR="00F70332" w:rsidRPr="00B87BA5" w:rsidRDefault="00B27995" w:rsidP="00F70332">
      <w:pPr>
        <w:spacing w:after="100" w:afterAutospacing="1"/>
        <w:mirrorIndents/>
        <w:rPr>
          <w:rFonts w:ascii="Arial Narrow" w:hAnsi="Arial Narrow" w:cs="Arial"/>
          <w:sz w:val="24"/>
          <w:szCs w:val="24"/>
        </w:rPr>
      </w:pPr>
      <w:r w:rsidRPr="00B87BA5">
        <w:rPr>
          <w:rFonts w:ascii="Arial Narrow" w:hAnsi="Arial Narrow" w:cs="Arial"/>
          <w:sz w:val="24"/>
          <w:szCs w:val="24"/>
        </w:rPr>
        <w:t xml:space="preserve">En consonancia con lo anterior, el </w:t>
      </w:r>
      <w:r w:rsidR="00F70332" w:rsidRPr="00B87BA5">
        <w:rPr>
          <w:rFonts w:ascii="Arial Narrow" w:hAnsi="Arial Narrow" w:cs="Arial"/>
          <w:sz w:val="24"/>
          <w:szCs w:val="24"/>
        </w:rPr>
        <w:t xml:space="preserve">artículo 2 del decreto 3570 de 2011, establece que son funciones del Ministerio de Ambiente y Desarrollo Sostenible, entre otras, 2. Diseñar y regular las políticas públicas y las condiciones generales para el saneamiento del ambiente, y el uso, manejo, </w:t>
      </w:r>
      <w:r w:rsidR="00F70332" w:rsidRPr="00B87BA5">
        <w:rPr>
          <w:rFonts w:ascii="Arial Narrow" w:hAnsi="Arial Narrow" w:cs="Arial"/>
          <w:sz w:val="24"/>
          <w:szCs w:val="24"/>
        </w:rPr>
        <w:lastRenderedPageBreak/>
        <w:t xml:space="preserve">aprovechamiento, conservación, restauración y recuperación de los recursos naturales, a fin de impedir, reprimir, eliminar o mitigar el impacto de actividades contaminantes, </w:t>
      </w:r>
      <w:proofErr w:type="spellStart"/>
      <w:r w:rsidR="00F70332" w:rsidRPr="00B87BA5">
        <w:rPr>
          <w:rFonts w:ascii="Arial Narrow" w:hAnsi="Arial Narrow" w:cs="Arial"/>
          <w:sz w:val="24"/>
          <w:szCs w:val="24"/>
        </w:rPr>
        <w:t>deteriorantes</w:t>
      </w:r>
      <w:proofErr w:type="spellEnd"/>
      <w:r w:rsidR="00F70332" w:rsidRPr="00B87BA5">
        <w:rPr>
          <w:rFonts w:ascii="Arial Narrow" w:hAnsi="Arial Narrow" w:cs="Arial"/>
          <w:sz w:val="24"/>
          <w:szCs w:val="24"/>
        </w:rPr>
        <w:t xml:space="preserve"> o destructivas del entorno o del patrimonio natural, en todos los sect</w:t>
      </w:r>
      <w:r w:rsidRPr="00B87BA5">
        <w:rPr>
          <w:rFonts w:ascii="Arial Narrow" w:hAnsi="Arial Narrow" w:cs="Arial"/>
          <w:sz w:val="24"/>
          <w:szCs w:val="24"/>
        </w:rPr>
        <w:t xml:space="preserve">ores económicos y productivos. </w:t>
      </w:r>
    </w:p>
    <w:p w:rsidR="00F70332" w:rsidRPr="00B87BA5" w:rsidRDefault="00B27995" w:rsidP="00F70332">
      <w:pPr>
        <w:spacing w:after="100" w:afterAutospacing="1"/>
        <w:mirrorIndents/>
        <w:rPr>
          <w:rFonts w:ascii="Arial Narrow" w:hAnsi="Arial Narrow" w:cs="Arial"/>
          <w:sz w:val="24"/>
          <w:szCs w:val="24"/>
        </w:rPr>
      </w:pPr>
      <w:r w:rsidRPr="00B87BA5">
        <w:rPr>
          <w:rFonts w:ascii="Arial Narrow" w:hAnsi="Arial Narrow" w:cs="Arial"/>
          <w:sz w:val="24"/>
          <w:szCs w:val="24"/>
        </w:rPr>
        <w:t xml:space="preserve">Así </w:t>
      </w:r>
      <w:r w:rsidR="004547C4" w:rsidRPr="00B87BA5">
        <w:rPr>
          <w:rFonts w:ascii="Arial Narrow" w:hAnsi="Arial Narrow" w:cs="Arial"/>
          <w:sz w:val="24"/>
          <w:szCs w:val="24"/>
        </w:rPr>
        <w:t>mismo, el</w:t>
      </w:r>
      <w:r w:rsidR="00F70332" w:rsidRPr="00B87BA5">
        <w:rPr>
          <w:rFonts w:ascii="Arial Narrow" w:hAnsi="Arial Narrow" w:cs="Arial"/>
          <w:sz w:val="24"/>
          <w:szCs w:val="24"/>
        </w:rPr>
        <w:t xml:space="preserve"> artículo 19 del decreto 3570 de 2011, establece que son funciones de la Dirección de Asuntos Ambientales Sectorial y Urbana</w:t>
      </w:r>
      <w:r w:rsidRPr="00B87BA5">
        <w:rPr>
          <w:rFonts w:ascii="Arial Narrow" w:hAnsi="Arial Narrow" w:cs="Arial"/>
          <w:sz w:val="24"/>
          <w:szCs w:val="24"/>
        </w:rPr>
        <w:t>, entre otras, las siguientes:</w:t>
      </w:r>
    </w:p>
    <w:p w:rsidR="00F70332" w:rsidRPr="001A44B7" w:rsidRDefault="00F70332" w:rsidP="001A44B7">
      <w:pPr>
        <w:pStyle w:val="Prrafodelista"/>
        <w:numPr>
          <w:ilvl w:val="0"/>
          <w:numId w:val="21"/>
        </w:numPr>
        <w:rPr>
          <w:rFonts w:ascii="Arial Narrow" w:hAnsi="Arial Narrow"/>
          <w:sz w:val="24"/>
          <w:szCs w:val="24"/>
        </w:rPr>
      </w:pPr>
      <w:r w:rsidRPr="001A44B7">
        <w:rPr>
          <w:rFonts w:ascii="Arial Narrow" w:hAnsi="Arial Narrow"/>
          <w:sz w:val="24"/>
          <w:szCs w:val="24"/>
        </w:rPr>
        <w:t>Proponer las normas ambientales y las regulaciones de carácter general sobre ambiente a las que deberán sujetarse las actividades mineras, industriales, de transporte y en general todo servicio o actividad que pueda generar directa o indirectamente daños ambientales.</w:t>
      </w:r>
    </w:p>
    <w:p w:rsidR="00B87BA5" w:rsidRDefault="00F70332" w:rsidP="001A44B7">
      <w:pPr>
        <w:pStyle w:val="Prrafodelista"/>
        <w:numPr>
          <w:ilvl w:val="0"/>
          <w:numId w:val="21"/>
        </w:numPr>
        <w:rPr>
          <w:rFonts w:ascii="Arial Narrow" w:hAnsi="Arial Narrow"/>
          <w:sz w:val="24"/>
          <w:szCs w:val="24"/>
        </w:rPr>
      </w:pPr>
      <w:r w:rsidRPr="001A44B7">
        <w:rPr>
          <w:rFonts w:ascii="Arial Narrow" w:hAnsi="Arial Narrow"/>
          <w:sz w:val="24"/>
          <w:szCs w:val="24"/>
        </w:rPr>
        <w:t>Diseñar y promover, al interior de los sectores productivos y de servicios, estrategias para la adopción de mejores prácticas ambientales orientadas a mejorar la competitividad, productividad, autogestión e internal</w:t>
      </w:r>
      <w:r w:rsidR="00B27995" w:rsidRPr="001A44B7">
        <w:rPr>
          <w:rFonts w:ascii="Arial Narrow" w:hAnsi="Arial Narrow"/>
          <w:sz w:val="24"/>
          <w:szCs w:val="24"/>
        </w:rPr>
        <w:t xml:space="preserve">ización de costos ambientales. </w:t>
      </w:r>
    </w:p>
    <w:p w:rsidR="001A44B7" w:rsidRPr="001A44B7" w:rsidRDefault="001A44B7" w:rsidP="001A44B7">
      <w:pPr>
        <w:rPr>
          <w:rFonts w:ascii="Arial Narrow" w:hAnsi="Arial Narrow"/>
          <w:sz w:val="24"/>
          <w:szCs w:val="24"/>
        </w:rPr>
      </w:pPr>
    </w:p>
    <w:p w:rsidR="00B87BA5" w:rsidRPr="00B87BA5" w:rsidRDefault="00B87BA5" w:rsidP="00B87BA5">
      <w:pPr>
        <w:spacing w:after="100" w:afterAutospacing="1"/>
        <w:mirrorIndents/>
        <w:rPr>
          <w:rFonts w:ascii="Arial Narrow" w:hAnsi="Arial Narrow" w:cs="Arial"/>
          <w:sz w:val="24"/>
          <w:szCs w:val="24"/>
        </w:rPr>
      </w:pPr>
      <w:r w:rsidRPr="00B87BA5">
        <w:rPr>
          <w:rFonts w:ascii="Arial Narrow" w:hAnsi="Arial Narrow" w:cs="Arial"/>
          <w:sz w:val="24"/>
          <w:szCs w:val="24"/>
        </w:rPr>
        <w:t xml:space="preserve">Por otra parte, la Política Nacional  para la Gestión Integral de Residuos Sólidos, establecida en el CONPES 3874 de 2016, busca a través de la gestión integral de residuos sólidos aportar a la transición de un modelo lineal hacia una economía circular donde, haciendo uso de la jerarquía en la gestión de los residuos, se prevenga la generación de residuos y se optimice el uso de los recursos para que los productos permanezcan el mayor tiempo posible en el ciclo económico y se aproveche al máximo su materia prima y potencial energético. Así mismo, esta política pretende ser un complemento de la Política de Producción y Consumo Sostenible, en el sentido de que esta última busca cambiar los patrones de producción y consumo de la sociedad colombiana, para lo cual se proponen acciones dirigidas a ampliar el espectro de productos incluidos en el programa de compras públicas sostenibles y el uso de sellos ambientales para promover el consumo responsable. </w:t>
      </w:r>
    </w:p>
    <w:p w:rsidR="00B87BA5" w:rsidRDefault="00B87BA5" w:rsidP="00B87BA5">
      <w:pPr>
        <w:autoSpaceDE w:val="0"/>
        <w:autoSpaceDN w:val="0"/>
        <w:adjustRightInd w:val="0"/>
        <w:rPr>
          <w:rFonts w:ascii="Arial Narrow" w:hAnsi="Arial Narrow" w:cs="Arial"/>
          <w:sz w:val="24"/>
          <w:szCs w:val="24"/>
        </w:rPr>
      </w:pPr>
      <w:r w:rsidRPr="00B87BA5">
        <w:rPr>
          <w:rFonts w:ascii="Arial Narrow" w:hAnsi="Arial Narrow" w:cs="Arial"/>
          <w:sz w:val="24"/>
          <w:szCs w:val="24"/>
        </w:rPr>
        <w:t xml:space="preserve">El objetivo general es implementar la gestión integral de residuos sólidos como política nacional de interés social, económico, ambiental y sanitario, para contribuir al fomento de la economía circular, desarrollo sostenible, adaptación y mitigación al cambio climático. </w:t>
      </w:r>
    </w:p>
    <w:p w:rsidR="00CA686A" w:rsidRPr="00B87BA5" w:rsidRDefault="00CA686A" w:rsidP="00B87BA5">
      <w:pPr>
        <w:autoSpaceDE w:val="0"/>
        <w:autoSpaceDN w:val="0"/>
        <w:adjustRightInd w:val="0"/>
        <w:rPr>
          <w:rFonts w:ascii="Arial Narrow" w:hAnsi="Arial Narrow" w:cs="Arial"/>
          <w:sz w:val="24"/>
          <w:szCs w:val="24"/>
        </w:rPr>
      </w:pPr>
    </w:p>
    <w:p w:rsidR="00B87BA5" w:rsidRPr="00B87BA5" w:rsidRDefault="00B87BA5" w:rsidP="00B87BA5">
      <w:pPr>
        <w:autoSpaceDE w:val="0"/>
        <w:autoSpaceDN w:val="0"/>
        <w:adjustRightInd w:val="0"/>
        <w:rPr>
          <w:rFonts w:ascii="Arial Narrow" w:hAnsi="Arial Narrow" w:cs="Arial"/>
          <w:sz w:val="24"/>
          <w:szCs w:val="24"/>
        </w:rPr>
      </w:pPr>
      <w:r w:rsidRPr="00B87BA5">
        <w:rPr>
          <w:rFonts w:ascii="Arial Narrow" w:hAnsi="Arial Narrow" w:cs="Arial"/>
          <w:sz w:val="24"/>
          <w:szCs w:val="24"/>
        </w:rPr>
        <w:t>Los objetivos específicos del CONPES 3874 buscan 1) Promover la economía circular a través del diseño de instrumentos en el marco de la gestión integral de residuos sólidos. 2) Promover la cultura ciudadana, la educación e innovación en gestión integral de residuos con el fin de prevenir la generación de residuos, promover la reutilización e incrementar los niveles de separación en la fuente y de aprovechamiento.</w:t>
      </w:r>
    </w:p>
    <w:p w:rsidR="00B87BA5" w:rsidRPr="00B87BA5" w:rsidRDefault="00B87BA5" w:rsidP="00B87BA5">
      <w:pPr>
        <w:autoSpaceDE w:val="0"/>
        <w:autoSpaceDN w:val="0"/>
        <w:adjustRightInd w:val="0"/>
        <w:rPr>
          <w:rFonts w:ascii="Arial Narrow" w:hAnsi="Arial Narrow" w:cs="Arial"/>
          <w:sz w:val="24"/>
          <w:szCs w:val="24"/>
          <w:lang w:eastAsia="es-CO"/>
        </w:rPr>
      </w:pPr>
    </w:p>
    <w:p w:rsidR="00B87BA5" w:rsidRPr="00B87BA5" w:rsidRDefault="00B87BA5" w:rsidP="00B87BA5">
      <w:pPr>
        <w:rPr>
          <w:rFonts w:ascii="Arial Narrow" w:hAnsi="Arial Narrow" w:cs="Arial"/>
          <w:sz w:val="24"/>
          <w:szCs w:val="24"/>
          <w:lang w:eastAsia="es-CO"/>
        </w:rPr>
      </w:pPr>
      <w:r w:rsidRPr="00B87BA5">
        <w:rPr>
          <w:rFonts w:ascii="Arial Narrow" w:hAnsi="Arial Narrow" w:cs="Arial"/>
          <w:sz w:val="24"/>
          <w:szCs w:val="24"/>
          <w:lang w:eastAsia="es-CO"/>
        </w:rPr>
        <w:t xml:space="preserve">La política Nacional de Producción y Consumo Sostenible establece como objetivo principal </w:t>
      </w:r>
      <w:r w:rsidRPr="00B87BA5">
        <w:rPr>
          <w:rFonts w:ascii="Arial Narrow" w:hAnsi="Arial Narrow" w:cs="Arial"/>
          <w:i/>
          <w:sz w:val="24"/>
          <w:szCs w:val="24"/>
          <w:lang w:eastAsia="es-CO"/>
        </w:rPr>
        <w:t>“Orientar el cambio de los patrones de producción y consumo de la sociedad colombiana hacia la sostenibilidad ambiental, contribuyendo a la competitividad de las empresas y al bienestar de la población”</w:t>
      </w:r>
      <w:r w:rsidRPr="00B87BA5">
        <w:rPr>
          <w:rFonts w:ascii="Arial Narrow" w:hAnsi="Arial Narrow" w:cs="Arial"/>
          <w:sz w:val="24"/>
          <w:szCs w:val="24"/>
          <w:lang w:eastAsia="es-CO"/>
        </w:rPr>
        <w:t xml:space="preserve">, para lo cual definió una serie de estrategias y líneas de acción, entre las cuales se </w:t>
      </w:r>
      <w:r w:rsidRPr="00B87BA5">
        <w:rPr>
          <w:rFonts w:ascii="Arial Narrow" w:hAnsi="Arial Narrow" w:cs="Arial"/>
          <w:sz w:val="24"/>
          <w:szCs w:val="24"/>
          <w:lang w:eastAsia="es-CO"/>
        </w:rPr>
        <w:lastRenderedPageBreak/>
        <w:t>destaca, el fortalecimiento de la regulación con énfasis en el establecimiento de obligaciones dirigidas a la regulación del uso y la restricción de materiales y productos.</w:t>
      </w:r>
    </w:p>
    <w:p w:rsidR="00B87BA5" w:rsidRPr="00B87BA5" w:rsidRDefault="00B87BA5" w:rsidP="00B87BA5">
      <w:pPr>
        <w:pStyle w:val="Default"/>
        <w:jc w:val="both"/>
        <w:rPr>
          <w:rFonts w:ascii="Arial Narrow" w:hAnsi="Arial Narrow" w:cs="Arial"/>
          <w:color w:val="auto"/>
          <w:lang w:val="es-CO"/>
        </w:rPr>
      </w:pPr>
    </w:p>
    <w:p w:rsidR="00B87BA5" w:rsidRPr="00B87BA5" w:rsidRDefault="00B87BA5" w:rsidP="00B87BA5">
      <w:pPr>
        <w:pStyle w:val="Default"/>
        <w:jc w:val="both"/>
        <w:rPr>
          <w:rFonts w:ascii="Arial Narrow" w:hAnsi="Arial Narrow" w:cs="Arial"/>
          <w:color w:val="auto"/>
          <w:lang w:val="es-CO"/>
        </w:rPr>
      </w:pPr>
      <w:r w:rsidRPr="00B87BA5">
        <w:rPr>
          <w:rFonts w:ascii="Arial Narrow" w:hAnsi="Arial Narrow" w:cs="Arial"/>
          <w:color w:val="auto"/>
          <w:lang w:val="es-CO"/>
        </w:rPr>
        <w:t xml:space="preserve">Según las Bases de la Ley 1753 de 2015- Plan Nacional de Desarrollo </w:t>
      </w:r>
      <w:r w:rsidRPr="00B87BA5">
        <w:rPr>
          <w:rFonts w:ascii="Arial Narrow" w:hAnsi="Arial Narrow" w:cs="Arial"/>
        </w:rPr>
        <w:t>2014 -2018,</w:t>
      </w:r>
      <w:r w:rsidRPr="00B87BA5">
        <w:rPr>
          <w:rFonts w:ascii="Arial Narrow" w:hAnsi="Arial Narrow" w:cs="Arial"/>
          <w:color w:val="auto"/>
          <w:lang w:val="es-CO"/>
        </w:rPr>
        <w:t xml:space="preserve"> el crecimiento verde</w:t>
      </w:r>
      <w:r w:rsidRPr="00B87BA5">
        <w:rPr>
          <w:rFonts w:ascii="Arial Narrow" w:hAnsi="Arial Narrow" w:cs="Arial"/>
          <w:vertAlign w:val="superscript"/>
        </w:rPr>
        <w:footnoteReference w:id="1"/>
      </w:r>
      <w:r w:rsidRPr="00B87BA5">
        <w:rPr>
          <w:rFonts w:ascii="Arial Narrow" w:hAnsi="Arial Narrow" w:cs="Arial"/>
          <w:color w:val="auto"/>
          <w:vertAlign w:val="superscript"/>
          <w:lang w:val="es-CO"/>
        </w:rPr>
        <w:t xml:space="preserve"> </w:t>
      </w:r>
      <w:r w:rsidRPr="00B87BA5">
        <w:rPr>
          <w:rFonts w:ascii="Arial Narrow" w:hAnsi="Arial Narrow" w:cs="Arial"/>
          <w:color w:val="auto"/>
          <w:lang w:val="es-CO"/>
        </w:rPr>
        <w:t xml:space="preserve">es un enfoque que propende por un desarrollo sostenible que garantice el bienestar económico y social de la población en el largo plazo, asegurando que la base de los recursos provea los bienes y servicios </w:t>
      </w:r>
      <w:proofErr w:type="spellStart"/>
      <w:r w:rsidRPr="00B87BA5">
        <w:rPr>
          <w:rFonts w:ascii="Arial Narrow" w:hAnsi="Arial Narrow" w:cs="Arial"/>
          <w:color w:val="auto"/>
          <w:lang w:val="es-CO"/>
        </w:rPr>
        <w:t>ecosistémicos</w:t>
      </w:r>
      <w:proofErr w:type="spellEnd"/>
      <w:r w:rsidRPr="00B87BA5">
        <w:rPr>
          <w:rFonts w:ascii="Arial Narrow" w:hAnsi="Arial Narrow" w:cs="Arial"/>
          <w:color w:val="auto"/>
          <w:lang w:val="es-CO"/>
        </w:rPr>
        <w:t xml:space="preserve"> que el país necesita y el ambiente natural sea capaz de recuperarse ante los impactos de las actividades productivas.</w:t>
      </w:r>
    </w:p>
    <w:p w:rsidR="00B87BA5" w:rsidRPr="00B87BA5" w:rsidRDefault="00B87BA5" w:rsidP="00B87BA5">
      <w:pPr>
        <w:autoSpaceDE w:val="0"/>
        <w:autoSpaceDN w:val="0"/>
        <w:adjustRightInd w:val="0"/>
        <w:rPr>
          <w:rFonts w:ascii="Arial Narrow" w:eastAsiaTheme="minorHAnsi" w:hAnsi="Arial Narrow" w:cs="Arial"/>
          <w:sz w:val="24"/>
          <w:szCs w:val="24"/>
          <w:lang w:eastAsia="en-US"/>
        </w:rPr>
      </w:pPr>
    </w:p>
    <w:p w:rsidR="00B87BA5" w:rsidRPr="00B87BA5" w:rsidRDefault="00B87BA5" w:rsidP="00B87BA5">
      <w:pPr>
        <w:autoSpaceDE w:val="0"/>
        <w:autoSpaceDN w:val="0"/>
        <w:adjustRightInd w:val="0"/>
        <w:rPr>
          <w:rFonts w:ascii="Arial Narrow" w:hAnsi="Arial Narrow" w:cs="Arial"/>
          <w:sz w:val="24"/>
          <w:szCs w:val="24"/>
        </w:rPr>
      </w:pPr>
      <w:r w:rsidRPr="00B87BA5">
        <w:rPr>
          <w:rFonts w:ascii="Arial Narrow" w:hAnsi="Arial Narrow" w:cs="Arial"/>
          <w:sz w:val="24"/>
          <w:szCs w:val="24"/>
        </w:rPr>
        <w:t xml:space="preserve">Adicionalmente en las bases mencionadas, se indica en materia de </w:t>
      </w:r>
      <w:r w:rsidRPr="00B87BA5">
        <w:rPr>
          <w:rFonts w:ascii="Arial Narrow" w:hAnsi="Arial Narrow" w:cs="Arial"/>
          <w:i/>
          <w:sz w:val="24"/>
          <w:szCs w:val="24"/>
        </w:rPr>
        <w:t>“Reducción</w:t>
      </w:r>
      <w:r w:rsidRPr="00B87BA5">
        <w:rPr>
          <w:rFonts w:ascii="Arial Narrow" w:hAnsi="Arial Narrow" w:cs="Arial"/>
          <w:sz w:val="24"/>
          <w:szCs w:val="24"/>
        </w:rPr>
        <w:t xml:space="preserve"> de </w:t>
      </w:r>
      <w:r w:rsidRPr="00B87BA5">
        <w:rPr>
          <w:rFonts w:ascii="Arial Narrow" w:hAnsi="Arial Narrow" w:cs="Arial"/>
          <w:i/>
          <w:sz w:val="24"/>
          <w:szCs w:val="24"/>
        </w:rPr>
        <w:t xml:space="preserve"> consumo  y post-consumo”</w:t>
      </w:r>
      <w:r w:rsidRPr="00B87BA5">
        <w:rPr>
          <w:rFonts w:ascii="Arial Narrow" w:hAnsi="Arial Narrow" w:cs="Arial"/>
          <w:sz w:val="24"/>
          <w:szCs w:val="24"/>
        </w:rPr>
        <w:t xml:space="preserve"> que se buscará disminuir la generación de residuos y aumentar las tasas de reciclaje y valorización, a partir de un ejercicio de articulación de las Políticas de Producción y Consumo Sostenible y de Gestión Integral de Residuos, que llevará a implementar las siguientes acciones: 1) ejecución de programas orientados a modificar los patrones de producción y consumo hacia la sostenibilidad; 2) implementación de programas para promover el consumo responsable.</w:t>
      </w:r>
    </w:p>
    <w:p w:rsidR="00B87BA5" w:rsidRPr="00B87BA5" w:rsidRDefault="00B87BA5" w:rsidP="00B87BA5">
      <w:pPr>
        <w:autoSpaceDE w:val="0"/>
        <w:autoSpaceDN w:val="0"/>
        <w:adjustRightInd w:val="0"/>
        <w:rPr>
          <w:rFonts w:ascii="Arial Narrow" w:hAnsi="Arial Narrow" w:cs="Arial"/>
          <w:sz w:val="24"/>
          <w:szCs w:val="24"/>
        </w:rPr>
      </w:pPr>
      <w:r w:rsidRPr="00B87BA5">
        <w:rPr>
          <w:rFonts w:ascii="Arial Narrow" w:hAnsi="Arial Narrow" w:cs="Arial"/>
          <w:sz w:val="24"/>
          <w:szCs w:val="24"/>
        </w:rPr>
        <w:t xml:space="preserve">  </w:t>
      </w:r>
    </w:p>
    <w:p w:rsidR="00B87BA5" w:rsidRPr="00B87BA5" w:rsidRDefault="00B87BA5" w:rsidP="00B87BA5">
      <w:pPr>
        <w:rPr>
          <w:rFonts w:ascii="Arial Narrow" w:hAnsi="Arial Narrow" w:cs="Arial"/>
          <w:sz w:val="24"/>
          <w:szCs w:val="24"/>
        </w:rPr>
      </w:pPr>
      <w:r w:rsidRPr="00B87BA5">
        <w:rPr>
          <w:rFonts w:ascii="Arial Narrow" w:hAnsi="Arial Narrow" w:cs="Arial"/>
          <w:sz w:val="24"/>
          <w:szCs w:val="24"/>
        </w:rPr>
        <w:t>En este contexto, se requiere desarrollar instrumentos que faciliten la separación en la fuente de residuos y el aprovechamiento y valorización de residuos,   con el fin de promover la gestión integral de residuos y la economía circular.</w:t>
      </w:r>
    </w:p>
    <w:p w:rsidR="00B87BA5" w:rsidRPr="00B87BA5" w:rsidRDefault="00B87BA5" w:rsidP="00B87BA5">
      <w:pPr>
        <w:rPr>
          <w:rFonts w:ascii="Arial Narrow" w:hAnsi="Arial Narrow" w:cs="Arial"/>
          <w:sz w:val="24"/>
          <w:szCs w:val="24"/>
        </w:rPr>
      </w:pPr>
    </w:p>
    <w:p w:rsidR="00B87BA5" w:rsidRDefault="00B87BA5" w:rsidP="004452C6">
      <w:pPr>
        <w:rPr>
          <w:rFonts w:ascii="Arial Narrow" w:hAnsi="Arial Narrow" w:cs="Arial"/>
          <w:sz w:val="24"/>
          <w:szCs w:val="24"/>
          <w:lang w:eastAsia="es-CO"/>
        </w:rPr>
      </w:pPr>
      <w:r w:rsidRPr="00B87BA5">
        <w:rPr>
          <w:rFonts w:ascii="Arial Narrow" w:hAnsi="Arial Narrow" w:cs="Arial"/>
          <w:sz w:val="24"/>
          <w:szCs w:val="24"/>
        </w:rPr>
        <w:t xml:space="preserve">Se requiere igualmente, promover una cultura ciudadana, entre otros en materia de separación en la fuente lo cual contribuye a </w:t>
      </w:r>
      <w:r w:rsidRPr="00B87BA5">
        <w:rPr>
          <w:rFonts w:ascii="Arial Narrow" w:hAnsi="Arial Narrow" w:cs="Arial"/>
          <w:color w:val="000000"/>
          <w:sz w:val="24"/>
          <w:szCs w:val="24"/>
          <w:lang w:eastAsia="es-CO"/>
        </w:rPr>
        <w:t xml:space="preserve">estimular un adecuado comportamiento del consumidor, para proteger el medio ambiente y la salud humana, y adoptar otras disposiciones y </w:t>
      </w:r>
      <w:r w:rsidRPr="00B87BA5">
        <w:rPr>
          <w:rFonts w:ascii="Arial Narrow" w:hAnsi="Arial Narrow" w:cs="Arial"/>
          <w:sz w:val="24"/>
          <w:szCs w:val="24"/>
        </w:rPr>
        <w:t>modificar los patrones de producción y consumo hacia la sostenibilidad</w:t>
      </w:r>
      <w:r w:rsidRPr="00B87BA5">
        <w:rPr>
          <w:rFonts w:ascii="Arial Narrow" w:hAnsi="Arial Narrow" w:cs="Arial"/>
          <w:sz w:val="24"/>
          <w:szCs w:val="24"/>
          <w:lang w:eastAsia="es-CO"/>
        </w:rPr>
        <w:t>.</w:t>
      </w:r>
    </w:p>
    <w:p w:rsidR="004452C6" w:rsidRDefault="004452C6" w:rsidP="004452C6">
      <w:pPr>
        <w:rPr>
          <w:rFonts w:ascii="Arial Narrow" w:hAnsi="Arial Narrow" w:cs="Arial"/>
          <w:sz w:val="24"/>
          <w:szCs w:val="24"/>
          <w:lang w:eastAsia="es-CO"/>
        </w:rPr>
      </w:pPr>
    </w:p>
    <w:p w:rsidR="001A44B7" w:rsidRPr="00B87BA5" w:rsidRDefault="001A44B7" w:rsidP="004452C6">
      <w:pPr>
        <w:rPr>
          <w:rFonts w:ascii="Arial Narrow" w:hAnsi="Arial Narrow" w:cs="Arial"/>
          <w:sz w:val="24"/>
          <w:szCs w:val="24"/>
          <w:lang w:eastAsia="es-CO"/>
        </w:rPr>
      </w:pPr>
    </w:p>
    <w:p w:rsidR="006D2417" w:rsidRPr="00B87BA5" w:rsidRDefault="006D2417" w:rsidP="001A44B7">
      <w:pPr>
        <w:pStyle w:val="Prrafodelista"/>
        <w:numPr>
          <w:ilvl w:val="1"/>
          <w:numId w:val="2"/>
        </w:numPr>
        <w:autoSpaceDE w:val="0"/>
        <w:ind w:left="720"/>
        <w:rPr>
          <w:rFonts w:ascii="Arial Narrow" w:hAnsi="Arial Narrow" w:cs="Arial"/>
          <w:b/>
          <w:sz w:val="24"/>
          <w:szCs w:val="24"/>
        </w:rPr>
      </w:pPr>
      <w:r w:rsidRPr="00B87BA5">
        <w:rPr>
          <w:rFonts w:ascii="Arial Narrow" w:hAnsi="Arial Narrow" w:cs="Arial"/>
          <w:b/>
          <w:sz w:val="24"/>
          <w:szCs w:val="24"/>
        </w:rPr>
        <w:t>La vigencia de la Ley o norma reglamentada o desarrollada.</w:t>
      </w:r>
    </w:p>
    <w:p w:rsidR="006D2417" w:rsidRPr="00B87BA5" w:rsidRDefault="006D2417" w:rsidP="006D2417">
      <w:pPr>
        <w:pStyle w:val="Prrafodelista"/>
        <w:autoSpaceDE w:val="0"/>
        <w:rPr>
          <w:rFonts w:ascii="Arial Narrow" w:hAnsi="Arial Narrow" w:cs="Arial"/>
          <w:b/>
          <w:sz w:val="24"/>
          <w:szCs w:val="24"/>
        </w:rPr>
      </w:pPr>
    </w:p>
    <w:p w:rsidR="006D2417" w:rsidRPr="00B87BA5" w:rsidRDefault="006D2417" w:rsidP="001A44B7">
      <w:pPr>
        <w:spacing w:after="100" w:afterAutospacing="1"/>
        <w:mirrorIndents/>
        <w:rPr>
          <w:rFonts w:ascii="Arial Narrow" w:hAnsi="Arial Narrow" w:cs="Arial"/>
          <w:sz w:val="24"/>
          <w:szCs w:val="24"/>
        </w:rPr>
      </w:pPr>
      <w:r w:rsidRPr="00B87BA5">
        <w:rPr>
          <w:rFonts w:ascii="Arial Narrow" w:hAnsi="Arial Narrow" w:cs="Arial"/>
          <w:sz w:val="24"/>
          <w:szCs w:val="24"/>
        </w:rPr>
        <w:t>La vigencia de la norma es a partir de su expedición y hasta tanto</w:t>
      </w:r>
      <w:r w:rsidR="008A5477" w:rsidRPr="00B87BA5">
        <w:rPr>
          <w:rFonts w:ascii="Arial Narrow" w:hAnsi="Arial Narrow" w:cs="Arial"/>
          <w:sz w:val="24"/>
          <w:szCs w:val="24"/>
        </w:rPr>
        <w:t>,</w:t>
      </w:r>
      <w:r w:rsidRPr="00B87BA5">
        <w:rPr>
          <w:rFonts w:ascii="Arial Narrow" w:hAnsi="Arial Narrow" w:cs="Arial"/>
          <w:sz w:val="24"/>
          <w:szCs w:val="24"/>
        </w:rPr>
        <w:t xml:space="preserve"> otra norma de superior o igual jerarquía la derogue, modifique, adicione o sustituya. </w:t>
      </w:r>
    </w:p>
    <w:p w:rsidR="006D2417" w:rsidRPr="00B87BA5" w:rsidRDefault="006D2417" w:rsidP="001A44B7">
      <w:pPr>
        <w:pStyle w:val="Prrafodelista"/>
        <w:numPr>
          <w:ilvl w:val="1"/>
          <w:numId w:val="2"/>
        </w:numPr>
        <w:autoSpaceDE w:val="0"/>
        <w:ind w:left="720"/>
        <w:rPr>
          <w:rStyle w:val="apple-converted-space"/>
          <w:rFonts w:ascii="Arial Narrow" w:hAnsi="Arial Narrow" w:cs="Arial"/>
          <w:b/>
          <w:color w:val="000000"/>
          <w:sz w:val="24"/>
          <w:szCs w:val="24"/>
          <w:shd w:val="clear" w:color="auto" w:fill="FFFFFF"/>
        </w:rPr>
      </w:pPr>
      <w:r w:rsidRPr="00B87BA5">
        <w:rPr>
          <w:rFonts w:ascii="Arial Narrow" w:hAnsi="Arial Narrow" w:cs="Arial"/>
          <w:b/>
          <w:sz w:val="24"/>
          <w:szCs w:val="24"/>
        </w:rPr>
        <w:t>Las disposiciones derogadas, subrogadas, modificadas, adicionadas o sustituidas, si alguno de estos efectos se produce con la expedición del respectivo acto</w:t>
      </w:r>
      <w:r w:rsidRPr="00B87BA5">
        <w:rPr>
          <w:rStyle w:val="apple-converted-space"/>
          <w:rFonts w:ascii="Arial Narrow" w:hAnsi="Arial Narrow" w:cs="Arial"/>
          <w:b/>
          <w:color w:val="000000"/>
          <w:sz w:val="24"/>
          <w:szCs w:val="24"/>
          <w:shd w:val="clear" w:color="auto" w:fill="FFFFFF"/>
        </w:rPr>
        <w:t>. </w:t>
      </w:r>
    </w:p>
    <w:p w:rsidR="006D2417" w:rsidRPr="00B87BA5" w:rsidRDefault="006D2417" w:rsidP="006D2417">
      <w:pPr>
        <w:pStyle w:val="Prrafodelista"/>
        <w:autoSpaceDE w:val="0"/>
        <w:rPr>
          <w:rFonts w:ascii="Arial Narrow" w:hAnsi="Arial Narrow" w:cs="Arial"/>
          <w:b/>
          <w:sz w:val="24"/>
          <w:szCs w:val="24"/>
        </w:rPr>
      </w:pPr>
    </w:p>
    <w:p w:rsidR="006D2417" w:rsidRDefault="006D2417" w:rsidP="001A44B7">
      <w:pPr>
        <w:pStyle w:val="Prrafodelista"/>
        <w:autoSpaceDE w:val="0"/>
        <w:ind w:left="0"/>
        <w:rPr>
          <w:rFonts w:ascii="Arial Narrow" w:hAnsi="Arial Narrow" w:cs="Arial"/>
          <w:sz w:val="24"/>
          <w:szCs w:val="24"/>
        </w:rPr>
      </w:pPr>
      <w:r w:rsidRPr="00B87BA5">
        <w:rPr>
          <w:rFonts w:ascii="Arial Narrow" w:hAnsi="Arial Narrow" w:cs="Arial"/>
          <w:sz w:val="24"/>
          <w:szCs w:val="24"/>
        </w:rPr>
        <w:t>No aplica</w:t>
      </w:r>
      <w:r w:rsidR="00F70332" w:rsidRPr="00B87BA5">
        <w:rPr>
          <w:rFonts w:ascii="Arial Narrow" w:hAnsi="Arial Narrow" w:cs="Arial"/>
          <w:sz w:val="24"/>
          <w:szCs w:val="24"/>
        </w:rPr>
        <w:t>, se trata de una reglamentación nueva.</w:t>
      </w:r>
    </w:p>
    <w:p w:rsidR="00CA686A" w:rsidRPr="00B87BA5" w:rsidRDefault="00CA686A" w:rsidP="006D2417">
      <w:pPr>
        <w:pStyle w:val="Prrafodelista"/>
        <w:autoSpaceDE w:val="0"/>
        <w:rPr>
          <w:rStyle w:val="apple-converted-space"/>
          <w:rFonts w:ascii="Arial Narrow" w:hAnsi="Arial Narrow" w:cs="Arial"/>
          <w:color w:val="000000"/>
          <w:sz w:val="24"/>
          <w:szCs w:val="24"/>
          <w:shd w:val="clear" w:color="auto" w:fill="FFFFFF"/>
        </w:rPr>
      </w:pPr>
    </w:p>
    <w:p w:rsidR="001A44B7" w:rsidRPr="00B87BA5" w:rsidRDefault="001A44B7" w:rsidP="006D2417">
      <w:pPr>
        <w:pStyle w:val="Prrafodelista"/>
        <w:autoSpaceDE w:val="0"/>
        <w:rPr>
          <w:rStyle w:val="apple-converted-space"/>
          <w:rFonts w:ascii="Arial Narrow" w:hAnsi="Arial Narrow" w:cs="Arial"/>
          <w:color w:val="000000"/>
          <w:sz w:val="24"/>
          <w:szCs w:val="24"/>
          <w:shd w:val="clear" w:color="auto" w:fill="FFFFFF"/>
        </w:rPr>
      </w:pPr>
    </w:p>
    <w:p w:rsidR="006D2417" w:rsidRPr="00B87BA5" w:rsidRDefault="006D2417" w:rsidP="001A44B7">
      <w:pPr>
        <w:pStyle w:val="NormalWeb"/>
        <w:numPr>
          <w:ilvl w:val="0"/>
          <w:numId w:val="2"/>
        </w:numPr>
        <w:shd w:val="clear" w:color="auto" w:fill="FFFFFF"/>
        <w:spacing w:before="0" w:beforeAutospacing="0" w:after="0" w:afterAutospacing="0"/>
        <w:ind w:left="284" w:hanging="284"/>
        <w:rPr>
          <w:rFonts w:ascii="Arial Narrow" w:hAnsi="Arial Narrow" w:cs="Arial"/>
          <w:b/>
          <w:color w:val="000000"/>
        </w:rPr>
      </w:pPr>
      <w:r w:rsidRPr="00B87BA5">
        <w:rPr>
          <w:rFonts w:ascii="Arial Narrow" w:hAnsi="Arial Narrow" w:cs="Arial"/>
          <w:b/>
          <w:color w:val="000000"/>
        </w:rPr>
        <w:lastRenderedPageBreak/>
        <w:t>Disponibilidad presupuestal, si fuere del caso.</w:t>
      </w:r>
    </w:p>
    <w:p w:rsidR="006D2417" w:rsidRPr="00B87BA5" w:rsidRDefault="006D2417" w:rsidP="006D2417">
      <w:pPr>
        <w:pStyle w:val="NormalWeb"/>
        <w:shd w:val="clear" w:color="auto" w:fill="FFFFFF"/>
        <w:spacing w:before="0" w:beforeAutospacing="0" w:after="0" w:afterAutospacing="0"/>
        <w:ind w:firstLine="284"/>
        <w:rPr>
          <w:rFonts w:ascii="Arial Narrow" w:hAnsi="Arial Narrow" w:cs="Arial"/>
          <w:color w:val="000000"/>
        </w:rPr>
      </w:pPr>
    </w:p>
    <w:p w:rsidR="006D2417" w:rsidRDefault="006D2417" w:rsidP="006D2417">
      <w:pPr>
        <w:pStyle w:val="NormalWeb"/>
        <w:shd w:val="clear" w:color="auto" w:fill="FFFFFF"/>
        <w:spacing w:before="0" w:beforeAutospacing="0" w:after="0" w:afterAutospacing="0"/>
        <w:ind w:firstLine="284"/>
        <w:outlineLvl w:val="0"/>
        <w:rPr>
          <w:rFonts w:ascii="Arial Narrow" w:hAnsi="Arial Narrow" w:cs="Arial"/>
          <w:color w:val="000000"/>
        </w:rPr>
      </w:pPr>
      <w:r w:rsidRPr="00B87BA5">
        <w:rPr>
          <w:rFonts w:ascii="Arial Narrow" w:hAnsi="Arial Narrow" w:cs="Arial"/>
          <w:color w:val="000000"/>
        </w:rPr>
        <w:t>No aplica.</w:t>
      </w:r>
    </w:p>
    <w:p w:rsidR="001A44B7" w:rsidRPr="00B87BA5" w:rsidRDefault="001A44B7" w:rsidP="006D2417">
      <w:pPr>
        <w:pStyle w:val="NormalWeb"/>
        <w:shd w:val="clear" w:color="auto" w:fill="FFFFFF"/>
        <w:spacing w:before="0" w:beforeAutospacing="0" w:after="0" w:afterAutospacing="0"/>
        <w:ind w:firstLine="284"/>
        <w:outlineLvl w:val="0"/>
        <w:rPr>
          <w:rFonts w:ascii="Arial Narrow" w:hAnsi="Arial Narrow" w:cs="Arial"/>
          <w:color w:val="000000"/>
        </w:rPr>
      </w:pPr>
    </w:p>
    <w:p w:rsidR="006D2417" w:rsidRPr="00B87BA5" w:rsidRDefault="006D2417" w:rsidP="006D2417">
      <w:pPr>
        <w:pStyle w:val="NormalWeb"/>
        <w:shd w:val="clear" w:color="auto" w:fill="FFFFFF"/>
        <w:spacing w:before="0" w:beforeAutospacing="0" w:after="0" w:afterAutospacing="0"/>
        <w:ind w:firstLine="284"/>
        <w:rPr>
          <w:rFonts w:ascii="Arial Narrow" w:hAnsi="Arial Narrow" w:cs="Arial"/>
          <w:color w:val="000000"/>
        </w:rPr>
      </w:pPr>
    </w:p>
    <w:p w:rsidR="006D2417" w:rsidRPr="00B87BA5" w:rsidRDefault="006D2417" w:rsidP="001A44B7">
      <w:pPr>
        <w:pStyle w:val="NormalWeb"/>
        <w:numPr>
          <w:ilvl w:val="0"/>
          <w:numId w:val="2"/>
        </w:numPr>
        <w:shd w:val="clear" w:color="auto" w:fill="FFFFFF"/>
        <w:spacing w:before="0" w:beforeAutospacing="0" w:after="0" w:afterAutospacing="0"/>
        <w:ind w:left="284" w:hanging="284"/>
        <w:rPr>
          <w:rFonts w:ascii="Arial Narrow" w:hAnsi="Arial Narrow" w:cs="Arial"/>
          <w:b/>
          <w:color w:val="000000"/>
        </w:rPr>
      </w:pPr>
      <w:r w:rsidRPr="00B87BA5">
        <w:rPr>
          <w:rFonts w:ascii="Arial Narrow" w:hAnsi="Arial Narrow" w:cs="Arial"/>
          <w:b/>
          <w:color w:val="000000"/>
        </w:rPr>
        <w:t>De ser necesario, impacto medioambiental o sobre el patrimonio cultural de la Nación:</w:t>
      </w:r>
    </w:p>
    <w:p w:rsidR="001A44B7" w:rsidRDefault="001A44B7" w:rsidP="00B87BA5">
      <w:pPr>
        <w:spacing w:after="100" w:afterAutospacing="1"/>
        <w:mirrorIndents/>
        <w:rPr>
          <w:rFonts w:ascii="Arial Narrow" w:eastAsiaTheme="minorEastAsia" w:hAnsi="Arial Narrow" w:cs="Arial"/>
          <w:b/>
          <w:color w:val="000000"/>
          <w:sz w:val="24"/>
          <w:szCs w:val="24"/>
          <w:lang w:eastAsia="es-CO"/>
        </w:rPr>
      </w:pPr>
    </w:p>
    <w:p w:rsidR="00C15F71" w:rsidRDefault="006D2417" w:rsidP="00B87BA5">
      <w:pPr>
        <w:spacing w:after="100" w:afterAutospacing="1"/>
        <w:mirrorIndents/>
        <w:rPr>
          <w:rFonts w:ascii="Arial Narrow" w:hAnsi="Arial Narrow" w:cs="Arial"/>
          <w:color w:val="000000"/>
          <w:sz w:val="24"/>
          <w:szCs w:val="24"/>
          <w:lang w:eastAsia="es-CO"/>
        </w:rPr>
      </w:pPr>
      <w:r w:rsidRPr="00B87BA5">
        <w:rPr>
          <w:rFonts w:ascii="Arial Narrow" w:hAnsi="Arial Narrow" w:cs="Arial"/>
          <w:color w:val="000000"/>
          <w:sz w:val="24"/>
          <w:szCs w:val="24"/>
          <w:lang w:eastAsia="es-CO"/>
        </w:rPr>
        <w:t>Teniendo en cuenta lo anterior, se considera que el proyecto normativo representa</w:t>
      </w:r>
      <w:r w:rsidR="00B27995" w:rsidRPr="00B87BA5">
        <w:rPr>
          <w:rFonts w:ascii="Arial Narrow" w:hAnsi="Arial Narrow" w:cs="Arial"/>
          <w:color w:val="000000"/>
          <w:sz w:val="24"/>
          <w:szCs w:val="24"/>
          <w:lang w:eastAsia="es-CO"/>
        </w:rPr>
        <w:t xml:space="preserve"> una oportunidad para generar</w:t>
      </w:r>
      <w:r w:rsidRPr="00B87BA5">
        <w:rPr>
          <w:rFonts w:ascii="Arial Narrow" w:hAnsi="Arial Narrow" w:cs="Arial"/>
          <w:color w:val="000000"/>
          <w:sz w:val="24"/>
          <w:szCs w:val="24"/>
          <w:lang w:eastAsia="es-CO"/>
        </w:rPr>
        <w:t xml:space="preserve"> un </w:t>
      </w:r>
      <w:r w:rsidR="00B27995" w:rsidRPr="00B87BA5">
        <w:rPr>
          <w:rFonts w:ascii="Arial Narrow" w:hAnsi="Arial Narrow" w:cs="Arial"/>
          <w:color w:val="000000"/>
          <w:sz w:val="24"/>
          <w:szCs w:val="24"/>
          <w:lang w:eastAsia="es-CO"/>
        </w:rPr>
        <w:t>impacto medioambiental positivo en el país</w:t>
      </w:r>
      <w:r w:rsidR="00B35553" w:rsidRPr="00B87BA5">
        <w:rPr>
          <w:rFonts w:ascii="Arial Narrow" w:hAnsi="Arial Narrow" w:cs="Arial"/>
          <w:color w:val="000000"/>
          <w:sz w:val="24"/>
          <w:szCs w:val="24"/>
          <w:lang w:eastAsia="es-CO"/>
        </w:rPr>
        <w:t>,</w:t>
      </w:r>
      <w:r w:rsidR="00B27995" w:rsidRPr="00B87BA5">
        <w:rPr>
          <w:rFonts w:ascii="Arial Narrow" w:hAnsi="Arial Narrow" w:cs="Arial"/>
          <w:color w:val="000000"/>
          <w:sz w:val="24"/>
          <w:szCs w:val="24"/>
          <w:lang w:eastAsia="es-CO"/>
        </w:rPr>
        <w:t xml:space="preserve"> </w:t>
      </w:r>
      <w:r w:rsidR="00B87BA5">
        <w:rPr>
          <w:rFonts w:ascii="Arial Narrow" w:hAnsi="Arial Narrow" w:cs="Arial"/>
          <w:color w:val="000000"/>
          <w:sz w:val="24"/>
          <w:szCs w:val="24"/>
          <w:lang w:eastAsia="es-CO"/>
        </w:rPr>
        <w:t>ya que promoverá y facilitará el proceso de separación en la fuente.</w:t>
      </w:r>
      <w:r w:rsidR="00C15F71">
        <w:rPr>
          <w:rFonts w:ascii="Arial Narrow" w:hAnsi="Arial Narrow" w:cs="Arial"/>
          <w:color w:val="000000"/>
          <w:sz w:val="24"/>
          <w:szCs w:val="24"/>
          <w:lang w:eastAsia="es-CO"/>
        </w:rPr>
        <w:t xml:space="preserve"> Adicionalmente, facilitará la implementación de la Estrategia de Educación definida en la </w:t>
      </w:r>
      <w:r w:rsidR="00C15F71" w:rsidRPr="00C15F71">
        <w:rPr>
          <w:rFonts w:ascii="Arial Narrow" w:hAnsi="Arial Narrow" w:cs="Arial"/>
          <w:color w:val="000000"/>
          <w:sz w:val="24"/>
          <w:szCs w:val="24"/>
          <w:lang w:eastAsia="es-CO"/>
        </w:rPr>
        <w:t>línea de  Acción 3.1. Diseñar una estrategia de comunicación y cultura ciudadana del orden nacional con el apoyo del Ministerio de Educación y ANDI orientada a la participación efectiva de la población en la Gestión Integral de Residuos Sólidos GIRS (con énfasis en la prevención, reutiliza</w:t>
      </w:r>
      <w:r w:rsidR="00C15F71">
        <w:rPr>
          <w:rFonts w:ascii="Arial Narrow" w:hAnsi="Arial Narrow" w:cs="Arial"/>
          <w:color w:val="000000"/>
          <w:sz w:val="24"/>
          <w:szCs w:val="24"/>
          <w:lang w:eastAsia="es-CO"/>
        </w:rPr>
        <w:t>ción y separación en la fuente), del objetivo</w:t>
      </w:r>
      <w:r w:rsidR="00C15F71" w:rsidRPr="00C15F71">
        <w:rPr>
          <w:rFonts w:ascii="Arial Narrow" w:hAnsi="Arial Narrow" w:cs="Arial"/>
          <w:color w:val="000000"/>
          <w:sz w:val="24"/>
          <w:szCs w:val="24"/>
          <w:lang w:eastAsia="es-CO"/>
        </w:rPr>
        <w:t xml:space="preserve"> 3. Mejorar la cultura ciudadana, la educación e innovación en gestión integral de residuos con el fin de incrementar los niveles de separación en</w:t>
      </w:r>
      <w:r w:rsidR="00C15F71">
        <w:rPr>
          <w:rFonts w:ascii="Arial Narrow" w:hAnsi="Arial Narrow" w:cs="Arial"/>
          <w:color w:val="000000"/>
          <w:sz w:val="24"/>
          <w:szCs w:val="24"/>
          <w:lang w:eastAsia="es-CO"/>
        </w:rPr>
        <w:t xml:space="preserve"> la fuente y de aprovechamiento del </w:t>
      </w:r>
      <w:r w:rsidR="00C15F71" w:rsidRPr="00C15F71">
        <w:rPr>
          <w:rFonts w:ascii="Arial Narrow" w:hAnsi="Arial Narrow" w:cs="Arial"/>
          <w:color w:val="000000"/>
          <w:sz w:val="24"/>
          <w:szCs w:val="24"/>
          <w:lang w:eastAsia="es-CO"/>
        </w:rPr>
        <w:t xml:space="preserve">Plan de </w:t>
      </w:r>
      <w:r w:rsidR="00C15F71">
        <w:rPr>
          <w:rFonts w:ascii="Arial Narrow" w:hAnsi="Arial Narrow" w:cs="Arial"/>
          <w:color w:val="000000"/>
          <w:sz w:val="24"/>
          <w:szCs w:val="24"/>
          <w:lang w:eastAsia="es-CO"/>
        </w:rPr>
        <w:t>Acción del CONPES 3874 de 2016.</w:t>
      </w:r>
    </w:p>
    <w:p w:rsidR="00B87BA5" w:rsidRPr="00B87BA5" w:rsidRDefault="00C15F71" w:rsidP="00B87BA5">
      <w:pPr>
        <w:spacing w:after="100" w:afterAutospacing="1"/>
        <w:mirrorIndents/>
        <w:rPr>
          <w:rFonts w:ascii="Arial Narrow" w:hAnsi="Arial Narrow" w:cs="Arial"/>
          <w:color w:val="000000"/>
          <w:sz w:val="24"/>
          <w:szCs w:val="24"/>
          <w:lang w:eastAsia="es-CO"/>
        </w:rPr>
      </w:pPr>
      <w:r>
        <w:rPr>
          <w:rFonts w:ascii="Arial Narrow" w:hAnsi="Arial Narrow" w:cs="Arial"/>
          <w:color w:val="000000"/>
          <w:sz w:val="24"/>
          <w:szCs w:val="24"/>
          <w:lang w:eastAsia="es-CO"/>
        </w:rPr>
        <w:t>Dado que l</w:t>
      </w:r>
      <w:r w:rsidR="00B87BA5" w:rsidRPr="00B87BA5">
        <w:rPr>
          <w:rFonts w:ascii="Arial Narrow" w:hAnsi="Arial Narrow" w:cs="Arial"/>
          <w:color w:val="000000"/>
          <w:sz w:val="24"/>
          <w:szCs w:val="24"/>
          <w:lang w:eastAsia="es-CO"/>
        </w:rPr>
        <w:t>a producción y el uso indiscriminado de bolsas plásticas, genera problemas de contaminación del paisaje, contaminación (impermeabilización)  del  suelo y del agua, por su disposición inadecuada en playas, parques, vías y  áreas públicas en general. Además en los rellenos sanitarios genera problemas de  operación, esto sucede fundamentalme</w:t>
      </w:r>
      <w:r w:rsidR="001A44B7">
        <w:rPr>
          <w:rFonts w:ascii="Arial Narrow" w:hAnsi="Arial Narrow" w:cs="Arial"/>
          <w:color w:val="000000"/>
          <w:sz w:val="24"/>
          <w:szCs w:val="24"/>
          <w:lang w:eastAsia="es-CO"/>
        </w:rPr>
        <w:t>nte por las siguientes razones:</w:t>
      </w:r>
    </w:p>
    <w:p w:rsidR="00B87BA5" w:rsidRPr="00C15F71" w:rsidRDefault="00B87BA5" w:rsidP="00C15F71">
      <w:pPr>
        <w:pStyle w:val="Prrafodelista"/>
        <w:numPr>
          <w:ilvl w:val="0"/>
          <w:numId w:val="17"/>
        </w:numPr>
        <w:spacing w:after="100" w:afterAutospacing="1"/>
        <w:mirrorIndents/>
        <w:rPr>
          <w:rFonts w:ascii="Arial Narrow" w:hAnsi="Arial Narrow" w:cs="Arial"/>
          <w:color w:val="000000"/>
          <w:sz w:val="24"/>
          <w:szCs w:val="24"/>
          <w:lang w:eastAsia="es-CO"/>
        </w:rPr>
      </w:pPr>
      <w:r w:rsidRPr="00C15F71">
        <w:rPr>
          <w:rFonts w:ascii="Arial Narrow" w:hAnsi="Arial Narrow" w:cs="Arial"/>
          <w:color w:val="000000"/>
          <w:sz w:val="24"/>
          <w:szCs w:val="24"/>
          <w:lang w:eastAsia="es-CO"/>
        </w:rPr>
        <w:t xml:space="preserve">La falta de sensibilidad,  educación y cultura ciudadana </w:t>
      </w:r>
    </w:p>
    <w:p w:rsidR="00B87BA5" w:rsidRPr="00C15F71" w:rsidRDefault="00B87BA5" w:rsidP="00C15F71">
      <w:pPr>
        <w:pStyle w:val="Prrafodelista"/>
        <w:numPr>
          <w:ilvl w:val="0"/>
          <w:numId w:val="17"/>
        </w:numPr>
        <w:spacing w:after="100" w:afterAutospacing="1"/>
        <w:mirrorIndents/>
        <w:rPr>
          <w:rFonts w:ascii="Arial Narrow" w:hAnsi="Arial Narrow" w:cs="Arial"/>
          <w:color w:val="000000"/>
          <w:sz w:val="24"/>
          <w:szCs w:val="24"/>
          <w:lang w:eastAsia="es-CO"/>
        </w:rPr>
      </w:pPr>
      <w:r w:rsidRPr="00C15F71">
        <w:rPr>
          <w:rFonts w:ascii="Arial Narrow" w:hAnsi="Arial Narrow" w:cs="Arial"/>
          <w:color w:val="000000"/>
          <w:sz w:val="24"/>
          <w:szCs w:val="24"/>
          <w:lang w:eastAsia="es-CO"/>
        </w:rPr>
        <w:t>La percepción generalizada de que la bolsa plástica entregada en los puntos de pago es gratis, por lo cual es entregada de forma indiscriminada a los consumidores.</w:t>
      </w:r>
    </w:p>
    <w:p w:rsidR="00B87BA5" w:rsidRPr="00C15F71" w:rsidRDefault="00B87BA5" w:rsidP="00B87BA5">
      <w:pPr>
        <w:pStyle w:val="Prrafodelista"/>
        <w:numPr>
          <w:ilvl w:val="0"/>
          <w:numId w:val="17"/>
        </w:numPr>
        <w:spacing w:after="100" w:afterAutospacing="1"/>
        <w:mirrorIndents/>
        <w:rPr>
          <w:rFonts w:ascii="Arial Narrow" w:hAnsi="Arial Narrow" w:cs="Arial"/>
          <w:color w:val="000000"/>
          <w:sz w:val="24"/>
          <w:szCs w:val="24"/>
          <w:lang w:eastAsia="es-CO"/>
        </w:rPr>
      </w:pPr>
      <w:r w:rsidRPr="00C15F71">
        <w:rPr>
          <w:rFonts w:ascii="Arial Narrow" w:hAnsi="Arial Narrow" w:cs="Arial"/>
          <w:color w:val="000000"/>
          <w:sz w:val="24"/>
          <w:szCs w:val="24"/>
          <w:lang w:eastAsia="es-CO"/>
        </w:rPr>
        <w:t>Las características intrínsecas de calidad de los materiales con los cuales son fabricadas las bolsas plásticas.</w:t>
      </w:r>
    </w:p>
    <w:p w:rsidR="00B87BA5" w:rsidRPr="00B87BA5" w:rsidRDefault="00B87BA5" w:rsidP="00B87BA5">
      <w:pPr>
        <w:spacing w:after="100" w:afterAutospacing="1"/>
        <w:mirrorIndents/>
        <w:rPr>
          <w:rFonts w:ascii="Arial Narrow" w:hAnsi="Arial Narrow" w:cs="Arial"/>
          <w:color w:val="000000"/>
          <w:sz w:val="24"/>
          <w:szCs w:val="24"/>
          <w:lang w:eastAsia="es-CO"/>
        </w:rPr>
      </w:pPr>
      <w:r w:rsidRPr="00B87BA5">
        <w:rPr>
          <w:rFonts w:ascii="Arial Narrow" w:hAnsi="Arial Narrow" w:cs="Arial"/>
          <w:color w:val="000000"/>
          <w:sz w:val="24"/>
          <w:szCs w:val="24"/>
          <w:lang w:eastAsia="es-CO"/>
        </w:rPr>
        <w:t>Información emitida por la Agencia de Protección Ambiental de los Estados Unidos revela que aproximadamente se consumen cada año, alrededor del mundo, entre 500 billones y</w:t>
      </w:r>
      <w:r>
        <w:rPr>
          <w:rFonts w:ascii="Arial Narrow" w:hAnsi="Arial Narrow" w:cs="Arial"/>
          <w:color w:val="000000"/>
          <w:sz w:val="24"/>
          <w:szCs w:val="24"/>
          <w:lang w:eastAsia="es-CO"/>
        </w:rPr>
        <w:t xml:space="preserve"> un trillón de bolsas plásticas</w:t>
      </w:r>
      <w:r w:rsidRPr="00B87BA5">
        <w:rPr>
          <w:rFonts w:ascii="Arial Narrow" w:hAnsi="Arial Narrow" w:cs="Arial"/>
          <w:color w:val="000000"/>
          <w:sz w:val="24"/>
          <w:szCs w:val="24"/>
          <w:lang w:eastAsia="es-CO"/>
        </w:rPr>
        <w:t>, Menos del 1% de las bolsas se recicla. Es más costoso reciclar una bolsa plástica que producir una nueva.</w:t>
      </w:r>
    </w:p>
    <w:p w:rsidR="00B87BA5" w:rsidRPr="00B87BA5" w:rsidRDefault="00C15F71" w:rsidP="00B87BA5">
      <w:pPr>
        <w:spacing w:after="100" w:afterAutospacing="1"/>
        <w:mirrorIndents/>
        <w:rPr>
          <w:rFonts w:ascii="Arial Narrow" w:hAnsi="Arial Narrow" w:cs="Arial"/>
          <w:color w:val="000000"/>
          <w:sz w:val="24"/>
          <w:szCs w:val="24"/>
          <w:lang w:eastAsia="es-CO"/>
        </w:rPr>
      </w:pPr>
      <w:r>
        <w:rPr>
          <w:rFonts w:ascii="Arial Narrow" w:hAnsi="Arial Narrow" w:cs="Arial"/>
          <w:color w:val="000000"/>
          <w:sz w:val="24"/>
          <w:szCs w:val="24"/>
          <w:lang w:eastAsia="es-CO"/>
        </w:rPr>
        <w:t>Con la aplicación de la norma propuesta, se busca promover la reutilización de bolsas en el proceso de separación en la fuente, y reducir el consumo de bolsas adquiridas por el consumidor para el almacenamiento de residuos en viviendas y otros tipos de pequeños generadores.</w:t>
      </w:r>
    </w:p>
    <w:p w:rsidR="006D2417" w:rsidRPr="00B87BA5" w:rsidRDefault="006D2417" w:rsidP="006D2417">
      <w:pPr>
        <w:pStyle w:val="NormalWeb"/>
        <w:shd w:val="clear" w:color="auto" w:fill="FFFFFF"/>
        <w:spacing w:before="0" w:beforeAutospacing="0" w:after="0" w:afterAutospacing="0"/>
        <w:ind w:left="284"/>
        <w:rPr>
          <w:rFonts w:ascii="Arial Narrow" w:hAnsi="Arial Narrow" w:cs="Arial"/>
          <w:color w:val="000000"/>
        </w:rPr>
      </w:pPr>
    </w:p>
    <w:p w:rsidR="006D2417" w:rsidRPr="00B87BA5" w:rsidRDefault="006D2417" w:rsidP="001A44B7">
      <w:pPr>
        <w:pStyle w:val="NormalWeb"/>
        <w:numPr>
          <w:ilvl w:val="0"/>
          <w:numId w:val="2"/>
        </w:numPr>
        <w:shd w:val="clear" w:color="auto" w:fill="FFFFFF"/>
        <w:spacing w:before="0" w:beforeAutospacing="0" w:after="0" w:afterAutospacing="0"/>
        <w:ind w:left="284" w:hanging="284"/>
        <w:rPr>
          <w:rFonts w:ascii="Arial Narrow" w:hAnsi="Arial Narrow" w:cs="Arial"/>
          <w:b/>
          <w:color w:val="000000"/>
        </w:rPr>
      </w:pPr>
      <w:r w:rsidRPr="00B87BA5">
        <w:rPr>
          <w:rFonts w:ascii="Arial Narrow" w:hAnsi="Arial Narrow" w:cs="Arial"/>
          <w:b/>
          <w:color w:val="000000"/>
        </w:rPr>
        <w:t>El cumplimiento de los requisitos de consulta y publicidad, cuando haya lugar a ello</w:t>
      </w:r>
      <w:r w:rsidRPr="00B87BA5">
        <w:rPr>
          <w:rFonts w:ascii="Arial Narrow" w:hAnsi="Arial Narrow" w:cs="Arial"/>
          <w:b/>
          <w:color w:val="000000"/>
          <w:shd w:val="clear" w:color="auto" w:fill="FFFFFF"/>
        </w:rPr>
        <w:t xml:space="preserve"> deberá anexarse la constancia que acredite que se ha cumplido dicho trámite.</w:t>
      </w:r>
    </w:p>
    <w:p w:rsidR="006D2417" w:rsidRPr="00B87BA5" w:rsidRDefault="006D2417" w:rsidP="006D2417">
      <w:pPr>
        <w:pStyle w:val="NormalWeb"/>
        <w:shd w:val="clear" w:color="auto" w:fill="FFFFFF"/>
        <w:spacing w:before="0" w:beforeAutospacing="0" w:after="0" w:afterAutospacing="0"/>
        <w:rPr>
          <w:rFonts w:ascii="Arial Narrow" w:hAnsi="Arial Narrow" w:cs="Arial"/>
          <w:color w:val="000000"/>
        </w:rPr>
      </w:pPr>
    </w:p>
    <w:p w:rsidR="006D2417" w:rsidRDefault="00817F1B" w:rsidP="002F34E5">
      <w:pPr>
        <w:pStyle w:val="NormalWeb"/>
        <w:shd w:val="clear" w:color="auto" w:fill="FFFFFF"/>
        <w:spacing w:before="0" w:beforeAutospacing="0" w:after="0" w:afterAutospacing="0"/>
        <w:rPr>
          <w:rFonts w:ascii="Arial Narrow" w:hAnsi="Arial Narrow" w:cs="Arial"/>
          <w:color w:val="000000"/>
        </w:rPr>
      </w:pPr>
      <w:r w:rsidRPr="00B87BA5">
        <w:rPr>
          <w:rFonts w:ascii="Arial Narrow" w:hAnsi="Arial Narrow" w:cs="Arial"/>
          <w:color w:val="000000"/>
        </w:rPr>
        <w:t>No aplica.</w:t>
      </w:r>
    </w:p>
    <w:p w:rsidR="001A44B7" w:rsidRPr="00B87BA5" w:rsidRDefault="001A44B7" w:rsidP="002F34E5">
      <w:pPr>
        <w:pStyle w:val="NormalWeb"/>
        <w:shd w:val="clear" w:color="auto" w:fill="FFFFFF"/>
        <w:spacing w:before="0" w:beforeAutospacing="0" w:after="0" w:afterAutospacing="0"/>
        <w:rPr>
          <w:rFonts w:ascii="Arial Narrow" w:hAnsi="Arial Narrow" w:cs="Arial"/>
          <w:color w:val="000000"/>
        </w:rPr>
      </w:pPr>
    </w:p>
    <w:p w:rsidR="006D2417" w:rsidRPr="00B87BA5" w:rsidRDefault="006D2417" w:rsidP="006D2417">
      <w:pPr>
        <w:pStyle w:val="NormalWeb"/>
        <w:shd w:val="clear" w:color="auto" w:fill="FFFFFF"/>
        <w:spacing w:before="0" w:beforeAutospacing="0" w:after="0" w:afterAutospacing="0"/>
        <w:ind w:left="284"/>
        <w:rPr>
          <w:rFonts w:ascii="Arial Narrow" w:hAnsi="Arial Narrow" w:cs="Arial"/>
          <w:color w:val="000000"/>
        </w:rPr>
      </w:pPr>
    </w:p>
    <w:p w:rsidR="006D2417" w:rsidRPr="00B87BA5" w:rsidRDefault="006D2417" w:rsidP="001A44B7">
      <w:pPr>
        <w:pStyle w:val="NormalWeb"/>
        <w:numPr>
          <w:ilvl w:val="0"/>
          <w:numId w:val="2"/>
        </w:numPr>
        <w:shd w:val="clear" w:color="auto" w:fill="FFFFFF"/>
        <w:spacing w:before="0" w:beforeAutospacing="0" w:after="0" w:afterAutospacing="0"/>
        <w:ind w:left="284" w:hanging="284"/>
        <w:rPr>
          <w:rFonts w:ascii="Arial Narrow" w:hAnsi="Arial Narrow" w:cs="Arial"/>
          <w:b/>
          <w:color w:val="000000"/>
        </w:rPr>
      </w:pPr>
      <w:r w:rsidRPr="00B87BA5">
        <w:rPr>
          <w:rFonts w:ascii="Arial Narrow" w:hAnsi="Arial Narrow" w:cs="Arial"/>
          <w:b/>
          <w:color w:val="000000"/>
        </w:rPr>
        <w:t>Cualquier otro aspecto que se considere relevante o de importancia para la adopción de la decisión.</w:t>
      </w:r>
    </w:p>
    <w:p w:rsidR="006D2417" w:rsidRPr="00B87BA5" w:rsidRDefault="006D2417" w:rsidP="006D2417">
      <w:pPr>
        <w:pStyle w:val="NormalWeb"/>
        <w:shd w:val="clear" w:color="auto" w:fill="FFFFFF"/>
        <w:spacing w:before="0" w:beforeAutospacing="0" w:after="0" w:afterAutospacing="0"/>
        <w:rPr>
          <w:rFonts w:ascii="Arial Narrow" w:hAnsi="Arial Narrow" w:cs="Arial"/>
          <w:color w:val="FF0000"/>
        </w:rPr>
      </w:pPr>
    </w:p>
    <w:p w:rsidR="004A1181" w:rsidRPr="00B87BA5" w:rsidRDefault="004A1181" w:rsidP="006D2417">
      <w:pPr>
        <w:pStyle w:val="NormalWeb"/>
        <w:shd w:val="clear" w:color="auto" w:fill="FFFFFF"/>
        <w:spacing w:before="0" w:beforeAutospacing="0" w:after="0" w:afterAutospacing="0"/>
        <w:rPr>
          <w:rFonts w:ascii="Arial Narrow" w:hAnsi="Arial Narrow" w:cs="Arial"/>
        </w:rPr>
      </w:pPr>
      <w:r w:rsidRPr="00B87BA5">
        <w:rPr>
          <w:rFonts w:ascii="Arial Narrow" w:hAnsi="Arial Narrow" w:cs="Arial"/>
        </w:rPr>
        <w:t>La expedición de una norma para</w:t>
      </w:r>
      <w:r w:rsidR="00EF033D" w:rsidRPr="00B87BA5">
        <w:rPr>
          <w:rFonts w:ascii="Arial Narrow" w:hAnsi="Arial Narrow" w:cs="Arial"/>
        </w:rPr>
        <w:t xml:space="preserve"> la optimización de</w:t>
      </w:r>
      <w:r w:rsidRPr="00B87BA5">
        <w:rPr>
          <w:rFonts w:ascii="Arial Narrow" w:hAnsi="Arial Narrow" w:cs="Arial"/>
        </w:rPr>
        <w:t xml:space="preserve"> </w:t>
      </w:r>
      <w:r w:rsidR="000113F0" w:rsidRPr="00B87BA5">
        <w:rPr>
          <w:rFonts w:ascii="Arial Narrow" w:hAnsi="Arial Narrow" w:cs="Arial"/>
        </w:rPr>
        <w:t>la gestión de l</w:t>
      </w:r>
      <w:r w:rsidR="00C15F71">
        <w:rPr>
          <w:rFonts w:ascii="Arial Narrow" w:hAnsi="Arial Narrow" w:cs="Arial"/>
        </w:rPr>
        <w:t>os residuos sólidos ordinarios mediante el fomento de la separación en la fuente</w:t>
      </w:r>
      <w:r w:rsidR="000113F0" w:rsidRPr="00B87BA5">
        <w:rPr>
          <w:rFonts w:ascii="Arial Narrow" w:hAnsi="Arial Narrow" w:cs="Arial"/>
        </w:rPr>
        <w:t xml:space="preserve">, implica la oportunidad de </w:t>
      </w:r>
      <w:r w:rsidR="00EF033D" w:rsidRPr="00B87BA5">
        <w:rPr>
          <w:rFonts w:ascii="Arial Narrow" w:hAnsi="Arial Narrow" w:cs="Arial"/>
        </w:rPr>
        <w:t>mejorar</w:t>
      </w:r>
      <w:r w:rsidR="000113F0" w:rsidRPr="00B87BA5">
        <w:rPr>
          <w:rFonts w:ascii="Arial Narrow" w:hAnsi="Arial Narrow" w:cs="Arial"/>
        </w:rPr>
        <w:t xml:space="preserve"> las condiciones ambientales de nuestro país, y</w:t>
      </w:r>
      <w:r w:rsidR="00EF033D" w:rsidRPr="00B87BA5">
        <w:rPr>
          <w:rFonts w:ascii="Arial Narrow" w:hAnsi="Arial Narrow" w:cs="Arial"/>
        </w:rPr>
        <w:t xml:space="preserve"> además generar beneficios económicos, tanto</w:t>
      </w:r>
      <w:r w:rsidR="00C15F71">
        <w:rPr>
          <w:rFonts w:ascii="Arial Narrow" w:hAnsi="Arial Narrow" w:cs="Arial"/>
        </w:rPr>
        <w:t xml:space="preserve"> a los generadores de residuos</w:t>
      </w:r>
      <w:r w:rsidR="004452C6">
        <w:rPr>
          <w:rFonts w:ascii="Arial Narrow" w:hAnsi="Arial Narrow" w:cs="Arial"/>
        </w:rPr>
        <w:t xml:space="preserve"> ordinarios</w:t>
      </w:r>
      <w:r w:rsidR="00EF033D" w:rsidRPr="00B87BA5">
        <w:rPr>
          <w:rFonts w:ascii="Arial Narrow" w:hAnsi="Arial Narrow" w:cs="Arial"/>
        </w:rPr>
        <w:t xml:space="preserve">, como a las industrias </w:t>
      </w:r>
      <w:r w:rsidR="004452C6">
        <w:rPr>
          <w:rFonts w:ascii="Arial Narrow" w:hAnsi="Arial Narrow" w:cs="Arial"/>
        </w:rPr>
        <w:t xml:space="preserve">y recuperadores </w:t>
      </w:r>
      <w:r w:rsidR="00EF033D" w:rsidRPr="00B87BA5">
        <w:rPr>
          <w:rFonts w:ascii="Arial Narrow" w:hAnsi="Arial Narrow" w:cs="Arial"/>
        </w:rPr>
        <w:t>encargadas de su gestión.</w:t>
      </w:r>
      <w:r w:rsidRPr="00B87BA5">
        <w:rPr>
          <w:rFonts w:ascii="Arial Narrow" w:hAnsi="Arial Narrow" w:cs="Arial"/>
        </w:rPr>
        <w:t xml:space="preserve"> </w:t>
      </w:r>
    </w:p>
    <w:p w:rsidR="006D2417" w:rsidRPr="00B87BA5" w:rsidRDefault="006D2417" w:rsidP="006D2417">
      <w:pPr>
        <w:tabs>
          <w:tab w:val="left" w:pos="7365"/>
        </w:tabs>
        <w:jc w:val="center"/>
        <w:rPr>
          <w:rFonts w:ascii="Arial Narrow" w:hAnsi="Arial Narrow" w:cs="Arial"/>
          <w:sz w:val="24"/>
          <w:szCs w:val="24"/>
        </w:rPr>
      </w:pPr>
    </w:p>
    <w:p w:rsidR="006D2417" w:rsidRPr="00B87BA5" w:rsidRDefault="006D2417" w:rsidP="006D2417">
      <w:pPr>
        <w:tabs>
          <w:tab w:val="left" w:pos="7365"/>
        </w:tabs>
        <w:jc w:val="center"/>
        <w:rPr>
          <w:rFonts w:ascii="Arial Narrow" w:hAnsi="Arial Narrow" w:cs="Arial"/>
          <w:sz w:val="24"/>
          <w:szCs w:val="24"/>
        </w:rPr>
      </w:pPr>
    </w:p>
    <w:p w:rsidR="006D2417" w:rsidRPr="00B87BA5" w:rsidRDefault="006D2417" w:rsidP="006D2417">
      <w:pPr>
        <w:tabs>
          <w:tab w:val="left" w:pos="7365"/>
        </w:tabs>
        <w:jc w:val="center"/>
        <w:rPr>
          <w:rFonts w:ascii="Arial Narrow" w:hAnsi="Arial Narrow" w:cs="Arial"/>
          <w:sz w:val="24"/>
          <w:szCs w:val="24"/>
        </w:rPr>
      </w:pPr>
    </w:p>
    <w:p w:rsidR="006D2417" w:rsidRPr="00B87BA5" w:rsidRDefault="006D2417" w:rsidP="006D2417">
      <w:pPr>
        <w:tabs>
          <w:tab w:val="left" w:pos="7365"/>
        </w:tabs>
        <w:jc w:val="center"/>
        <w:rPr>
          <w:rFonts w:ascii="Arial Narrow" w:hAnsi="Arial Narrow" w:cs="Arial"/>
          <w:sz w:val="24"/>
          <w:szCs w:val="24"/>
        </w:rPr>
      </w:pPr>
    </w:p>
    <w:p w:rsidR="006D2417" w:rsidRPr="00B87BA5" w:rsidRDefault="006D2417" w:rsidP="006D2417">
      <w:pPr>
        <w:tabs>
          <w:tab w:val="left" w:pos="7365"/>
        </w:tabs>
        <w:jc w:val="center"/>
        <w:rPr>
          <w:rFonts w:ascii="Arial Narrow" w:hAnsi="Arial Narrow" w:cs="Arial"/>
          <w:sz w:val="24"/>
          <w:szCs w:val="24"/>
        </w:rPr>
      </w:pPr>
    </w:p>
    <w:p w:rsidR="006D2417" w:rsidRPr="00B87BA5" w:rsidRDefault="006D2417" w:rsidP="006D2417">
      <w:pPr>
        <w:tabs>
          <w:tab w:val="left" w:pos="7365"/>
        </w:tabs>
        <w:jc w:val="center"/>
        <w:rPr>
          <w:rFonts w:ascii="Arial Narrow" w:hAnsi="Arial Narrow" w:cs="Arial"/>
          <w:sz w:val="24"/>
          <w:szCs w:val="24"/>
        </w:rPr>
      </w:pPr>
    </w:p>
    <w:p w:rsidR="006D2417" w:rsidRPr="00B87BA5" w:rsidRDefault="006D2417" w:rsidP="006D2417">
      <w:pPr>
        <w:tabs>
          <w:tab w:val="left" w:pos="7365"/>
        </w:tabs>
        <w:jc w:val="center"/>
        <w:rPr>
          <w:rFonts w:ascii="Arial Narrow" w:hAnsi="Arial Narrow" w:cs="Arial"/>
          <w:sz w:val="24"/>
          <w:szCs w:val="24"/>
        </w:rPr>
      </w:pPr>
    </w:p>
    <w:p w:rsidR="004E58C2" w:rsidRPr="00B87BA5" w:rsidRDefault="004E58C2" w:rsidP="006D2417">
      <w:pPr>
        <w:jc w:val="center"/>
        <w:rPr>
          <w:rFonts w:ascii="Arial Narrow" w:hAnsi="Arial Narrow" w:cs="Arial"/>
          <w:b/>
          <w:sz w:val="24"/>
          <w:szCs w:val="24"/>
          <w:highlight w:val="yellow"/>
        </w:rPr>
      </w:pPr>
      <w:r w:rsidRPr="00B87BA5">
        <w:rPr>
          <w:rFonts w:ascii="Arial Narrow" w:hAnsi="Arial Narrow" w:cs="Segoe UI"/>
          <w:b/>
          <w:color w:val="333333"/>
          <w:sz w:val="24"/>
          <w:szCs w:val="24"/>
          <w:shd w:val="clear" w:color="auto" w:fill="FFFFFF"/>
        </w:rPr>
        <w:t>WILLER EDILBERTO GUEVARA HURTADO</w:t>
      </w:r>
      <w:r w:rsidRPr="00B87BA5">
        <w:rPr>
          <w:rFonts w:ascii="Arial Narrow" w:hAnsi="Arial Narrow" w:cs="Arial"/>
          <w:b/>
          <w:sz w:val="24"/>
          <w:szCs w:val="24"/>
          <w:highlight w:val="yellow"/>
        </w:rPr>
        <w:t xml:space="preserve"> </w:t>
      </w:r>
    </w:p>
    <w:p w:rsidR="006D2417" w:rsidRPr="00B87BA5" w:rsidRDefault="006D2417" w:rsidP="006D2417">
      <w:pPr>
        <w:jc w:val="center"/>
        <w:rPr>
          <w:rFonts w:ascii="Arial Narrow" w:hAnsi="Arial Narrow" w:cs="Arial"/>
          <w:sz w:val="24"/>
          <w:szCs w:val="24"/>
        </w:rPr>
      </w:pPr>
      <w:r w:rsidRPr="00B87BA5">
        <w:rPr>
          <w:rFonts w:ascii="Arial Narrow" w:hAnsi="Arial Narrow" w:cs="Arial"/>
          <w:sz w:val="24"/>
          <w:szCs w:val="24"/>
        </w:rPr>
        <w:t>Director de Asuntos Ambientales, Sectorial y Urbana</w:t>
      </w:r>
    </w:p>
    <w:p w:rsidR="006D2417" w:rsidRPr="00B87BA5" w:rsidRDefault="006D2417" w:rsidP="006D2417">
      <w:pPr>
        <w:jc w:val="center"/>
        <w:rPr>
          <w:rFonts w:ascii="Arial Narrow" w:hAnsi="Arial Narrow" w:cs="Arial"/>
          <w:bCs/>
          <w:sz w:val="24"/>
          <w:szCs w:val="24"/>
          <w:lang w:val="es-ES"/>
        </w:rPr>
      </w:pPr>
      <w:r w:rsidRPr="00B87BA5">
        <w:rPr>
          <w:rFonts w:ascii="Arial Narrow" w:hAnsi="Arial Narrow" w:cs="Arial"/>
          <w:sz w:val="24"/>
          <w:szCs w:val="24"/>
        </w:rPr>
        <w:t>Ministerio de Ambiente y Desarrollo Sostenible</w:t>
      </w:r>
    </w:p>
    <w:p w:rsidR="006D2417" w:rsidRPr="00B87BA5" w:rsidRDefault="006D2417" w:rsidP="006D2417">
      <w:pPr>
        <w:tabs>
          <w:tab w:val="left" w:pos="7365"/>
        </w:tabs>
        <w:jc w:val="center"/>
        <w:rPr>
          <w:rFonts w:ascii="Arial Narrow" w:hAnsi="Arial Narrow" w:cs="Arial"/>
          <w:sz w:val="24"/>
          <w:szCs w:val="24"/>
          <w:highlight w:val="yellow"/>
          <w:lang w:val="es-ES"/>
        </w:rPr>
      </w:pPr>
    </w:p>
    <w:p w:rsidR="006D2417" w:rsidRPr="00B87BA5" w:rsidRDefault="006D2417" w:rsidP="006D2417">
      <w:pPr>
        <w:tabs>
          <w:tab w:val="left" w:pos="7365"/>
        </w:tabs>
        <w:rPr>
          <w:rFonts w:ascii="Arial Narrow" w:hAnsi="Arial Narrow" w:cs="Arial"/>
          <w:sz w:val="24"/>
          <w:szCs w:val="24"/>
          <w:highlight w:val="yellow"/>
        </w:rPr>
      </w:pPr>
    </w:p>
    <w:p w:rsidR="00455753" w:rsidRPr="00B87BA5" w:rsidRDefault="00455753" w:rsidP="006D2417">
      <w:pPr>
        <w:tabs>
          <w:tab w:val="left" w:pos="7365"/>
        </w:tabs>
        <w:rPr>
          <w:rFonts w:ascii="Arial Narrow" w:hAnsi="Arial Narrow" w:cs="Arial"/>
          <w:sz w:val="24"/>
          <w:szCs w:val="24"/>
          <w:highlight w:val="yellow"/>
        </w:rPr>
      </w:pPr>
    </w:p>
    <w:p w:rsidR="006D2417" w:rsidRPr="00B87BA5" w:rsidRDefault="006D2417" w:rsidP="004E58C2">
      <w:pPr>
        <w:shd w:val="clear" w:color="auto" w:fill="FFFFFF" w:themeFill="background1"/>
        <w:tabs>
          <w:tab w:val="left" w:pos="7365"/>
        </w:tabs>
        <w:rPr>
          <w:rFonts w:ascii="Arial Narrow" w:hAnsi="Arial Narrow" w:cs="Arial"/>
          <w:sz w:val="24"/>
          <w:szCs w:val="24"/>
        </w:rPr>
      </w:pPr>
    </w:p>
    <w:p w:rsidR="00030CB3" w:rsidRPr="00B87BA5" w:rsidRDefault="00030CB3" w:rsidP="006D2417">
      <w:pPr>
        <w:rPr>
          <w:rFonts w:ascii="Arial Narrow" w:hAnsi="Arial Narrow"/>
          <w:sz w:val="24"/>
          <w:szCs w:val="24"/>
        </w:rPr>
      </w:pPr>
    </w:p>
    <w:sectPr w:rsidR="00030CB3" w:rsidRPr="00B87BA5" w:rsidSect="00B72A4D">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4F9" w:rsidRDefault="004C54F9" w:rsidP="00CD6908">
      <w:r>
        <w:separator/>
      </w:r>
    </w:p>
  </w:endnote>
  <w:endnote w:type="continuationSeparator" w:id="0">
    <w:p w:rsidR="004C54F9" w:rsidRDefault="004C54F9"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uturaStd-Book">
    <w:altName w:val="MS Gothic"/>
    <w:panose1 w:val="00000000000000000000"/>
    <w:charset w:val="80"/>
    <w:family w:val="swiss"/>
    <w:notTrueType/>
    <w:pitch w:val="default"/>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141922"/>
      <w:docPartObj>
        <w:docPartGallery w:val="Page Numbers (Bottom of Page)"/>
        <w:docPartUnique/>
      </w:docPartObj>
    </w:sdtPr>
    <w:sdtEndPr/>
    <w:sdtContent>
      <w:p w:rsidR="00BE7573" w:rsidRDefault="00BE7573">
        <w:pPr>
          <w:pStyle w:val="Piedepgina"/>
          <w:jc w:val="right"/>
        </w:pPr>
        <w:r>
          <w:fldChar w:fldCharType="begin"/>
        </w:r>
        <w:r>
          <w:instrText>PAGE   \* MERGEFORMAT</w:instrText>
        </w:r>
        <w:r>
          <w:fldChar w:fldCharType="separate"/>
        </w:r>
        <w:r w:rsidR="002E05DF" w:rsidRPr="002E05DF">
          <w:rPr>
            <w:noProof/>
            <w:lang w:val="es-ES"/>
          </w:rPr>
          <w:t>1</w:t>
        </w:r>
        <w:r>
          <w:fldChar w:fldCharType="end"/>
        </w:r>
      </w:p>
    </w:sdtContent>
  </w:sdt>
  <w:p w:rsidR="00BE7573" w:rsidRPr="00854ED8" w:rsidRDefault="00BE7573" w:rsidP="00854ED8">
    <w:pPr>
      <w:pStyle w:val="Piedepgina"/>
      <w:jc w:val="right"/>
      <w:rPr>
        <w:rFonts w:ascii="Verdana" w:hAnsi="Verdan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4F9" w:rsidRDefault="004C54F9" w:rsidP="00CD6908">
      <w:r>
        <w:separator/>
      </w:r>
    </w:p>
  </w:footnote>
  <w:footnote w:type="continuationSeparator" w:id="0">
    <w:p w:rsidR="004C54F9" w:rsidRDefault="004C54F9" w:rsidP="00CD6908">
      <w:r>
        <w:continuationSeparator/>
      </w:r>
    </w:p>
  </w:footnote>
  <w:footnote w:id="1">
    <w:p w:rsidR="00B87BA5" w:rsidRPr="005C24EF" w:rsidRDefault="00B87BA5" w:rsidP="00B87BA5">
      <w:pPr>
        <w:pStyle w:val="Textonotapie"/>
        <w:jc w:val="both"/>
        <w:rPr>
          <w:rFonts w:ascii="Arial Narrow" w:hAnsi="Arial Narrow"/>
          <w:sz w:val="16"/>
          <w:szCs w:val="16"/>
        </w:rPr>
      </w:pPr>
      <w:r w:rsidRPr="005751EC">
        <w:rPr>
          <w:rFonts w:ascii="Arial Narrow" w:eastAsia="FuturaStd-Book" w:hAnsi="Arial Narrow" w:cs="FuturaStd-Book"/>
          <w:sz w:val="16"/>
          <w:szCs w:val="16"/>
          <w:vertAlign w:val="superscript"/>
          <w:lang w:val="es-CO" w:eastAsia="en-US"/>
        </w:rPr>
        <w:footnoteRef/>
      </w:r>
      <w:r w:rsidRPr="005C24EF">
        <w:rPr>
          <w:rFonts w:ascii="Arial Narrow" w:eastAsia="FuturaStd-Book" w:hAnsi="Arial Narrow" w:cs="FuturaStd-Book"/>
          <w:sz w:val="16"/>
          <w:szCs w:val="16"/>
          <w:lang w:val="es-CO" w:eastAsia="en-US"/>
        </w:rPr>
        <w:t xml:space="preserve"> </w:t>
      </w:r>
      <w:r w:rsidRPr="005C24EF">
        <w:rPr>
          <w:rFonts w:ascii="Arial Narrow" w:eastAsia="FuturaStd-Book" w:hAnsi="Arial Narrow" w:cs="FuturaStd-Book"/>
          <w:sz w:val="16"/>
          <w:szCs w:val="16"/>
          <w:vertAlign w:val="subscript"/>
          <w:lang w:val="es-CO" w:eastAsia="en-US"/>
        </w:rPr>
        <w:t xml:space="preserve"> </w:t>
      </w:r>
      <w:r w:rsidRPr="005C24EF">
        <w:rPr>
          <w:rFonts w:ascii="Arial Narrow" w:eastAsia="FuturaStd-Book" w:hAnsi="Arial Narrow" w:cs="FuturaStd-Book"/>
          <w:sz w:val="16"/>
          <w:szCs w:val="16"/>
          <w:lang w:val="es-CO" w:eastAsia="en-US"/>
        </w:rPr>
        <w:t>La OCDE define el crecimiento verde como “El fomento del crecimiento y el desarrollo económico, al tiempo que se asegura que los bienes naturales continúan suministrando los recursos y servicios ambientales de los cuales depende nuestro bienestar. Para lograrlo, debe catalizar inversión e innovación que apuntalen el crecimiento sostenido y abran paso a nuevas oportunidades económicas”.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573" w:rsidRDefault="00BE7573" w:rsidP="0075473F">
    <w:pPr>
      <w:pStyle w:val="Encabezado"/>
      <w:jc w:val="right"/>
      <w:rPr>
        <w:noProof/>
        <w:lang w:eastAsia="es-CO"/>
      </w:rPr>
    </w:pPr>
    <w:r>
      <w:rPr>
        <w:noProof/>
        <w:lang w:eastAsia="es-CO"/>
      </w:rPr>
      <w:drawing>
        <wp:anchor distT="0" distB="0" distL="114300" distR="114300" simplePos="0" relativeHeight="251658240" behindDoc="1" locked="0" layoutInCell="1" allowOverlap="1" wp14:anchorId="7D05F398" wp14:editId="685F0A39">
          <wp:simplePos x="0" y="0"/>
          <wp:positionH relativeFrom="column">
            <wp:posOffset>3707765</wp:posOffset>
          </wp:positionH>
          <wp:positionV relativeFrom="paragraph">
            <wp:posOffset>-189230</wp:posOffset>
          </wp:positionV>
          <wp:extent cx="2077244" cy="1582662"/>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079475" cy="1584362"/>
                  </a:xfrm>
                  <a:prstGeom prst="rect">
                    <a:avLst/>
                  </a:prstGeom>
                </pic:spPr>
              </pic:pic>
            </a:graphicData>
          </a:graphic>
          <wp14:sizeRelH relativeFrom="margin">
            <wp14:pctWidth>0</wp14:pctWidth>
          </wp14:sizeRelH>
          <wp14:sizeRelV relativeFrom="margin">
            <wp14:pctHeight>0</wp14:pctHeight>
          </wp14:sizeRelV>
        </wp:anchor>
      </w:drawing>
    </w:r>
  </w:p>
  <w:p w:rsidR="00BE7573" w:rsidRDefault="00BE7573" w:rsidP="0077490D">
    <w:pPr>
      <w:pStyle w:val="Encabezado"/>
      <w:jc w:val="right"/>
      <w:rPr>
        <w:rFonts w:ascii="Verdana" w:hAnsi="Verdana"/>
      </w:rPr>
    </w:pPr>
  </w:p>
  <w:p w:rsidR="00BE7573" w:rsidRDefault="00BE7573" w:rsidP="0077490D">
    <w:pPr>
      <w:pStyle w:val="Encabezado"/>
      <w:jc w:val="right"/>
      <w:rPr>
        <w:rFonts w:ascii="Verdana" w:hAnsi="Verdana"/>
      </w:rPr>
    </w:pPr>
  </w:p>
  <w:p w:rsidR="00BE7573" w:rsidRDefault="00BE7573" w:rsidP="0077490D">
    <w:pPr>
      <w:pStyle w:val="Encabezado"/>
      <w:jc w:val="right"/>
      <w:rPr>
        <w:rFonts w:ascii="Verdana" w:hAnsi="Verdana"/>
      </w:rPr>
    </w:pPr>
  </w:p>
  <w:p w:rsidR="00BE7573" w:rsidRDefault="00BE7573" w:rsidP="0077490D">
    <w:pPr>
      <w:pStyle w:val="Encabezado"/>
      <w:jc w:val="right"/>
      <w:rPr>
        <w:rFonts w:ascii="Verdana" w:hAnsi="Verdana"/>
      </w:rPr>
    </w:pPr>
  </w:p>
  <w:p w:rsidR="00BE7573" w:rsidRDefault="00BE7573" w:rsidP="0077490D">
    <w:pPr>
      <w:pStyle w:val="Encabezado"/>
      <w:jc w:val="right"/>
      <w:rPr>
        <w:rFonts w:ascii="Verdana" w:hAnsi="Verdana"/>
      </w:rPr>
    </w:pPr>
  </w:p>
  <w:p w:rsidR="00BE7573" w:rsidRDefault="00BE7573" w:rsidP="0077490D">
    <w:pPr>
      <w:pStyle w:val="Encabezado"/>
      <w:jc w:val="right"/>
      <w:rPr>
        <w:rFonts w:ascii="Verdana" w:hAnsi="Verdana"/>
      </w:rPr>
    </w:pPr>
  </w:p>
  <w:p w:rsidR="00BE7573" w:rsidRDefault="00BE7573" w:rsidP="0077490D">
    <w:pPr>
      <w:pStyle w:val="Encabezado"/>
      <w:jc w:val="right"/>
      <w:rPr>
        <w:rFonts w:ascii="Verdana" w:hAnsi="Verdana"/>
      </w:rPr>
    </w:pPr>
  </w:p>
  <w:p w:rsidR="00BE7573" w:rsidRDefault="00BE7573" w:rsidP="0077490D">
    <w:pPr>
      <w:pStyle w:val="Encabezado"/>
      <w:jc w:val="right"/>
      <w:rPr>
        <w:rFonts w:ascii="Verdana" w:hAnsi="Verdana"/>
      </w:rPr>
    </w:pPr>
  </w:p>
  <w:p w:rsidR="00BE7573" w:rsidRPr="005E2C5E" w:rsidRDefault="00BE7573" w:rsidP="0077490D">
    <w:pPr>
      <w:pStyle w:val="Encabezado"/>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94B"/>
    <w:multiLevelType w:val="hybridMultilevel"/>
    <w:tmpl w:val="513034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9ED78CE"/>
    <w:multiLevelType w:val="hybridMultilevel"/>
    <w:tmpl w:val="9168A7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41F1C67"/>
    <w:multiLevelType w:val="hybridMultilevel"/>
    <w:tmpl w:val="B4FA730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3287913"/>
    <w:multiLevelType w:val="hybridMultilevel"/>
    <w:tmpl w:val="1B48E5D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AF075BF"/>
    <w:multiLevelType w:val="hybridMultilevel"/>
    <w:tmpl w:val="0076192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B245048"/>
    <w:multiLevelType w:val="hybridMultilevel"/>
    <w:tmpl w:val="5BA0782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C0F7933"/>
    <w:multiLevelType w:val="hybridMultilevel"/>
    <w:tmpl w:val="B756FAF6"/>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7">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F783E41"/>
    <w:multiLevelType w:val="hybridMultilevel"/>
    <w:tmpl w:val="9014EC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15B1DA8"/>
    <w:multiLevelType w:val="hybridMultilevel"/>
    <w:tmpl w:val="D67CE22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E1862DB"/>
    <w:multiLevelType w:val="hybridMultilevel"/>
    <w:tmpl w:val="7262AB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EF212D6"/>
    <w:multiLevelType w:val="hybridMultilevel"/>
    <w:tmpl w:val="83500E24"/>
    <w:lvl w:ilvl="0" w:tplc="240A000D">
      <w:start w:val="1"/>
      <w:numFmt w:val="bullet"/>
      <w:lvlText w:val=""/>
      <w:lvlJc w:val="left"/>
      <w:pPr>
        <w:ind w:left="1776" w:hanging="360"/>
      </w:pPr>
      <w:rPr>
        <w:rFonts w:ascii="Wingdings" w:hAnsi="Wingdings"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2">
    <w:nsid w:val="435E1DD7"/>
    <w:multiLevelType w:val="hybridMultilevel"/>
    <w:tmpl w:val="8716C8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5D0757D"/>
    <w:multiLevelType w:val="hybridMultilevel"/>
    <w:tmpl w:val="2E12E8B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FE714FC"/>
    <w:multiLevelType w:val="hybridMultilevel"/>
    <w:tmpl w:val="979A92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CE91F94"/>
    <w:multiLevelType w:val="hybridMultilevel"/>
    <w:tmpl w:val="2CAC13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62C274C1"/>
    <w:multiLevelType w:val="hybridMultilevel"/>
    <w:tmpl w:val="7EA291C8"/>
    <w:lvl w:ilvl="0" w:tplc="D4380156">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3557093"/>
    <w:multiLevelType w:val="hybridMultilevel"/>
    <w:tmpl w:val="EC2031C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02A5B58"/>
    <w:multiLevelType w:val="hybridMultilevel"/>
    <w:tmpl w:val="4F667450"/>
    <w:lvl w:ilvl="0" w:tplc="F5403A4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3485F37"/>
    <w:multiLevelType w:val="hybridMultilevel"/>
    <w:tmpl w:val="84E021A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74F3623A"/>
    <w:multiLevelType w:val="hybridMultilevel"/>
    <w:tmpl w:val="621A195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1">
    <w:nsid w:val="7B621ED4"/>
    <w:multiLevelType w:val="hybridMultilevel"/>
    <w:tmpl w:val="ADFE79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6"/>
  </w:num>
  <w:num w:numId="4">
    <w:abstractNumId w:val="12"/>
  </w:num>
  <w:num w:numId="5">
    <w:abstractNumId w:val="8"/>
  </w:num>
  <w:num w:numId="6">
    <w:abstractNumId w:val="15"/>
  </w:num>
  <w:num w:numId="7">
    <w:abstractNumId w:val="21"/>
  </w:num>
  <w:num w:numId="8">
    <w:abstractNumId w:val="10"/>
  </w:num>
  <w:num w:numId="9">
    <w:abstractNumId w:val="1"/>
  </w:num>
  <w:num w:numId="10">
    <w:abstractNumId w:val="6"/>
  </w:num>
  <w:num w:numId="11">
    <w:abstractNumId w:val="3"/>
  </w:num>
  <w:num w:numId="12">
    <w:abstractNumId w:val="11"/>
  </w:num>
  <w:num w:numId="13">
    <w:abstractNumId w:val="2"/>
  </w:num>
  <w:num w:numId="14">
    <w:abstractNumId w:val="4"/>
  </w:num>
  <w:num w:numId="15">
    <w:abstractNumId w:val="14"/>
  </w:num>
  <w:num w:numId="16">
    <w:abstractNumId w:val="0"/>
  </w:num>
  <w:num w:numId="17">
    <w:abstractNumId w:val="9"/>
  </w:num>
  <w:num w:numId="18">
    <w:abstractNumId w:val="18"/>
  </w:num>
  <w:num w:numId="19">
    <w:abstractNumId w:val="17"/>
  </w:num>
  <w:num w:numId="20">
    <w:abstractNumId w:val="19"/>
  </w:num>
  <w:num w:numId="21">
    <w:abstractNumId w:val="5"/>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08"/>
    <w:rsid w:val="000113F0"/>
    <w:rsid w:val="00013CAA"/>
    <w:rsid w:val="00024CED"/>
    <w:rsid w:val="000279FB"/>
    <w:rsid w:val="00030CB3"/>
    <w:rsid w:val="00033E6B"/>
    <w:rsid w:val="00044159"/>
    <w:rsid w:val="00047F75"/>
    <w:rsid w:val="0006138E"/>
    <w:rsid w:val="00066A6E"/>
    <w:rsid w:val="000712FA"/>
    <w:rsid w:val="000866F7"/>
    <w:rsid w:val="000A45A0"/>
    <w:rsid w:val="000C0538"/>
    <w:rsid w:val="000D4EE1"/>
    <w:rsid w:val="000D5906"/>
    <w:rsid w:val="000F00A9"/>
    <w:rsid w:val="00116D8E"/>
    <w:rsid w:val="001347AC"/>
    <w:rsid w:val="00153364"/>
    <w:rsid w:val="001767AD"/>
    <w:rsid w:val="0019161B"/>
    <w:rsid w:val="001A44B7"/>
    <w:rsid w:val="001C7505"/>
    <w:rsid w:val="001C7CF6"/>
    <w:rsid w:val="001D68E2"/>
    <w:rsid w:val="001D7F4A"/>
    <w:rsid w:val="001E6369"/>
    <w:rsid w:val="001E6A54"/>
    <w:rsid w:val="00235AE0"/>
    <w:rsid w:val="00235B5F"/>
    <w:rsid w:val="00242D2A"/>
    <w:rsid w:val="0026608A"/>
    <w:rsid w:val="002704E6"/>
    <w:rsid w:val="00284CAB"/>
    <w:rsid w:val="00286832"/>
    <w:rsid w:val="002A6BA9"/>
    <w:rsid w:val="002E05DF"/>
    <w:rsid w:val="002E5077"/>
    <w:rsid w:val="002F20BD"/>
    <w:rsid w:val="002F34E5"/>
    <w:rsid w:val="00312425"/>
    <w:rsid w:val="0032547E"/>
    <w:rsid w:val="00346F59"/>
    <w:rsid w:val="00370BB1"/>
    <w:rsid w:val="00370FD8"/>
    <w:rsid w:val="0037206F"/>
    <w:rsid w:val="0037395C"/>
    <w:rsid w:val="00377317"/>
    <w:rsid w:val="003A7F16"/>
    <w:rsid w:val="003B01A6"/>
    <w:rsid w:val="003B200D"/>
    <w:rsid w:val="003B37A9"/>
    <w:rsid w:val="003C502D"/>
    <w:rsid w:val="003C5301"/>
    <w:rsid w:val="003D47A8"/>
    <w:rsid w:val="003D63BD"/>
    <w:rsid w:val="003F4319"/>
    <w:rsid w:val="003F5145"/>
    <w:rsid w:val="003F6E24"/>
    <w:rsid w:val="00406C48"/>
    <w:rsid w:val="0040799D"/>
    <w:rsid w:val="004452C6"/>
    <w:rsid w:val="004547C4"/>
    <w:rsid w:val="00455753"/>
    <w:rsid w:val="004737FF"/>
    <w:rsid w:val="004A1181"/>
    <w:rsid w:val="004A7A1A"/>
    <w:rsid w:val="004C54F9"/>
    <w:rsid w:val="004E58C2"/>
    <w:rsid w:val="00507563"/>
    <w:rsid w:val="005245DC"/>
    <w:rsid w:val="00542833"/>
    <w:rsid w:val="00546B5B"/>
    <w:rsid w:val="00561DB9"/>
    <w:rsid w:val="0058370D"/>
    <w:rsid w:val="005A73BD"/>
    <w:rsid w:val="005B1E88"/>
    <w:rsid w:val="005B71F6"/>
    <w:rsid w:val="005C7C4A"/>
    <w:rsid w:val="005D1A1F"/>
    <w:rsid w:val="005E2C5E"/>
    <w:rsid w:val="005E739C"/>
    <w:rsid w:val="00613C95"/>
    <w:rsid w:val="00614134"/>
    <w:rsid w:val="00623FE4"/>
    <w:rsid w:val="00636D26"/>
    <w:rsid w:val="006558B8"/>
    <w:rsid w:val="00656B81"/>
    <w:rsid w:val="00660FBE"/>
    <w:rsid w:val="006760DC"/>
    <w:rsid w:val="00676A74"/>
    <w:rsid w:val="00684B80"/>
    <w:rsid w:val="00686932"/>
    <w:rsid w:val="006D2417"/>
    <w:rsid w:val="006D6DBA"/>
    <w:rsid w:val="006E60BE"/>
    <w:rsid w:val="006F5F10"/>
    <w:rsid w:val="007018BE"/>
    <w:rsid w:val="007301D3"/>
    <w:rsid w:val="00735452"/>
    <w:rsid w:val="00747DB0"/>
    <w:rsid w:val="0075473F"/>
    <w:rsid w:val="0077490D"/>
    <w:rsid w:val="007A0F47"/>
    <w:rsid w:val="007A7318"/>
    <w:rsid w:val="007B158F"/>
    <w:rsid w:val="007C32EE"/>
    <w:rsid w:val="007C7335"/>
    <w:rsid w:val="007D5EFB"/>
    <w:rsid w:val="007E64FC"/>
    <w:rsid w:val="007F5CE5"/>
    <w:rsid w:val="00817F1B"/>
    <w:rsid w:val="008266B1"/>
    <w:rsid w:val="00854ED8"/>
    <w:rsid w:val="0085688B"/>
    <w:rsid w:val="0086733C"/>
    <w:rsid w:val="00870D0C"/>
    <w:rsid w:val="008718D3"/>
    <w:rsid w:val="00895478"/>
    <w:rsid w:val="0089627E"/>
    <w:rsid w:val="008A5477"/>
    <w:rsid w:val="008A6B7A"/>
    <w:rsid w:val="008D105E"/>
    <w:rsid w:val="00906DA7"/>
    <w:rsid w:val="00916B33"/>
    <w:rsid w:val="009474CA"/>
    <w:rsid w:val="00955182"/>
    <w:rsid w:val="00961910"/>
    <w:rsid w:val="00977482"/>
    <w:rsid w:val="00982138"/>
    <w:rsid w:val="009920ED"/>
    <w:rsid w:val="009A0C54"/>
    <w:rsid w:val="009D02CB"/>
    <w:rsid w:val="009F108A"/>
    <w:rsid w:val="009F38A5"/>
    <w:rsid w:val="00A1486C"/>
    <w:rsid w:val="00A253FC"/>
    <w:rsid w:val="00A36938"/>
    <w:rsid w:val="00A413C1"/>
    <w:rsid w:val="00A44ABB"/>
    <w:rsid w:val="00A55BE0"/>
    <w:rsid w:val="00AA4D05"/>
    <w:rsid w:val="00AD0E1B"/>
    <w:rsid w:val="00AE04B9"/>
    <w:rsid w:val="00B27995"/>
    <w:rsid w:val="00B35553"/>
    <w:rsid w:val="00B63FB0"/>
    <w:rsid w:val="00B72A4D"/>
    <w:rsid w:val="00B80C7D"/>
    <w:rsid w:val="00B82A67"/>
    <w:rsid w:val="00B87BA5"/>
    <w:rsid w:val="00B94636"/>
    <w:rsid w:val="00BC7E4F"/>
    <w:rsid w:val="00BE2CA2"/>
    <w:rsid w:val="00BE7573"/>
    <w:rsid w:val="00BF6C5D"/>
    <w:rsid w:val="00C15F71"/>
    <w:rsid w:val="00C4582D"/>
    <w:rsid w:val="00C500E4"/>
    <w:rsid w:val="00C518BD"/>
    <w:rsid w:val="00C643A7"/>
    <w:rsid w:val="00C66ADD"/>
    <w:rsid w:val="00C7693C"/>
    <w:rsid w:val="00C94CDD"/>
    <w:rsid w:val="00C96D5C"/>
    <w:rsid w:val="00CA4A3B"/>
    <w:rsid w:val="00CA55E8"/>
    <w:rsid w:val="00CA686A"/>
    <w:rsid w:val="00CC0CAB"/>
    <w:rsid w:val="00CD07A1"/>
    <w:rsid w:val="00CD6908"/>
    <w:rsid w:val="00CD6AB6"/>
    <w:rsid w:val="00CE0245"/>
    <w:rsid w:val="00CE14B9"/>
    <w:rsid w:val="00CF3A05"/>
    <w:rsid w:val="00D1375A"/>
    <w:rsid w:val="00D20A04"/>
    <w:rsid w:val="00D235C6"/>
    <w:rsid w:val="00D27831"/>
    <w:rsid w:val="00D41D67"/>
    <w:rsid w:val="00D44F58"/>
    <w:rsid w:val="00D460AB"/>
    <w:rsid w:val="00D46E26"/>
    <w:rsid w:val="00D63BF2"/>
    <w:rsid w:val="00D7059A"/>
    <w:rsid w:val="00D87EF7"/>
    <w:rsid w:val="00DC2DE5"/>
    <w:rsid w:val="00DD2BBD"/>
    <w:rsid w:val="00DD3337"/>
    <w:rsid w:val="00DD3B2D"/>
    <w:rsid w:val="00DE7DAA"/>
    <w:rsid w:val="00DF463E"/>
    <w:rsid w:val="00DF62B2"/>
    <w:rsid w:val="00DF7AE2"/>
    <w:rsid w:val="00E23E5C"/>
    <w:rsid w:val="00E402D0"/>
    <w:rsid w:val="00E45F9E"/>
    <w:rsid w:val="00E52239"/>
    <w:rsid w:val="00E577F3"/>
    <w:rsid w:val="00E905DD"/>
    <w:rsid w:val="00EA3236"/>
    <w:rsid w:val="00EC5212"/>
    <w:rsid w:val="00EC534F"/>
    <w:rsid w:val="00EF033D"/>
    <w:rsid w:val="00F15BFE"/>
    <w:rsid w:val="00F17B0E"/>
    <w:rsid w:val="00F25BA4"/>
    <w:rsid w:val="00F31894"/>
    <w:rsid w:val="00F4278A"/>
    <w:rsid w:val="00F54D78"/>
    <w:rsid w:val="00F70332"/>
    <w:rsid w:val="00F7191C"/>
    <w:rsid w:val="00F71F82"/>
    <w:rsid w:val="00F76D66"/>
    <w:rsid w:val="00F84C5E"/>
    <w:rsid w:val="00FB5A39"/>
    <w:rsid w:val="00FB6F02"/>
    <w:rsid w:val="00FC10FC"/>
    <w:rsid w:val="00FE321C"/>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B3"/>
    <w:pPr>
      <w:spacing w:after="0" w:line="240" w:lineRule="auto"/>
      <w:jc w:val="both"/>
    </w:pPr>
    <w:rPr>
      <w:rFonts w:ascii="Arial" w:eastAsia="Times New Roman" w:hAnsi="Arial"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eastAsiaTheme="minorEastAsia" w:hAnsi="Times New Roman"/>
      <w:sz w:val="24"/>
      <w:szCs w:val="24"/>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paragraph" w:customStyle="1" w:styleId="Default">
    <w:name w:val="Default"/>
    <w:rsid w:val="00030CB3"/>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styleId="Hipervnculo">
    <w:name w:val="Hyperlink"/>
    <w:basedOn w:val="Fuentedeprrafopredeter"/>
    <w:uiPriority w:val="99"/>
    <w:unhideWhenUsed/>
    <w:rsid w:val="00D1375A"/>
    <w:rPr>
      <w:color w:val="0000FF" w:themeColor="hyperlink"/>
      <w:u w:val="single"/>
    </w:rPr>
  </w:style>
  <w:style w:type="paragraph" w:styleId="Prrafodelista">
    <w:name w:val="List Paragraph"/>
    <w:basedOn w:val="Normal"/>
    <w:link w:val="PrrafodelistaCar"/>
    <w:uiPriority w:val="34"/>
    <w:qFormat/>
    <w:rsid w:val="000D4EE1"/>
    <w:pPr>
      <w:ind w:left="720"/>
      <w:contextualSpacing/>
    </w:pPr>
  </w:style>
  <w:style w:type="paragraph" w:styleId="Textoindependiente">
    <w:name w:val="Body Text"/>
    <w:basedOn w:val="Normal"/>
    <w:link w:val="TextoindependienteCar"/>
    <w:semiHidden/>
    <w:rsid w:val="006D2417"/>
    <w:rPr>
      <w:lang w:val="es-ES"/>
    </w:rPr>
  </w:style>
  <w:style w:type="character" w:customStyle="1" w:styleId="TextoindependienteCar">
    <w:name w:val="Texto independiente Car"/>
    <w:basedOn w:val="Fuentedeprrafopredeter"/>
    <w:link w:val="Textoindependiente"/>
    <w:semiHidden/>
    <w:rsid w:val="006D2417"/>
    <w:rPr>
      <w:rFonts w:ascii="Arial" w:eastAsia="Times New Roman" w:hAnsi="Arial" w:cs="Times New Roman"/>
      <w:szCs w:val="20"/>
      <w:lang w:val="es-ES" w:eastAsia="es-ES"/>
    </w:rPr>
  </w:style>
  <w:style w:type="character" w:styleId="Refdenotaalpie">
    <w:name w:val="footnote reference"/>
    <w:basedOn w:val="Fuentedeprrafopredeter"/>
    <w:uiPriority w:val="99"/>
    <w:semiHidden/>
    <w:rsid w:val="006D2417"/>
    <w:rPr>
      <w:vertAlign w:val="superscript"/>
    </w:rPr>
  </w:style>
  <w:style w:type="paragraph" w:styleId="Textonotapie">
    <w:name w:val="footnote text"/>
    <w:basedOn w:val="Normal"/>
    <w:link w:val="TextonotapieCar"/>
    <w:uiPriority w:val="99"/>
    <w:rsid w:val="006D2417"/>
    <w:pPr>
      <w:jc w:val="left"/>
    </w:pPr>
    <w:rPr>
      <w:rFonts w:ascii="Times New Roman" w:hAnsi="Times New Roman"/>
      <w:sz w:val="20"/>
      <w:lang w:val="es-ES"/>
    </w:rPr>
  </w:style>
  <w:style w:type="character" w:customStyle="1" w:styleId="TextonotapieCar">
    <w:name w:val="Texto nota pie Car"/>
    <w:basedOn w:val="Fuentedeprrafopredeter"/>
    <w:link w:val="Textonotapie"/>
    <w:uiPriority w:val="99"/>
    <w:rsid w:val="006D2417"/>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6D2417"/>
  </w:style>
  <w:style w:type="character" w:customStyle="1" w:styleId="PrrafodelistaCar">
    <w:name w:val="Párrafo de lista Car"/>
    <w:basedOn w:val="Fuentedeprrafopredeter"/>
    <w:link w:val="Prrafodelista"/>
    <w:uiPriority w:val="34"/>
    <w:rsid w:val="006D2417"/>
    <w:rPr>
      <w:rFonts w:ascii="Arial" w:eastAsia="Times New Roman" w:hAnsi="Arial" w:cs="Times New Roman"/>
      <w:szCs w:val="20"/>
      <w:lang w:eastAsia="es-ES"/>
    </w:rPr>
  </w:style>
  <w:style w:type="character" w:customStyle="1" w:styleId="st">
    <w:name w:val="st"/>
    <w:basedOn w:val="Fuentedeprrafopredeter"/>
    <w:rsid w:val="00735452"/>
  </w:style>
  <w:style w:type="paragraph" w:styleId="Textoindependiente2">
    <w:name w:val="Body Text 2"/>
    <w:basedOn w:val="Normal"/>
    <w:link w:val="Textoindependiente2Car"/>
    <w:uiPriority w:val="99"/>
    <w:semiHidden/>
    <w:unhideWhenUsed/>
    <w:rsid w:val="00B87BA5"/>
    <w:pPr>
      <w:spacing w:after="120" w:line="480" w:lineRule="auto"/>
    </w:pPr>
  </w:style>
  <w:style w:type="character" w:customStyle="1" w:styleId="Textoindependiente2Car">
    <w:name w:val="Texto independiente 2 Car"/>
    <w:basedOn w:val="Fuentedeprrafopredeter"/>
    <w:link w:val="Textoindependiente2"/>
    <w:uiPriority w:val="99"/>
    <w:semiHidden/>
    <w:rsid w:val="00B87BA5"/>
    <w:rPr>
      <w:rFonts w:ascii="Arial" w:eastAsia="Times New Roman" w:hAnsi="Arial" w:cs="Times New Roman"/>
      <w:szCs w:val="20"/>
      <w:lang w:eastAsia="es-ES"/>
    </w:rPr>
  </w:style>
  <w:style w:type="paragraph" w:customStyle="1" w:styleId="Textoindependiente21">
    <w:name w:val="Texto independiente 21"/>
    <w:basedOn w:val="Normal"/>
    <w:rsid w:val="00B87BA5"/>
    <w:pPr>
      <w:tabs>
        <w:tab w:val="left" w:pos="3515"/>
      </w:tabs>
      <w:spacing w:line="240" w:lineRule="atLeast"/>
      <w:jc w:val="center"/>
    </w:pPr>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B3"/>
    <w:pPr>
      <w:spacing w:after="0" w:line="240" w:lineRule="auto"/>
      <w:jc w:val="both"/>
    </w:pPr>
    <w:rPr>
      <w:rFonts w:ascii="Arial" w:eastAsia="Times New Roman" w:hAnsi="Arial"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eastAsiaTheme="minorEastAsia" w:hAnsi="Times New Roman"/>
      <w:sz w:val="24"/>
      <w:szCs w:val="24"/>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paragraph" w:customStyle="1" w:styleId="Default">
    <w:name w:val="Default"/>
    <w:rsid w:val="00030CB3"/>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styleId="Hipervnculo">
    <w:name w:val="Hyperlink"/>
    <w:basedOn w:val="Fuentedeprrafopredeter"/>
    <w:uiPriority w:val="99"/>
    <w:unhideWhenUsed/>
    <w:rsid w:val="00D1375A"/>
    <w:rPr>
      <w:color w:val="0000FF" w:themeColor="hyperlink"/>
      <w:u w:val="single"/>
    </w:rPr>
  </w:style>
  <w:style w:type="paragraph" w:styleId="Prrafodelista">
    <w:name w:val="List Paragraph"/>
    <w:basedOn w:val="Normal"/>
    <w:link w:val="PrrafodelistaCar"/>
    <w:uiPriority w:val="34"/>
    <w:qFormat/>
    <w:rsid w:val="000D4EE1"/>
    <w:pPr>
      <w:ind w:left="720"/>
      <w:contextualSpacing/>
    </w:pPr>
  </w:style>
  <w:style w:type="paragraph" w:styleId="Textoindependiente">
    <w:name w:val="Body Text"/>
    <w:basedOn w:val="Normal"/>
    <w:link w:val="TextoindependienteCar"/>
    <w:semiHidden/>
    <w:rsid w:val="006D2417"/>
    <w:rPr>
      <w:lang w:val="es-ES"/>
    </w:rPr>
  </w:style>
  <w:style w:type="character" w:customStyle="1" w:styleId="TextoindependienteCar">
    <w:name w:val="Texto independiente Car"/>
    <w:basedOn w:val="Fuentedeprrafopredeter"/>
    <w:link w:val="Textoindependiente"/>
    <w:semiHidden/>
    <w:rsid w:val="006D2417"/>
    <w:rPr>
      <w:rFonts w:ascii="Arial" w:eastAsia="Times New Roman" w:hAnsi="Arial" w:cs="Times New Roman"/>
      <w:szCs w:val="20"/>
      <w:lang w:val="es-ES" w:eastAsia="es-ES"/>
    </w:rPr>
  </w:style>
  <w:style w:type="character" w:styleId="Refdenotaalpie">
    <w:name w:val="footnote reference"/>
    <w:basedOn w:val="Fuentedeprrafopredeter"/>
    <w:uiPriority w:val="99"/>
    <w:semiHidden/>
    <w:rsid w:val="006D2417"/>
    <w:rPr>
      <w:vertAlign w:val="superscript"/>
    </w:rPr>
  </w:style>
  <w:style w:type="paragraph" w:styleId="Textonotapie">
    <w:name w:val="footnote text"/>
    <w:basedOn w:val="Normal"/>
    <w:link w:val="TextonotapieCar"/>
    <w:uiPriority w:val="99"/>
    <w:rsid w:val="006D2417"/>
    <w:pPr>
      <w:jc w:val="left"/>
    </w:pPr>
    <w:rPr>
      <w:rFonts w:ascii="Times New Roman" w:hAnsi="Times New Roman"/>
      <w:sz w:val="20"/>
      <w:lang w:val="es-ES"/>
    </w:rPr>
  </w:style>
  <w:style w:type="character" w:customStyle="1" w:styleId="TextonotapieCar">
    <w:name w:val="Texto nota pie Car"/>
    <w:basedOn w:val="Fuentedeprrafopredeter"/>
    <w:link w:val="Textonotapie"/>
    <w:uiPriority w:val="99"/>
    <w:rsid w:val="006D2417"/>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6D2417"/>
  </w:style>
  <w:style w:type="character" w:customStyle="1" w:styleId="PrrafodelistaCar">
    <w:name w:val="Párrafo de lista Car"/>
    <w:basedOn w:val="Fuentedeprrafopredeter"/>
    <w:link w:val="Prrafodelista"/>
    <w:uiPriority w:val="34"/>
    <w:rsid w:val="006D2417"/>
    <w:rPr>
      <w:rFonts w:ascii="Arial" w:eastAsia="Times New Roman" w:hAnsi="Arial" w:cs="Times New Roman"/>
      <w:szCs w:val="20"/>
      <w:lang w:eastAsia="es-ES"/>
    </w:rPr>
  </w:style>
  <w:style w:type="character" w:customStyle="1" w:styleId="st">
    <w:name w:val="st"/>
    <w:basedOn w:val="Fuentedeprrafopredeter"/>
    <w:rsid w:val="00735452"/>
  </w:style>
  <w:style w:type="paragraph" w:styleId="Textoindependiente2">
    <w:name w:val="Body Text 2"/>
    <w:basedOn w:val="Normal"/>
    <w:link w:val="Textoindependiente2Car"/>
    <w:uiPriority w:val="99"/>
    <w:semiHidden/>
    <w:unhideWhenUsed/>
    <w:rsid w:val="00B87BA5"/>
    <w:pPr>
      <w:spacing w:after="120" w:line="480" w:lineRule="auto"/>
    </w:pPr>
  </w:style>
  <w:style w:type="character" w:customStyle="1" w:styleId="Textoindependiente2Car">
    <w:name w:val="Texto independiente 2 Car"/>
    <w:basedOn w:val="Fuentedeprrafopredeter"/>
    <w:link w:val="Textoindependiente2"/>
    <w:uiPriority w:val="99"/>
    <w:semiHidden/>
    <w:rsid w:val="00B87BA5"/>
    <w:rPr>
      <w:rFonts w:ascii="Arial" w:eastAsia="Times New Roman" w:hAnsi="Arial" w:cs="Times New Roman"/>
      <w:szCs w:val="20"/>
      <w:lang w:eastAsia="es-ES"/>
    </w:rPr>
  </w:style>
  <w:style w:type="paragraph" w:customStyle="1" w:styleId="Textoindependiente21">
    <w:name w:val="Texto independiente 21"/>
    <w:basedOn w:val="Normal"/>
    <w:rsid w:val="00B87BA5"/>
    <w:pPr>
      <w:tabs>
        <w:tab w:val="left" w:pos="3515"/>
      </w:tabs>
      <w:spacing w:line="240" w:lineRule="atLeast"/>
      <w:jc w:val="center"/>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256984">
      <w:bodyDiv w:val="1"/>
      <w:marLeft w:val="0"/>
      <w:marRight w:val="0"/>
      <w:marTop w:val="0"/>
      <w:marBottom w:val="0"/>
      <w:divBdr>
        <w:top w:val="none" w:sz="0" w:space="0" w:color="auto"/>
        <w:left w:val="none" w:sz="0" w:space="0" w:color="auto"/>
        <w:bottom w:val="none" w:sz="0" w:space="0" w:color="auto"/>
        <w:right w:val="none" w:sz="0" w:space="0" w:color="auto"/>
      </w:divBdr>
    </w:div>
    <w:div w:id="525485597">
      <w:bodyDiv w:val="1"/>
      <w:marLeft w:val="0"/>
      <w:marRight w:val="0"/>
      <w:marTop w:val="0"/>
      <w:marBottom w:val="0"/>
      <w:divBdr>
        <w:top w:val="none" w:sz="0" w:space="0" w:color="auto"/>
        <w:left w:val="none" w:sz="0" w:space="0" w:color="auto"/>
        <w:bottom w:val="none" w:sz="0" w:space="0" w:color="auto"/>
        <w:right w:val="none" w:sz="0" w:space="0" w:color="auto"/>
      </w:divBdr>
    </w:div>
    <w:div w:id="936409059">
      <w:bodyDiv w:val="1"/>
      <w:marLeft w:val="0"/>
      <w:marRight w:val="0"/>
      <w:marTop w:val="0"/>
      <w:marBottom w:val="0"/>
      <w:divBdr>
        <w:top w:val="none" w:sz="0" w:space="0" w:color="auto"/>
        <w:left w:val="none" w:sz="0" w:space="0" w:color="auto"/>
        <w:bottom w:val="none" w:sz="0" w:space="0" w:color="auto"/>
        <w:right w:val="none" w:sz="0" w:space="0" w:color="auto"/>
      </w:divBdr>
    </w:div>
    <w:div w:id="1028334108">
      <w:bodyDiv w:val="1"/>
      <w:marLeft w:val="0"/>
      <w:marRight w:val="0"/>
      <w:marTop w:val="0"/>
      <w:marBottom w:val="0"/>
      <w:divBdr>
        <w:top w:val="none" w:sz="0" w:space="0" w:color="auto"/>
        <w:left w:val="none" w:sz="0" w:space="0" w:color="auto"/>
        <w:bottom w:val="none" w:sz="0" w:space="0" w:color="auto"/>
        <w:right w:val="none" w:sz="0" w:space="0" w:color="auto"/>
      </w:divBdr>
    </w:div>
    <w:div w:id="1293363632">
      <w:bodyDiv w:val="1"/>
      <w:marLeft w:val="0"/>
      <w:marRight w:val="0"/>
      <w:marTop w:val="0"/>
      <w:marBottom w:val="0"/>
      <w:divBdr>
        <w:top w:val="none" w:sz="0" w:space="0" w:color="auto"/>
        <w:left w:val="none" w:sz="0" w:space="0" w:color="auto"/>
        <w:bottom w:val="none" w:sz="0" w:space="0" w:color="auto"/>
        <w:right w:val="none" w:sz="0" w:space="0" w:color="auto"/>
      </w:divBdr>
    </w:div>
    <w:div w:id="1515144005">
      <w:bodyDiv w:val="1"/>
      <w:marLeft w:val="0"/>
      <w:marRight w:val="0"/>
      <w:marTop w:val="0"/>
      <w:marBottom w:val="0"/>
      <w:divBdr>
        <w:top w:val="none" w:sz="0" w:space="0" w:color="auto"/>
        <w:left w:val="none" w:sz="0" w:space="0" w:color="auto"/>
        <w:bottom w:val="none" w:sz="0" w:space="0" w:color="auto"/>
        <w:right w:val="none" w:sz="0" w:space="0" w:color="auto"/>
      </w:divBdr>
    </w:div>
    <w:div w:id="214715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COA09</b:Tag>
    <b:SourceType>Report</b:SourceType>
    <b:Guid>{7197C72F-0ED2-427A-9D1F-282877B3152C}</b:Guid>
    <b:Title>Anteproyecto para la Gestión Intengral de los RCD en el Distrito Capital - Bogotá</b:Title>
    <b:Year>2009</b:Year>
    <b:City>Bogotá</b:City>
    <b:Publisher>COAMBIENTE</b:Publisher>
    <b:Author>
      <b:Author>
        <b:Corporate>COAMBIENTE</b:Corporate>
      </b:Author>
    </b:Author>
    <b:RefOrder>1</b:RefOrder>
  </b:Source>
  <b:Source>
    <b:Tag>Alc12</b:Tag>
    <b:SourceType>ConferenceProceedings</b:SourceType>
    <b:Guid>{F021BC37-0109-4F7D-8C41-07E3818C0781}</b:Guid>
    <b:Title>Gestión de Residuos de la Construcción y de la DEmolición</b:Title>
    <b:Year>2012</b:Year>
    <b:City>Bogotá</b:City>
    <b:Publisher>Alcaldía Mayor de Bogotá</b:Publisher>
    <b:Author>
      <b:Author>
        <b:Corporate>Alcaldía de Medellín</b:Corporate>
      </b:Author>
    </b:Author>
    <b:ConferenceName>Primer Foro Internacional para la Gestión y Control de los Residuos de la Construcción y Demolición -RCD-</b:ConferenceName>
    <b:RefOrder>2</b:RefOrder>
  </b:Source>
  <b:Source>
    <b:Tag>Cas13</b:Tag>
    <b:SourceType>JournalArticle</b:SourceType>
    <b:Guid>{863801B0-A8C7-4773-AC47-5C370E38AA98}</b:Guid>
    <b:Title>Gestión de residuos de construcción y demolición (RCD) en Bogotá: perspectivas y limitantes</b:Title>
    <b:Year>2013</b:Year>
    <b:JournalName>Tecnura</b:JournalName>
    <b:Pages>121-129</b:Pages>
    <b:Author>
      <b:Author>
        <b:NameList>
          <b:Person>
            <b:Last>Castaño</b:Last>
            <b:First>Jesús</b:First>
          </b:Person>
          <b:Person>
            <b:Last>Misle Rodriguez</b:Last>
            <b:First>Rodrigo</b:First>
          </b:Person>
          <b:Person>
            <b:Last>Lasso</b:Last>
            <b:First>Leonardo Andres</b:First>
          </b:Person>
          <b:Person>
            <b:Last>Gómez Cabrera</b:Last>
            <b:First>Adriana</b:First>
          </b:Person>
          <b:Person>
            <b:Last>Ocampo</b:Last>
            <b:First>Manuel</b:First>
          </b:Person>
        </b:NameList>
      </b:Author>
    </b:Author>
    <b:RefOrder>4</b:RefOrder>
  </b:Source>
  <b:Source>
    <b:Tag>Esc11</b:Tag>
    <b:SourceType>Report</b:SourceType>
    <b:Guid>{7F396E3F-41C6-4EEE-BDF0-2742A8224F5A}</b:Guid>
    <b:Title>Diagnóstico técnico y económico del aprovechamiento de residos de construcción y demolición en edificaciones en la ciudad de Bogotá</b:Title>
    <b:Year>2011</b:Year>
    <b:City>Bogotá</b:City>
    <b:Publisher>Pontificia Universidad Javeriana</b:Publisher>
    <b:Author>
      <b:Author>
        <b:NameList>
          <b:Person>
            <b:Last>Escandon Mejía</b:Last>
            <b:First>Juan Camilo</b:First>
          </b:Person>
        </b:NameList>
      </b:Author>
    </b:Author>
    <b:RefOrder>5</b:RefOrder>
  </b:Source>
  <b:Source>
    <b:Tag>Las12</b:Tag>
    <b:SourceType>Book</b:SourceType>
    <b:Guid>{88C62F2C-19CD-4C54-9CDB-03465A2F875F}</b:Guid>
    <b:Title>Evaluación Técnica, Económica e Institucional de la Gestión de Residuos de Construcción y Demolición en Bogotá DC</b:Title>
    <b:Year>2012</b:Year>
    <b:City>Bogotá</b:City>
    <b:Publisher>Pontificia Universidad Javeriana</b:Publisher>
    <b:Author>
      <b:Author>
        <b:NameList>
          <b:Person>
            <b:Last>Lasso Aguirre</b:Last>
            <b:Middle>Leonardo</b:Middle>
            <b:First>Andres</b:First>
          </b:Person>
          <b:Person>
            <b:Last>Misle Rodríguez</b:Last>
            <b:First>Rodrigo</b:First>
          </b:Person>
        </b:NameList>
      </b:Author>
    </b:Author>
    <b:RefOrder>6</b:RefOrder>
  </b:Source>
  <b:Source>
    <b:Tag>Cri15</b:Tag>
    <b:SourceType>Book</b:SourceType>
    <b:Guid>{2DC56296-17F6-45B8-96F3-06BFA7A01043}</b:Guid>
    <b:Author>
      <b:Author>
        <b:NameList>
          <b:Person>
            <b:Last>Rocha</b:Last>
            <b:First>Cristian</b:First>
          </b:Person>
        </b:NameList>
      </b:Author>
    </b:Author>
    <b:Title>Aprovechamiento y revalorización de residuos de la construcción y demolición generados por un evento adverso para la construcción de viviendas sostenibles</b:Title>
    <b:Year>2015</b:Year>
    <b:City>Manizales</b:City>
    <b:Publisher>Universidad Católica de Manizales</b:Publisher>
    <b:RefOrder>7</b:RefOrder>
  </b:Source>
  <b:Source>
    <b:Tag>OCD14</b:Tag>
    <b:SourceType>Report</b:SourceType>
    <b:Guid>{25540F35-A08D-45C0-8C91-4763682776FB}</b:Guid>
    <b:Author>
      <b:Author>
        <b:Corporate>OCDE</b:Corporate>
      </b:Author>
    </b:Author>
    <b:Title>Evaluación de Desempeño Ambiental</b:Title>
    <b:Year>2014</b:Year>
    <b:City>Bogotá</b:City>
    <b:RefOrder>8</b:RefOrder>
  </b:Source>
  <b:Source>
    <b:Tag>IDE15</b:Tag>
    <b:SourceType>Report</b:SourceType>
    <b:Guid>{1A6FAF20-B175-4EF7-952C-15A737493AAC}</b:Guid>
    <b:Title>INFORME NACIONAL Generación y Manejo de residuos peligrosos en Colombia</b:Title>
    <b:Year>2015</b:Year>
    <b:City>Bogotá</b:City>
    <b:Publisher>IDEAM</b:Publisher>
    <b:Author>
      <b:Author>
        <b:Corporate>IDEAM</b:Corporate>
      </b:Author>
    </b:Author>
    <b:RefOrder>9</b:RefOrder>
  </b:Source>
  <b:Source>
    <b:Tag>Sec09</b:Tag>
    <b:SourceType>Book</b:SourceType>
    <b:Guid>{D1C2F019-E83C-4E4C-9DCB-805F71123E1E}</b:Guid>
    <b:Author>
      <b:Author>
        <b:Corporate>Secretaría Distrital del Hábitat</b:Corporate>
      </b:Author>
    </b:Author>
    <b:Title>Diagnóstico del manejo integral de escombros en Bogotá, Distrito Capital</b:Title>
    <b:Year>2009</b:Year>
    <b:City>Bogotá</b:City>
    <b:Publisher>Alcaldía Mayor de Bogotá</b:Publisher>
    <b:RefOrder>3</b:RefOrder>
  </b:Source>
</b:Sources>
</file>

<file path=customXml/itemProps1.xml><?xml version="1.0" encoding="utf-8"?>
<ds:datastoreItem xmlns:ds="http://schemas.openxmlformats.org/officeDocument/2006/customXml" ds:itemID="{DB4CD6C3-CFAD-41F1-B976-34BA5052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2372</Words>
  <Characters>13046</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Carlos Jairo Ramirez Rodriguez</cp:lastModifiedBy>
  <cp:revision>2</cp:revision>
  <cp:lastPrinted>2015-03-16T22:00:00Z</cp:lastPrinted>
  <dcterms:created xsi:type="dcterms:W3CDTF">2017-11-22T23:18:00Z</dcterms:created>
  <dcterms:modified xsi:type="dcterms:W3CDTF">2017-11-22T23:18:00Z</dcterms:modified>
</cp:coreProperties>
</file>