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DD261EE" w14:textId="7B9B27CB" w:rsidR="008C2464" w:rsidRPr="00A05BF4" w:rsidRDefault="007D692B" w:rsidP="00A05BF4">
      <w:pPr>
        <w:autoSpaceDE w:val="0"/>
        <w:autoSpaceDN w:val="0"/>
        <w:adjustRightInd w:val="0"/>
        <w:jc w:val="center"/>
        <w:rPr>
          <w:rFonts w:ascii="Arial Narrow" w:hAnsi="Arial Narrow" w:cs="Arial"/>
          <w:b/>
          <w:u w:val="single"/>
        </w:rPr>
      </w:pPr>
      <w:r w:rsidRPr="00A05BF4">
        <w:rPr>
          <w:rFonts w:ascii="Arial Narrow" w:hAnsi="Arial Narrow" w:cs="Arial"/>
          <w:b/>
          <w:u w:val="single"/>
        </w:rPr>
        <w:t xml:space="preserve">MEMORIA JUSTIFICATIVA DE LA RESOLUCIÓN “POR MEDIO DE LA CUAL SE DELIMITA EL “ÁREA </w:t>
      </w:r>
      <w:r w:rsidR="00BC471D" w:rsidRPr="00A05BF4">
        <w:rPr>
          <w:rFonts w:ascii="Arial Narrow" w:hAnsi="Arial Narrow" w:cs="Arial"/>
          <w:b/>
          <w:u w:val="single"/>
        </w:rPr>
        <w:t xml:space="preserve">PÁRAMO </w:t>
      </w:r>
      <w:r w:rsidR="00EA2CC3" w:rsidRPr="00A05BF4">
        <w:rPr>
          <w:rFonts w:ascii="Arial Narrow" w:hAnsi="Arial Narrow" w:cs="Arial"/>
          <w:b/>
          <w:u w:val="single"/>
        </w:rPr>
        <w:t>SOTARÀ</w:t>
      </w:r>
      <w:r w:rsidRPr="00A05BF4">
        <w:rPr>
          <w:rFonts w:ascii="Arial Narrow" w:hAnsi="Arial Narrow" w:cs="Arial"/>
          <w:b/>
          <w:u w:val="single"/>
        </w:rPr>
        <w:t xml:space="preserve"> Y SE ADOPTAN OTRAS DETERMINACIONES”</w:t>
      </w:r>
    </w:p>
    <w:p w14:paraId="0B03D0F7" w14:textId="77777777" w:rsidR="008C2464" w:rsidRPr="00A05BF4" w:rsidRDefault="008C2464" w:rsidP="00A05BF4">
      <w:pPr>
        <w:jc w:val="both"/>
        <w:rPr>
          <w:rFonts w:ascii="Arial Narrow" w:hAnsi="Arial Narrow" w:cs="Arial"/>
          <w:b/>
          <w:u w:val="single"/>
        </w:rPr>
      </w:pPr>
    </w:p>
    <w:p w14:paraId="2C743D9E" w14:textId="77777777" w:rsidR="007D692B" w:rsidRPr="00A05BF4" w:rsidRDefault="007D692B" w:rsidP="00A05BF4">
      <w:pPr>
        <w:pStyle w:val="Prrafodelista"/>
        <w:numPr>
          <w:ilvl w:val="0"/>
          <w:numId w:val="7"/>
        </w:numPr>
        <w:ind w:left="284" w:hanging="284"/>
        <w:contextualSpacing w:val="0"/>
        <w:jc w:val="both"/>
        <w:rPr>
          <w:rFonts w:ascii="Arial Narrow" w:hAnsi="Arial Narrow" w:cs="Arial"/>
          <w:b/>
        </w:rPr>
      </w:pPr>
      <w:r w:rsidRPr="00A05BF4">
        <w:rPr>
          <w:rFonts w:ascii="Arial Narrow" w:hAnsi="Arial Narrow" w:cs="Arial"/>
          <w:b/>
        </w:rPr>
        <w:t>Los antecedentes y las razones de oportunidad y conveniencia que justifican su expedición.</w:t>
      </w:r>
    </w:p>
    <w:p w14:paraId="026C9E7C" w14:textId="77777777" w:rsidR="007D692B" w:rsidRPr="00A05BF4" w:rsidRDefault="007D692B" w:rsidP="00A05BF4">
      <w:pPr>
        <w:ind w:left="284"/>
        <w:jc w:val="both"/>
        <w:rPr>
          <w:rFonts w:ascii="Arial Narrow" w:hAnsi="Arial Narrow" w:cs="Arial"/>
        </w:rPr>
      </w:pPr>
    </w:p>
    <w:p w14:paraId="1C08A47C" w14:textId="77777777" w:rsidR="00AF233B" w:rsidRPr="00A05BF4" w:rsidRDefault="00AF233B" w:rsidP="00A05BF4">
      <w:pPr>
        <w:pStyle w:val="Default"/>
        <w:autoSpaceDN/>
        <w:jc w:val="both"/>
        <w:rPr>
          <w:rFonts w:ascii="Arial Narrow" w:hAnsi="Arial Narrow"/>
          <w:bCs/>
          <w:color w:val="auto"/>
        </w:rPr>
      </w:pPr>
      <w:r w:rsidRPr="00A05BF4">
        <w:rPr>
          <w:rFonts w:ascii="Arial Narrow" w:hAnsi="Arial Narrow"/>
          <w:bCs/>
          <w:color w:val="auto"/>
        </w:rPr>
        <w:t>Entendiendo su importancia como ecosistema estratégico para la regulación del recurso hídrico, así como en la provisión de muchos otros servicios ecosistémicos en e</w:t>
      </w:r>
      <w:bookmarkStart w:id="0" w:name="_GoBack"/>
      <w:bookmarkEnd w:id="0"/>
      <w:r w:rsidRPr="00A05BF4">
        <w:rPr>
          <w:rFonts w:ascii="Arial Narrow" w:hAnsi="Arial Narrow"/>
          <w:bCs/>
          <w:color w:val="auto"/>
        </w:rPr>
        <w:t>l país, se ha desarrollado para los páramos un marco jurídico especial de protección, en tal sentido, la Constitución Política de Colombia en diferentes artículos consagra entre otros el deber de proteger los recursos naturales, conservar las áreas de especial importancia ecológica, así como el derecho de todas las personas a gozar de un ambiente sano.</w:t>
      </w:r>
    </w:p>
    <w:p w14:paraId="129AEDB0" w14:textId="77777777" w:rsidR="00AF233B" w:rsidRPr="00A05BF4" w:rsidRDefault="00AF233B" w:rsidP="00A05BF4">
      <w:pPr>
        <w:pStyle w:val="Default"/>
        <w:autoSpaceDN/>
        <w:jc w:val="both"/>
        <w:rPr>
          <w:rFonts w:ascii="Arial Narrow" w:hAnsi="Arial Narrow"/>
          <w:bCs/>
          <w:color w:val="auto"/>
        </w:rPr>
      </w:pPr>
    </w:p>
    <w:p w14:paraId="5C9D2BBD" w14:textId="77777777" w:rsidR="00AF233B" w:rsidRPr="00A05BF4" w:rsidRDefault="00AF233B" w:rsidP="00A05BF4">
      <w:pPr>
        <w:pStyle w:val="Default"/>
        <w:autoSpaceDN/>
        <w:jc w:val="both"/>
        <w:rPr>
          <w:rFonts w:ascii="Arial Narrow" w:hAnsi="Arial Narrow"/>
          <w:bCs/>
          <w:color w:val="auto"/>
        </w:rPr>
      </w:pPr>
      <w:r w:rsidRPr="00A05BF4">
        <w:rPr>
          <w:rFonts w:ascii="Arial Narrow" w:hAnsi="Arial Narrow"/>
          <w:bCs/>
          <w:color w:val="auto"/>
        </w:rPr>
        <w:t>Por su parte, la Ley 99 de 1993 contempló entre los principios generales de la política ambiental colombiana, la protección especial de las zonas de páramos, subpáramos, los nacimientos de agua y las zonas de recarga de acuíferos.</w:t>
      </w:r>
    </w:p>
    <w:p w14:paraId="14A3D159" w14:textId="77777777" w:rsidR="00AF233B" w:rsidRPr="00A05BF4" w:rsidRDefault="00AF233B" w:rsidP="00A05BF4">
      <w:pPr>
        <w:pStyle w:val="Default"/>
        <w:jc w:val="both"/>
        <w:rPr>
          <w:rFonts w:ascii="Arial Narrow" w:hAnsi="Arial Narrow"/>
          <w:bCs/>
          <w:color w:val="auto"/>
        </w:rPr>
      </w:pPr>
    </w:p>
    <w:p w14:paraId="6BA2F515" w14:textId="77777777" w:rsidR="00AF233B" w:rsidRPr="00A05BF4" w:rsidRDefault="00AF233B" w:rsidP="00A05BF4">
      <w:pPr>
        <w:pStyle w:val="Default"/>
        <w:jc w:val="both"/>
        <w:rPr>
          <w:rFonts w:ascii="Arial Narrow" w:hAnsi="Arial Narrow"/>
          <w:bCs/>
          <w:color w:val="auto"/>
        </w:rPr>
      </w:pPr>
      <w:r w:rsidRPr="00A05BF4">
        <w:rPr>
          <w:rFonts w:ascii="Arial Narrow" w:hAnsi="Arial Narrow"/>
          <w:bCs/>
          <w:color w:val="auto"/>
        </w:rPr>
        <w:t>Posteriormente, este Ministerio expidió las Resoluciones 769 del 5 de agosto de 2002, “</w:t>
      </w:r>
      <w:r w:rsidRPr="00A05BF4">
        <w:rPr>
          <w:rFonts w:ascii="Arial Narrow" w:hAnsi="Arial Narrow"/>
          <w:bCs/>
          <w:i/>
          <w:color w:val="auto"/>
        </w:rPr>
        <w:t>Por la cual se dictan disposiciones para contribuir a la protección, conservación y sostenibilidad de los páramos</w:t>
      </w:r>
      <w:r w:rsidRPr="00A05BF4">
        <w:rPr>
          <w:rFonts w:ascii="Arial Narrow" w:hAnsi="Arial Narrow"/>
          <w:bCs/>
          <w:color w:val="auto"/>
        </w:rPr>
        <w:t>”, 839 del 1 de agosto de 2003, “</w:t>
      </w:r>
      <w:r w:rsidRPr="00A05BF4">
        <w:rPr>
          <w:rFonts w:ascii="Arial Narrow" w:hAnsi="Arial Narrow"/>
          <w:bCs/>
          <w:i/>
          <w:color w:val="auto"/>
        </w:rPr>
        <w:t>Por la cual se establecen los términos de referencia para la elaboración del Estudio sobre el Estado Actual de Páramos (EEAP) y del Plan de Manejo Ambiental (PMA) de los Páramos</w:t>
      </w:r>
      <w:r w:rsidRPr="00A05BF4">
        <w:rPr>
          <w:rFonts w:ascii="Arial Narrow" w:hAnsi="Arial Narrow"/>
          <w:bCs/>
          <w:color w:val="auto"/>
        </w:rPr>
        <w:t>”, y 937 de 2011, "</w:t>
      </w:r>
      <w:r w:rsidRPr="00A05BF4">
        <w:rPr>
          <w:rFonts w:ascii="Arial Narrow" w:hAnsi="Arial Narrow"/>
          <w:bCs/>
          <w:i/>
          <w:color w:val="auto"/>
        </w:rPr>
        <w:t>Por el cual se adopta la cartografía elaborada a escala 1:250.000, proporcionada por el Instituto de Investigación de Recursos Biológicos Alexander von Humboldt para la identificación y delimitación de los Ecosistemas de Páramos</w:t>
      </w:r>
      <w:r w:rsidRPr="00A05BF4">
        <w:rPr>
          <w:rFonts w:ascii="Arial Narrow" w:hAnsi="Arial Narrow"/>
          <w:bCs/>
          <w:color w:val="auto"/>
        </w:rPr>
        <w:t>", marco dentro del cual las corporaciones autónomas regionales deben adelantar diferentes acciones orientadas a la protección de estos ecosistemas.</w:t>
      </w:r>
    </w:p>
    <w:p w14:paraId="65A117D8" w14:textId="77777777" w:rsidR="00AF233B" w:rsidRPr="00A05BF4" w:rsidRDefault="00AF233B" w:rsidP="00A05BF4">
      <w:pPr>
        <w:pStyle w:val="Default"/>
        <w:jc w:val="both"/>
        <w:rPr>
          <w:rFonts w:ascii="Arial Narrow" w:hAnsi="Arial Narrow"/>
          <w:bCs/>
          <w:color w:val="auto"/>
        </w:rPr>
      </w:pPr>
    </w:p>
    <w:p w14:paraId="701CA4FD" w14:textId="77777777" w:rsidR="00AF233B" w:rsidRPr="00A05BF4" w:rsidRDefault="00AF233B" w:rsidP="00A05BF4">
      <w:pPr>
        <w:pStyle w:val="Default"/>
        <w:autoSpaceDN/>
        <w:jc w:val="both"/>
        <w:rPr>
          <w:rFonts w:ascii="Arial Narrow" w:hAnsi="Arial Narrow"/>
          <w:bCs/>
          <w:color w:val="auto"/>
        </w:rPr>
      </w:pPr>
      <w:r w:rsidRPr="00A05BF4">
        <w:rPr>
          <w:rFonts w:ascii="Arial Narrow" w:hAnsi="Arial Narrow"/>
          <w:bCs/>
          <w:color w:val="auto"/>
        </w:rPr>
        <w:t>En el año 2002, el entonces Ministerio de Medio Ambiente elaboró “</w:t>
      </w:r>
      <w:r w:rsidRPr="00A05BF4">
        <w:rPr>
          <w:rFonts w:ascii="Arial Narrow" w:hAnsi="Arial Narrow"/>
          <w:bCs/>
          <w:i/>
          <w:color w:val="auto"/>
        </w:rPr>
        <w:t>El Programa para el manejo sostenible y restauración de ecosistemas de alta montaña colombiana: Páramos</w:t>
      </w:r>
      <w:r w:rsidRPr="00A05BF4">
        <w:rPr>
          <w:rFonts w:ascii="Arial Narrow" w:hAnsi="Arial Narrow"/>
          <w:bCs/>
          <w:color w:val="auto"/>
        </w:rPr>
        <w:t>” el cual incluyó dentro de sus objetivos específicos la necesidad de “</w:t>
      </w:r>
      <w:r w:rsidRPr="00A05BF4">
        <w:rPr>
          <w:rFonts w:ascii="Arial Narrow" w:hAnsi="Arial Narrow"/>
          <w:bCs/>
          <w:i/>
          <w:color w:val="auto"/>
        </w:rPr>
        <w:t>Desarrollar una estrategia de comunicación y socialización sobre el estado de conocimiento del páramo y su conservación</w:t>
      </w:r>
      <w:r w:rsidRPr="00A05BF4">
        <w:rPr>
          <w:rFonts w:ascii="Arial Narrow" w:hAnsi="Arial Narrow"/>
          <w:bCs/>
          <w:color w:val="auto"/>
        </w:rPr>
        <w:t>”, resultado de lo cual se publicó el “</w:t>
      </w:r>
      <w:r w:rsidRPr="00A05BF4">
        <w:rPr>
          <w:rFonts w:ascii="Arial Narrow" w:hAnsi="Arial Narrow"/>
          <w:bCs/>
          <w:i/>
          <w:color w:val="auto"/>
        </w:rPr>
        <w:t>Atlas de Páramos de Colombia</w:t>
      </w:r>
      <w:r w:rsidRPr="00A05BF4">
        <w:rPr>
          <w:rFonts w:ascii="Arial Narrow" w:hAnsi="Arial Narrow"/>
          <w:bCs/>
          <w:color w:val="auto"/>
        </w:rPr>
        <w:t>” con la finalidad de ofrecer una compilación de la información con la que en esa época contaba el país sobre dichos ecosistemas, así como una descripción de las acciones que se habían llevado a cabo hasta ese momento para su protección. El atlas incluye la primera cartografía de los ecosistemas de páramo a escala 1:250.000.</w:t>
      </w:r>
    </w:p>
    <w:p w14:paraId="15F270DA" w14:textId="77777777" w:rsidR="00AF233B" w:rsidRPr="00A05BF4" w:rsidRDefault="00AF233B" w:rsidP="00A05BF4">
      <w:pPr>
        <w:pStyle w:val="Default"/>
        <w:autoSpaceDN/>
        <w:jc w:val="both"/>
        <w:rPr>
          <w:rFonts w:ascii="Arial Narrow" w:hAnsi="Arial Narrow"/>
          <w:bCs/>
          <w:color w:val="auto"/>
        </w:rPr>
      </w:pPr>
    </w:p>
    <w:p w14:paraId="10E02740" w14:textId="77777777" w:rsidR="00AF233B" w:rsidRPr="00A05BF4" w:rsidRDefault="00AF233B" w:rsidP="00A05BF4">
      <w:pPr>
        <w:pStyle w:val="Default"/>
        <w:autoSpaceDN/>
        <w:jc w:val="both"/>
        <w:rPr>
          <w:rFonts w:ascii="Arial Narrow" w:hAnsi="Arial Narrow"/>
          <w:bCs/>
          <w:color w:val="auto"/>
        </w:rPr>
      </w:pPr>
      <w:r w:rsidRPr="00A05BF4">
        <w:rPr>
          <w:rFonts w:ascii="Arial Narrow" w:hAnsi="Arial Narrow"/>
          <w:bCs/>
          <w:color w:val="auto"/>
        </w:rPr>
        <w:t xml:space="preserve">Si bien la Ley 1382 de 2010 fue derogada mediante sentencia C-366 de 2011, es importante recordar que la misma consideró los ecosistemas de páramo áreas excluibles de la minería. </w:t>
      </w:r>
    </w:p>
    <w:p w14:paraId="024E83BE" w14:textId="77777777" w:rsidR="00AF233B" w:rsidRPr="00A05BF4" w:rsidRDefault="00AF233B" w:rsidP="00A05BF4">
      <w:pPr>
        <w:pStyle w:val="Default"/>
        <w:autoSpaceDN/>
        <w:jc w:val="both"/>
        <w:rPr>
          <w:rFonts w:ascii="Arial Narrow" w:hAnsi="Arial Narrow"/>
          <w:bCs/>
          <w:color w:val="auto"/>
        </w:rPr>
      </w:pPr>
    </w:p>
    <w:p w14:paraId="1920BA10" w14:textId="77777777" w:rsidR="00AF233B" w:rsidRPr="00A05BF4" w:rsidRDefault="00AF233B" w:rsidP="00A05BF4">
      <w:pPr>
        <w:pStyle w:val="Default"/>
        <w:jc w:val="both"/>
        <w:rPr>
          <w:rFonts w:ascii="Arial Narrow" w:hAnsi="Arial Narrow"/>
          <w:bCs/>
          <w:color w:val="auto"/>
        </w:rPr>
      </w:pPr>
      <w:r w:rsidRPr="00A05BF4">
        <w:rPr>
          <w:rFonts w:ascii="Arial Narrow" w:hAnsi="Arial Narrow"/>
          <w:bCs/>
          <w:color w:val="auto"/>
        </w:rPr>
        <w:t xml:space="preserve">Por su parte, el parágrafo 1º del artículo 202 de la Ley 1450 de 2011, prohibiría que en los ecosistemas de páramo se adelantaran actividades agropecuarias, de exploración o explotación de hidrocarburos y de minerales, o de construcción de refinerías de hidrocarburos para lo cual se tomaría como referencia mínima </w:t>
      </w:r>
      <w:r w:rsidRPr="00A05BF4">
        <w:rPr>
          <w:rFonts w:ascii="Arial Narrow" w:hAnsi="Arial Narrow"/>
          <w:bCs/>
          <w:color w:val="auto"/>
        </w:rPr>
        <w:lastRenderedPageBreak/>
        <w:t xml:space="preserve">la cartografía contenida en el Atlas de Páramos de Colombia del Instituto de Investigación Alexander von Humboldt, hasta tanto se contara con cartografía a escala más detallada. </w:t>
      </w:r>
    </w:p>
    <w:p w14:paraId="178EA779" w14:textId="77777777" w:rsidR="00AF233B" w:rsidRPr="00A05BF4" w:rsidRDefault="00AF233B" w:rsidP="00A05BF4">
      <w:pPr>
        <w:pStyle w:val="Default"/>
        <w:jc w:val="both"/>
        <w:rPr>
          <w:rFonts w:ascii="Arial Narrow" w:hAnsi="Arial Narrow"/>
          <w:bCs/>
          <w:color w:val="auto"/>
        </w:rPr>
      </w:pPr>
    </w:p>
    <w:p w14:paraId="56BB8527" w14:textId="77777777" w:rsidR="00AF233B" w:rsidRPr="00A05BF4" w:rsidRDefault="00AF233B" w:rsidP="00A05BF4">
      <w:pPr>
        <w:pStyle w:val="Default"/>
        <w:jc w:val="both"/>
        <w:rPr>
          <w:rFonts w:ascii="Arial Narrow" w:hAnsi="Arial Narrow"/>
          <w:bCs/>
          <w:color w:val="auto"/>
        </w:rPr>
      </w:pPr>
      <w:r w:rsidRPr="00A05BF4">
        <w:rPr>
          <w:rFonts w:ascii="Arial Narrow" w:hAnsi="Arial Narrow"/>
          <w:bCs/>
          <w:color w:val="auto"/>
        </w:rPr>
        <w:t>Posteriormente, mediante la expedición de la Ley 1753 de 2015, se dispuso en el artículo 173, entre otras cosas que “En las áreas delimitadas como páramos no se podrán adelantar actividades agropecuarias ni de exploración o explotación de recursos naturales no renovables, ni construcción de refinerías de hidrocarburos.”</w:t>
      </w:r>
    </w:p>
    <w:p w14:paraId="72F00BD9" w14:textId="77777777" w:rsidR="00AF233B" w:rsidRPr="00A05BF4" w:rsidRDefault="00AF233B" w:rsidP="00A05BF4">
      <w:pPr>
        <w:pStyle w:val="Default"/>
        <w:jc w:val="both"/>
        <w:rPr>
          <w:rFonts w:ascii="Arial Narrow" w:hAnsi="Arial Narrow"/>
          <w:bCs/>
          <w:color w:val="auto"/>
        </w:rPr>
      </w:pPr>
    </w:p>
    <w:p w14:paraId="7E036622" w14:textId="77777777" w:rsidR="00AF233B" w:rsidRPr="00A05BF4" w:rsidRDefault="00AF233B" w:rsidP="00A05BF4">
      <w:pPr>
        <w:pStyle w:val="Default"/>
        <w:jc w:val="both"/>
        <w:rPr>
          <w:rFonts w:ascii="Arial Narrow" w:hAnsi="Arial Narrow"/>
          <w:bCs/>
          <w:color w:val="auto"/>
        </w:rPr>
      </w:pPr>
      <w:r w:rsidRPr="00A05BF4">
        <w:rPr>
          <w:rFonts w:ascii="Arial Narrow" w:hAnsi="Arial Narrow"/>
          <w:bCs/>
          <w:color w:val="auto"/>
        </w:rPr>
        <w:t xml:space="preserve">El precitado artículo señaló que el proceso de delimitación deberá ser realizado por el Ministerio de Ambiente y Desarrollo Sostenible con base en la cartografía generada por el Instituto Alexander von Humboldt a escala 1:100.000 o 1:25.000, cuando esta última esté disponible y en los estudios técnicos, sociales, económicos y ambientales elaborados por las Corporaciones Autónomas Regionales. </w:t>
      </w:r>
    </w:p>
    <w:p w14:paraId="6372328A" w14:textId="77777777" w:rsidR="00AF233B" w:rsidRPr="00A05BF4" w:rsidRDefault="00AF233B" w:rsidP="00A05BF4">
      <w:pPr>
        <w:pStyle w:val="Default"/>
        <w:jc w:val="both"/>
        <w:rPr>
          <w:rFonts w:ascii="Arial Narrow" w:hAnsi="Arial Narrow"/>
          <w:bCs/>
          <w:color w:val="auto"/>
        </w:rPr>
      </w:pPr>
    </w:p>
    <w:p w14:paraId="2F09D2A4" w14:textId="77777777" w:rsidR="00AF233B" w:rsidRPr="00A05BF4" w:rsidRDefault="00AF233B" w:rsidP="00A05BF4">
      <w:pPr>
        <w:pStyle w:val="Default"/>
        <w:autoSpaceDN/>
        <w:jc w:val="both"/>
        <w:rPr>
          <w:rFonts w:ascii="Arial Narrow" w:hAnsi="Arial Narrow"/>
          <w:bCs/>
          <w:color w:val="auto"/>
        </w:rPr>
      </w:pPr>
      <w:r w:rsidRPr="00A05BF4">
        <w:rPr>
          <w:rFonts w:ascii="Arial Narrow" w:hAnsi="Arial Narrow"/>
          <w:bCs/>
          <w:color w:val="auto"/>
        </w:rPr>
        <w:t>Es de considerar que mediante el mismo fallo, la Corte Constitucional declaró exequible el inciso segundo del artículo referido con antelación “</w:t>
      </w:r>
      <w:r w:rsidRPr="00A05BF4">
        <w:rPr>
          <w:rFonts w:ascii="Arial Narrow" w:hAnsi="Arial Narrow"/>
          <w:bCs/>
          <w:i/>
          <w:color w:val="auto"/>
        </w:rPr>
        <w:t>…siempre que se entienda que si el Ministerio de Ambiente y Desarrollo Sostenible se aparta del área de referencia establecida por el Instituto Alexander von Humboldt en la delimitación de los páramos, se debe fundamentar explícitamente su decisión en un criterio científico que provea un mayor grado de protección del ecosistema de páramo</w:t>
      </w:r>
      <w:r w:rsidRPr="00A05BF4">
        <w:rPr>
          <w:rFonts w:ascii="Arial Narrow" w:hAnsi="Arial Narrow"/>
          <w:bCs/>
          <w:color w:val="auto"/>
        </w:rPr>
        <w:t>”.</w:t>
      </w:r>
    </w:p>
    <w:p w14:paraId="26E2B6BF" w14:textId="77777777" w:rsidR="00AF233B" w:rsidRPr="00A05BF4" w:rsidRDefault="00AF233B" w:rsidP="00A05BF4">
      <w:pPr>
        <w:pStyle w:val="Cuerpo"/>
        <w:jc w:val="both"/>
        <w:rPr>
          <w:rFonts w:ascii="Arial Narrow" w:eastAsia="Arial" w:hAnsi="Arial Narrow" w:cs="Arial"/>
          <w:color w:val="auto"/>
        </w:rPr>
      </w:pPr>
    </w:p>
    <w:p w14:paraId="628976B5" w14:textId="77777777" w:rsidR="00AF233B" w:rsidRPr="00A05BF4" w:rsidRDefault="00AF233B" w:rsidP="00A05BF4">
      <w:pPr>
        <w:pStyle w:val="Cuerpo"/>
        <w:jc w:val="both"/>
        <w:rPr>
          <w:rFonts w:ascii="Arial Narrow" w:eastAsia="Times New Roman" w:hAnsi="Arial Narrow" w:cs="Arial"/>
          <w:bCs/>
          <w:color w:val="auto"/>
          <w:bdr w:val="none" w:sz="0" w:space="0" w:color="auto"/>
          <w:lang w:val="es-ES"/>
        </w:rPr>
      </w:pPr>
      <w:r w:rsidRPr="00A05BF4">
        <w:rPr>
          <w:rFonts w:ascii="Arial Narrow" w:eastAsia="Times New Roman" w:hAnsi="Arial Narrow" w:cs="Arial"/>
          <w:bCs/>
          <w:color w:val="auto"/>
          <w:bdr w:val="none" w:sz="0" w:space="0" w:color="auto"/>
          <w:lang w:val="es-ES"/>
        </w:rPr>
        <w:t>Conforme lo ordena el artículo 173 de la Ley 1753 de 2015, la delimitación de los ecosistemas de páramos por parte de este Ministerio debe estar fundamentada en: a) el área de referencia definida en la cartografía generada por el Instituto Alexander Von Humboldt a escala 1:100.000 o 1:25.000, tal y como la Corte Constitucional lo manifiesta en su sentencia C-035 de 2016 y; b) los estudios técnicos que permitan caracterizar el contexto ambiental, social y económico elaborados por las Corporaciones Autónomas Regionales</w:t>
      </w:r>
    </w:p>
    <w:p w14:paraId="4E9BD5DE" w14:textId="77777777" w:rsidR="00534459" w:rsidRPr="00A05BF4" w:rsidRDefault="00534459" w:rsidP="00A05BF4">
      <w:pPr>
        <w:pStyle w:val="Cuerpo"/>
        <w:jc w:val="both"/>
        <w:rPr>
          <w:rFonts w:ascii="Arial Narrow" w:eastAsia="Times New Roman" w:hAnsi="Arial Narrow" w:cs="Arial"/>
          <w:bCs/>
          <w:color w:val="auto"/>
          <w:bdr w:val="none" w:sz="0" w:space="0" w:color="auto"/>
          <w:lang w:val="es-ES"/>
        </w:rPr>
      </w:pPr>
    </w:p>
    <w:p w14:paraId="4B6896DD" w14:textId="653F7570" w:rsidR="00EA2CC3" w:rsidRPr="00A05BF4" w:rsidRDefault="0060798F" w:rsidP="00A05BF4">
      <w:pPr>
        <w:pStyle w:val="Cuerpo"/>
        <w:jc w:val="both"/>
        <w:rPr>
          <w:rFonts w:ascii="Arial Narrow" w:eastAsia="Times New Roman" w:hAnsi="Arial Narrow" w:cs="Arial"/>
          <w:bCs/>
          <w:color w:val="auto"/>
          <w:bdr w:val="none" w:sz="0" w:space="0" w:color="auto"/>
          <w:lang w:val="es-ES"/>
        </w:rPr>
      </w:pPr>
      <w:r w:rsidRPr="00A05BF4">
        <w:rPr>
          <w:rFonts w:ascii="Arial Narrow" w:eastAsia="Times New Roman" w:hAnsi="Arial Narrow" w:cs="Arial"/>
          <w:bCs/>
          <w:color w:val="auto"/>
          <w:bdr w:val="none" w:sz="0" w:space="0" w:color="auto"/>
          <w:lang w:val="es-ES"/>
        </w:rPr>
        <w:t>Cada una de las corporaciones con jurisdicción en el Páramo desarrolló los estudios técnicos, sociales, económicos y ambientales (ETESA) en las áreas de su jurisdicción. Una vez finali</w:t>
      </w:r>
      <w:r w:rsidR="00EA2CC3" w:rsidRPr="00A05BF4">
        <w:rPr>
          <w:rFonts w:ascii="Arial Narrow" w:eastAsia="Times New Roman" w:hAnsi="Arial Narrow" w:cs="Arial"/>
          <w:bCs/>
          <w:color w:val="auto"/>
          <w:bdr w:val="none" w:sz="0" w:space="0" w:color="auto"/>
          <w:lang w:val="es-ES"/>
        </w:rPr>
        <w:t>zados los mencionados estudios la Corporación Autónoma Regional del Cauca (CRC)  entregó el documento de “”E</w:t>
      </w:r>
      <w:r w:rsidR="00EA2CC3" w:rsidRPr="00A05BF4">
        <w:rPr>
          <w:rFonts w:ascii="Arial Narrow" w:eastAsia="Times New Roman" w:hAnsi="Arial Narrow" w:cs="Arial"/>
          <w:bCs/>
          <w:i/>
          <w:color w:val="auto"/>
          <w:bdr w:val="none" w:sz="0" w:space="0" w:color="auto"/>
          <w:lang w:val="es-ES"/>
        </w:rPr>
        <w:t xml:space="preserve">studios Técnicos, Económicos, Sociales y Ambientales para la Identificación y Delimitación del Complejo de Páramos de </w:t>
      </w:r>
      <w:r w:rsidR="00A05BF4" w:rsidRPr="00A05BF4">
        <w:rPr>
          <w:rFonts w:ascii="Arial Narrow" w:eastAsia="Times New Roman" w:hAnsi="Arial Narrow" w:cs="Arial"/>
          <w:bCs/>
          <w:i/>
          <w:color w:val="auto"/>
          <w:bdr w:val="none" w:sz="0" w:space="0" w:color="auto"/>
          <w:lang w:val="es-ES"/>
        </w:rPr>
        <w:t>Sotará</w:t>
      </w:r>
      <w:r w:rsidR="00EA2CC3" w:rsidRPr="00A05BF4">
        <w:rPr>
          <w:rFonts w:ascii="Arial Narrow" w:eastAsia="Times New Roman" w:hAnsi="Arial Narrow" w:cs="Arial"/>
          <w:bCs/>
          <w:i/>
          <w:color w:val="auto"/>
          <w:bdr w:val="none" w:sz="0" w:space="0" w:color="auto"/>
          <w:lang w:val="es-ES"/>
        </w:rPr>
        <w:t xml:space="preserve">  y páramos municipio de Puracé, departamento del cauca”. El   14 DE mayo de 2014 mediante radicado 4120-E1-15935 y el 25 de febrero de 2016.  Mediante radicado 4120-E1-6235 -.  </w:t>
      </w:r>
      <w:r w:rsidR="00EA2CC3" w:rsidRPr="00A05BF4">
        <w:rPr>
          <w:rFonts w:ascii="Arial Narrow" w:eastAsia="Times New Roman" w:hAnsi="Arial Narrow" w:cs="Arial"/>
          <w:bCs/>
          <w:color w:val="auto"/>
          <w:bdr w:val="none" w:sz="0" w:space="0" w:color="auto"/>
          <w:lang w:val="es-ES"/>
        </w:rPr>
        <w:t>La Corporación Autónoma Regional del Alto Magdalena (CAM),</w:t>
      </w:r>
      <w:r w:rsidR="00A05BF4" w:rsidRPr="00A05BF4">
        <w:rPr>
          <w:rFonts w:ascii="Arial Narrow" w:eastAsia="Times New Roman" w:hAnsi="Arial Narrow" w:cs="Arial"/>
          <w:bCs/>
          <w:color w:val="auto"/>
          <w:bdr w:val="none" w:sz="0" w:space="0" w:color="auto"/>
          <w:lang w:val="es-ES"/>
        </w:rPr>
        <w:t xml:space="preserve"> </w:t>
      </w:r>
      <w:r w:rsidR="00EA2CC3" w:rsidRPr="00A05BF4">
        <w:rPr>
          <w:rFonts w:ascii="Arial Narrow" w:eastAsia="Times New Roman" w:hAnsi="Arial Narrow" w:cs="Arial"/>
          <w:bCs/>
          <w:color w:val="auto"/>
          <w:bdr w:val="none" w:sz="0" w:space="0" w:color="auto"/>
          <w:lang w:val="es-ES"/>
        </w:rPr>
        <w:t xml:space="preserve">entregò el </w:t>
      </w:r>
      <w:r w:rsidR="00A05BF4" w:rsidRPr="00A05BF4">
        <w:rPr>
          <w:rFonts w:ascii="Arial Narrow" w:eastAsia="Times New Roman" w:hAnsi="Arial Narrow" w:cs="Arial"/>
          <w:bCs/>
          <w:color w:val="auto"/>
          <w:bdr w:val="none" w:sz="0" w:space="0" w:color="auto"/>
          <w:lang w:val="es-ES"/>
        </w:rPr>
        <w:t>documento</w:t>
      </w:r>
      <w:r w:rsidR="00EA2CC3" w:rsidRPr="00A05BF4">
        <w:rPr>
          <w:rFonts w:ascii="Arial Narrow" w:eastAsia="Times New Roman" w:hAnsi="Arial Narrow" w:cs="Arial"/>
          <w:bCs/>
          <w:color w:val="auto"/>
          <w:bdr w:val="none" w:sz="0" w:space="0" w:color="auto"/>
          <w:lang w:val="es-ES"/>
        </w:rPr>
        <w:t xml:space="preserve"> Estudio Técnico Económico Social Ambiental (Et-Esa) del Complejo de Páramos Sotará en Jurisdicción de la Corporación Autónoma Regional del Alto Magdalena Entorno Regional 1:100.000 Entorno Local  1:25.0000 Neiva,  mediante radicado E1-2017- 27058 el 10 de octubre de  2017    </w:t>
      </w:r>
    </w:p>
    <w:p w14:paraId="067087BC" w14:textId="77777777" w:rsidR="00EA2CC3" w:rsidRPr="00A05BF4" w:rsidRDefault="00EA2CC3" w:rsidP="00A05BF4">
      <w:pPr>
        <w:pStyle w:val="Cuerpo"/>
        <w:jc w:val="both"/>
        <w:rPr>
          <w:rFonts w:ascii="Arial Narrow" w:eastAsia="Times New Roman" w:hAnsi="Arial Narrow" w:cs="Arial"/>
          <w:bCs/>
          <w:color w:val="auto"/>
          <w:bdr w:val="none" w:sz="0" w:space="0" w:color="auto"/>
          <w:lang w:val="es-ES"/>
        </w:rPr>
      </w:pPr>
    </w:p>
    <w:p w14:paraId="3C37AF73" w14:textId="309474C0" w:rsidR="00A05BF4" w:rsidRPr="00A05BF4" w:rsidRDefault="00A05BF4" w:rsidP="00A05BF4">
      <w:pPr>
        <w:tabs>
          <w:tab w:val="left" w:pos="1620"/>
        </w:tabs>
        <w:jc w:val="both"/>
        <w:rPr>
          <w:rFonts w:ascii="Arial Narrow" w:hAnsi="Arial Narrow" w:cs="Arial"/>
        </w:rPr>
      </w:pPr>
      <w:r w:rsidRPr="00A05BF4">
        <w:rPr>
          <w:rFonts w:ascii="Arial Narrow" w:hAnsi="Arial Narrow" w:cs="Arial"/>
          <w:lang w:val="es-ES"/>
        </w:rPr>
        <w:t>C</w:t>
      </w:r>
      <w:r w:rsidRPr="00A05BF4">
        <w:rPr>
          <w:rFonts w:ascii="Arial Narrow" w:hAnsi="Arial Narrow" w:cs="Arial"/>
        </w:rPr>
        <w:t>onsiente</w:t>
      </w:r>
      <w:r w:rsidRPr="00A05BF4">
        <w:rPr>
          <w:rFonts w:ascii="Arial Narrow" w:hAnsi="Arial Narrow" w:cs="Arial"/>
        </w:rPr>
        <w:t xml:space="preserve"> de la necesidad de contar con información más actualizada y detallada sobre los ecosistemas de páramo, se actualizó la cartografía de páramos del país a escala 1:100.000, mediante convenio suscrito con </w:t>
      </w:r>
      <w:r w:rsidRPr="00A05BF4">
        <w:rPr>
          <w:rFonts w:ascii="Arial Narrow" w:hAnsi="Arial Narrow" w:cs="Arial"/>
        </w:rPr>
        <w:lastRenderedPageBreak/>
        <w:t>el Instituto de Investigación de Recursos Biológicos Alexander von Humboldt - IAvH. Para la generación de esta cartografía se tuvo en cuenta la “</w:t>
      </w:r>
      <w:r w:rsidRPr="00A05BF4">
        <w:rPr>
          <w:rFonts w:ascii="Arial Narrow" w:hAnsi="Arial Narrow" w:cs="Arial"/>
          <w:i/>
        </w:rPr>
        <w:t>Guía divulgativa de criterios para la delimitación de páramos de Colombia</w:t>
      </w:r>
      <w:r w:rsidRPr="00A05BF4">
        <w:rPr>
          <w:rFonts w:ascii="Arial Narrow" w:hAnsi="Arial Narrow" w:cs="Arial"/>
        </w:rPr>
        <w:t>” (Rivera y Rodríguez, 2011), elaborada mediante convenio con el mismo Instituto, considerando factores como la variabilidad climática, topográfica, geológica, biogeográfica y socioeconómica del país.</w:t>
      </w:r>
    </w:p>
    <w:p w14:paraId="0B51528A" w14:textId="5CFF411B" w:rsidR="00AF233B" w:rsidRPr="00A05BF4" w:rsidRDefault="00AF233B" w:rsidP="00A05BF4">
      <w:pPr>
        <w:jc w:val="both"/>
        <w:rPr>
          <w:rFonts w:ascii="Arial Narrow" w:eastAsia="Arial Unicode MS" w:hAnsi="Arial Narrow" w:cs="Arial"/>
          <w:u w:color="000000"/>
          <w:bdr w:val="nil"/>
        </w:rPr>
      </w:pPr>
    </w:p>
    <w:p w14:paraId="49D83BA5" w14:textId="3199AE3E" w:rsidR="00AF233B" w:rsidRPr="00A05BF4" w:rsidRDefault="00AF233B" w:rsidP="00A05BF4">
      <w:pPr>
        <w:autoSpaceDE w:val="0"/>
        <w:autoSpaceDN w:val="0"/>
        <w:adjustRightInd w:val="0"/>
        <w:jc w:val="both"/>
        <w:rPr>
          <w:rFonts w:ascii="Arial Narrow" w:eastAsia="Times New Roman" w:hAnsi="Arial Narrow" w:cs="Arial"/>
          <w:bCs/>
          <w:u w:color="000000"/>
          <w:lang w:val="es-ES"/>
        </w:rPr>
      </w:pPr>
      <w:r w:rsidRPr="00A05BF4">
        <w:rPr>
          <w:rFonts w:ascii="Arial Narrow" w:eastAsia="Times New Roman" w:hAnsi="Arial Narrow" w:cs="Arial"/>
          <w:bCs/>
          <w:u w:color="000000"/>
          <w:lang w:val="es-ES"/>
        </w:rPr>
        <w:t>En tal sentido, la Dirección de Bosques, Biodiversidad y Servicios Ecosistémicos elaboró el documento “</w:t>
      </w:r>
      <w:r w:rsidR="00A05BF4" w:rsidRPr="00A05BF4">
        <w:rPr>
          <w:rFonts w:ascii="Arial Narrow" w:eastAsia="Times New Roman" w:hAnsi="Arial Narrow" w:cs="Arial"/>
          <w:bCs/>
          <w:u w:color="000000"/>
          <w:lang w:val="es-ES"/>
        </w:rPr>
        <w:t>MEMORIA TÉCNICA</w:t>
      </w:r>
      <w:r w:rsidRPr="00A05BF4">
        <w:rPr>
          <w:rFonts w:ascii="Arial Narrow" w:eastAsia="Times New Roman" w:hAnsi="Arial Narrow" w:cs="Arial"/>
          <w:bCs/>
          <w:u w:color="000000"/>
          <w:lang w:val="es-ES"/>
        </w:rPr>
        <w:t xml:space="preserve"> PARA LA DELIMITACIÓN DEL ÁREA DE PÁRAMO </w:t>
      </w:r>
      <w:r w:rsidR="009D4547" w:rsidRPr="00A05BF4">
        <w:rPr>
          <w:rFonts w:ascii="Arial Narrow" w:eastAsia="Times New Roman" w:hAnsi="Arial Narrow" w:cs="Arial"/>
          <w:bCs/>
          <w:u w:color="000000"/>
          <w:lang w:val="es-ES"/>
        </w:rPr>
        <w:t>SOTARA</w:t>
      </w:r>
      <w:r w:rsidRPr="00A05BF4">
        <w:rPr>
          <w:rFonts w:ascii="Arial Narrow" w:eastAsia="Times New Roman" w:hAnsi="Arial Narrow" w:cs="Arial"/>
          <w:bCs/>
          <w:u w:color="000000"/>
          <w:lang w:val="es-ES"/>
        </w:rPr>
        <w:t>” basado en estos insumos.</w:t>
      </w:r>
    </w:p>
    <w:p w14:paraId="4F4FB606" w14:textId="77777777" w:rsidR="00AF233B" w:rsidRPr="00A05BF4" w:rsidRDefault="00AF233B" w:rsidP="00A05BF4">
      <w:pPr>
        <w:pStyle w:val="Prrafodelista"/>
        <w:numPr>
          <w:ilvl w:val="0"/>
          <w:numId w:val="7"/>
        </w:numPr>
        <w:ind w:left="284" w:hanging="284"/>
        <w:contextualSpacing w:val="0"/>
        <w:jc w:val="both"/>
        <w:rPr>
          <w:rFonts w:ascii="Arial Narrow" w:hAnsi="Arial Narrow" w:cs="Arial"/>
          <w:b/>
        </w:rPr>
      </w:pPr>
      <w:r w:rsidRPr="00A05BF4">
        <w:rPr>
          <w:rFonts w:ascii="Arial Narrow" w:hAnsi="Arial Narrow" w:cs="Arial"/>
          <w:b/>
        </w:rPr>
        <w:t>Ámbito de aplicación y sujetos a los que va dirigida</w:t>
      </w:r>
    </w:p>
    <w:p w14:paraId="4006D268" w14:textId="77777777" w:rsidR="00AF233B" w:rsidRPr="00A05BF4" w:rsidRDefault="00AF233B" w:rsidP="00A05BF4">
      <w:pPr>
        <w:autoSpaceDE w:val="0"/>
        <w:autoSpaceDN w:val="0"/>
        <w:adjustRightInd w:val="0"/>
        <w:jc w:val="both"/>
        <w:rPr>
          <w:rFonts w:ascii="Arial Narrow" w:hAnsi="Arial Narrow" w:cs="Arial"/>
        </w:rPr>
      </w:pPr>
    </w:p>
    <w:p w14:paraId="60C2AB88" w14:textId="77777777" w:rsidR="00AF233B" w:rsidRPr="00A05BF4" w:rsidRDefault="00AF233B" w:rsidP="00A05BF4">
      <w:pPr>
        <w:jc w:val="both"/>
        <w:rPr>
          <w:rFonts w:ascii="Arial Narrow" w:hAnsi="Arial Narrow" w:cs="Arial"/>
        </w:rPr>
      </w:pPr>
      <w:r w:rsidRPr="00A05BF4">
        <w:rPr>
          <w:rFonts w:ascii="Arial Narrow" w:hAnsi="Arial Narrow" w:cs="Arial"/>
        </w:rPr>
        <w:t xml:space="preserve">La norma propuesta servirá a las Corporaciones para que adelantar la zonificación y determinación del régimen de uso, ordenados por el artículo 173 de la Ley 1753 de 2015; así mismo definirá las áreas del territorio en las que deberán ser efectivas las restricciones establecidas, una vez este acto administrativo se publique en el diario oficial. </w:t>
      </w:r>
    </w:p>
    <w:p w14:paraId="273B72C0" w14:textId="77777777" w:rsidR="00AF233B" w:rsidRPr="00A05BF4" w:rsidRDefault="00AF233B" w:rsidP="00A05BF4">
      <w:pPr>
        <w:pStyle w:val="00TEXTO"/>
        <w:spacing w:line="240" w:lineRule="auto"/>
        <w:rPr>
          <w:rFonts w:ascii="Arial Narrow" w:eastAsia="Arial Unicode MS" w:hAnsi="Arial Narrow" w:cs="Arial"/>
          <w:sz w:val="24"/>
          <w:szCs w:val="24"/>
          <w:u w:color="000000"/>
          <w:bdr w:val="nil"/>
          <w:lang w:val="es-ES_tradnl" w:eastAsia="es-ES"/>
        </w:rPr>
      </w:pPr>
    </w:p>
    <w:p w14:paraId="2EADEA45" w14:textId="77777777" w:rsidR="00FD28A0" w:rsidRPr="00A05BF4" w:rsidRDefault="00AF233B" w:rsidP="00A05BF4">
      <w:pPr>
        <w:autoSpaceDE w:val="0"/>
        <w:autoSpaceDN w:val="0"/>
        <w:adjustRightInd w:val="0"/>
        <w:jc w:val="both"/>
        <w:rPr>
          <w:rFonts w:ascii="Arial Narrow" w:hAnsi="Arial Narrow" w:cs="Arial"/>
        </w:rPr>
      </w:pPr>
      <w:r w:rsidRPr="00A05BF4">
        <w:rPr>
          <w:rFonts w:ascii="Arial Narrow" w:hAnsi="Arial Narrow" w:cs="Arial"/>
        </w:rPr>
        <w:t xml:space="preserve">Con la expedición del presente acto administrativo se delimita el “ÁREA PÁRAMO </w:t>
      </w:r>
      <w:r w:rsidR="00A92CB6" w:rsidRPr="00A05BF4">
        <w:rPr>
          <w:rFonts w:ascii="Arial Narrow" w:hAnsi="Arial Narrow" w:cs="Arial"/>
        </w:rPr>
        <w:t>SOTARÀ”</w:t>
      </w:r>
      <w:r w:rsidRPr="00A05BF4">
        <w:rPr>
          <w:rFonts w:ascii="Arial Narrow" w:hAnsi="Arial Narrow" w:cs="Arial"/>
        </w:rPr>
        <w:t xml:space="preserve"> que se encuentra localizado en las jurisdicciones </w:t>
      </w:r>
      <w:r w:rsidR="00A92CB6" w:rsidRPr="00A05BF4">
        <w:rPr>
          <w:rFonts w:ascii="Arial Narrow" w:hAnsi="Arial Narrow" w:cs="Arial"/>
        </w:rPr>
        <w:t>de la Corporación Autónoma Regional del Cauca (CRC) y la Corporación Autónoma Regional del Alto Magdalena (CAM).</w:t>
      </w:r>
    </w:p>
    <w:p w14:paraId="61012D95" w14:textId="77777777" w:rsidR="00A92CB6" w:rsidRPr="00A05BF4" w:rsidRDefault="00A92CB6" w:rsidP="00A05BF4">
      <w:pPr>
        <w:autoSpaceDE w:val="0"/>
        <w:autoSpaceDN w:val="0"/>
        <w:adjustRightInd w:val="0"/>
        <w:jc w:val="both"/>
        <w:rPr>
          <w:rFonts w:ascii="Arial Narrow" w:hAnsi="Arial Narrow" w:cs="Arial"/>
        </w:rPr>
      </w:pPr>
    </w:p>
    <w:p w14:paraId="053EA924" w14:textId="137E974E" w:rsidR="00FD28A0" w:rsidRPr="00A05BF4" w:rsidRDefault="00AF233B" w:rsidP="00A05BF4">
      <w:pPr>
        <w:autoSpaceDE w:val="0"/>
        <w:autoSpaceDN w:val="0"/>
        <w:adjustRightInd w:val="0"/>
        <w:jc w:val="both"/>
        <w:rPr>
          <w:rFonts w:ascii="Arial Narrow" w:hAnsi="Arial Narrow" w:cs="Arial"/>
        </w:rPr>
      </w:pPr>
      <w:r w:rsidRPr="00A05BF4">
        <w:rPr>
          <w:rFonts w:ascii="Arial Narrow" w:hAnsi="Arial Narrow" w:cs="Arial"/>
        </w:rPr>
        <w:t xml:space="preserve">El área de páramo </w:t>
      </w:r>
      <w:r w:rsidR="009B214A" w:rsidRPr="00A05BF4">
        <w:rPr>
          <w:rFonts w:ascii="Arial Narrow" w:hAnsi="Arial Narrow" w:cs="Arial"/>
        </w:rPr>
        <w:t>Soltará</w:t>
      </w:r>
      <w:r w:rsidR="00FD28A0" w:rsidRPr="00A05BF4">
        <w:rPr>
          <w:rFonts w:ascii="Arial Narrow" w:hAnsi="Arial Narrow" w:cs="Arial"/>
        </w:rPr>
        <w:t xml:space="preserve"> </w:t>
      </w:r>
      <w:r w:rsidRPr="00A05BF4">
        <w:rPr>
          <w:rFonts w:ascii="Arial Narrow" w:hAnsi="Arial Narrow" w:cs="Arial"/>
        </w:rPr>
        <w:t>delimitada en este acto administr</w:t>
      </w:r>
      <w:r w:rsidR="00FD28A0" w:rsidRPr="00A05BF4">
        <w:rPr>
          <w:rFonts w:ascii="Arial Narrow" w:hAnsi="Arial Narrow" w:cs="Arial"/>
        </w:rPr>
        <w:t>ativo</w:t>
      </w:r>
      <w:r w:rsidR="00A05BF4" w:rsidRPr="00A05BF4">
        <w:rPr>
          <w:rFonts w:ascii="Arial Narrow" w:hAnsi="Arial Narrow" w:cs="Arial"/>
        </w:rPr>
        <w:t>, tiene</w:t>
      </w:r>
      <w:r w:rsidR="0060798F" w:rsidRPr="00A05BF4">
        <w:rPr>
          <w:rFonts w:ascii="Arial Narrow" w:hAnsi="Arial Narrow" w:cs="Arial"/>
        </w:rPr>
        <w:t xml:space="preserve"> un área </w:t>
      </w:r>
      <w:r w:rsidR="00A05BF4" w:rsidRPr="00A05BF4">
        <w:rPr>
          <w:rFonts w:ascii="Arial Narrow" w:hAnsi="Arial Narrow" w:cs="Arial"/>
        </w:rPr>
        <w:t xml:space="preserve">total </w:t>
      </w:r>
      <w:r w:rsidR="0060798F" w:rsidRPr="00A05BF4">
        <w:rPr>
          <w:rFonts w:ascii="Arial Narrow" w:hAnsi="Arial Narrow" w:cs="Arial"/>
        </w:rPr>
        <w:t xml:space="preserve">de </w:t>
      </w:r>
      <w:r w:rsidR="00A05BF4" w:rsidRPr="00A05BF4">
        <w:rPr>
          <w:rFonts w:ascii="Arial Narrow" w:hAnsi="Arial Narrow" w:cs="Arial"/>
        </w:rPr>
        <w:t>80.929</w:t>
      </w:r>
      <w:r w:rsidR="00A05BF4" w:rsidRPr="00A05BF4">
        <w:rPr>
          <w:rStyle w:val="Nmerodepgina"/>
          <w:rFonts w:ascii="Arial Narrow" w:hAnsi="Arial Narrow"/>
        </w:rPr>
        <w:t xml:space="preserve"> </w:t>
      </w:r>
      <w:r w:rsidR="0060798F" w:rsidRPr="00A05BF4">
        <w:rPr>
          <w:rFonts w:ascii="Arial Narrow" w:hAnsi="Arial Narrow" w:cs="Arial"/>
        </w:rPr>
        <w:t xml:space="preserve">ha y un total de </w:t>
      </w:r>
      <w:r w:rsidR="00A05BF4" w:rsidRPr="00A05BF4">
        <w:rPr>
          <w:rFonts w:ascii="Arial Narrow" w:hAnsi="Arial Narrow" w:cs="Arial"/>
        </w:rPr>
        <w:t>54.194</w:t>
      </w:r>
      <w:r w:rsidR="0060798F" w:rsidRPr="00A05BF4">
        <w:rPr>
          <w:rFonts w:ascii="Arial Narrow" w:hAnsi="Arial Narrow" w:cs="Arial"/>
        </w:rPr>
        <w:t xml:space="preserve"> coordenadas la cuales presenta como Dátum geodésico: Magna – Sirgas, origen Bogotá</w:t>
      </w:r>
      <w:r w:rsidR="00A05BF4" w:rsidRPr="00A05BF4">
        <w:rPr>
          <w:rFonts w:ascii="Arial Narrow" w:hAnsi="Arial Narrow" w:cs="Arial"/>
        </w:rPr>
        <w:t>.</w:t>
      </w:r>
    </w:p>
    <w:p w14:paraId="4FEB6ECB" w14:textId="77777777" w:rsidR="0060798F" w:rsidRPr="00A05BF4" w:rsidRDefault="0060798F" w:rsidP="00A05BF4">
      <w:pPr>
        <w:autoSpaceDE w:val="0"/>
        <w:autoSpaceDN w:val="0"/>
        <w:adjustRightInd w:val="0"/>
        <w:jc w:val="both"/>
        <w:rPr>
          <w:rFonts w:ascii="Arial Narrow" w:hAnsi="Arial Narrow" w:cs="Arial"/>
        </w:rPr>
      </w:pPr>
    </w:p>
    <w:p w14:paraId="16063BBD" w14:textId="7DBF0D0F" w:rsidR="00AF233B" w:rsidRPr="00A05BF4" w:rsidRDefault="00AF233B" w:rsidP="00A05BF4">
      <w:pPr>
        <w:autoSpaceDE w:val="0"/>
        <w:autoSpaceDN w:val="0"/>
        <w:adjustRightInd w:val="0"/>
        <w:jc w:val="both"/>
        <w:rPr>
          <w:rFonts w:ascii="Arial Narrow" w:hAnsi="Arial Narrow" w:cs="Arial"/>
        </w:rPr>
      </w:pPr>
      <w:r w:rsidRPr="00A05BF4">
        <w:rPr>
          <w:rFonts w:ascii="Arial Narrow" w:hAnsi="Arial Narrow" w:cs="Arial"/>
        </w:rPr>
        <w:t xml:space="preserve">Estarán sujetos a la resolución:  </w:t>
      </w:r>
      <w:r w:rsidR="00FD28A0" w:rsidRPr="00A05BF4">
        <w:rPr>
          <w:rFonts w:ascii="Arial Narrow" w:hAnsi="Arial Narrow" w:cs="Arial"/>
        </w:rPr>
        <w:t xml:space="preserve">Corporaciones Autónomas Regionales: </w:t>
      </w:r>
      <w:r w:rsidR="0060798F" w:rsidRPr="00A05BF4">
        <w:rPr>
          <w:rFonts w:ascii="Arial Narrow" w:hAnsi="Arial Narrow" w:cs="Arial"/>
        </w:rPr>
        <w:t>jurisdicciones de</w:t>
      </w:r>
      <w:r w:rsidR="0060798F" w:rsidRPr="00A05BF4">
        <w:rPr>
          <w:rFonts w:ascii="Arial Narrow" w:hAnsi="Arial Narrow"/>
        </w:rPr>
        <w:t xml:space="preserve"> </w:t>
      </w:r>
      <w:r w:rsidR="00A92CB6" w:rsidRPr="00A05BF4">
        <w:rPr>
          <w:rFonts w:ascii="Arial Narrow" w:hAnsi="Arial Narrow" w:cs="Arial"/>
        </w:rPr>
        <w:t xml:space="preserve">la Corporación Autónoma Regional del Cauca (CRC) y la Corporación Autónoma Regional del Alto Magdalena (CAM), </w:t>
      </w:r>
      <w:r w:rsidRPr="00A05BF4">
        <w:rPr>
          <w:rFonts w:ascii="Arial Narrow" w:hAnsi="Arial Narrow" w:cs="Arial"/>
        </w:rPr>
        <w:t xml:space="preserve">las Fuerzas Armadas, el Ministerio de Minas y Energía, la Agencia Nacional Minera, la Agencia nacional de hidrocarburos, el Ministerio de Agricultura y Desarrollo Rural, la Unidad de Planificación Rural Agropecuaria, departamentos </w:t>
      </w:r>
      <w:r w:rsidR="00A05BF4" w:rsidRPr="00A05BF4">
        <w:rPr>
          <w:rFonts w:ascii="Arial Narrow" w:hAnsi="Arial Narrow" w:cs="Arial"/>
        </w:rPr>
        <w:t xml:space="preserve">del </w:t>
      </w:r>
      <w:r w:rsidR="00115EFC" w:rsidRPr="00A05BF4">
        <w:rPr>
          <w:rFonts w:ascii="Arial Narrow" w:hAnsi="Arial Narrow" w:cs="Arial"/>
        </w:rPr>
        <w:t>H</w:t>
      </w:r>
      <w:r w:rsidR="00A05BF4" w:rsidRPr="00A05BF4">
        <w:rPr>
          <w:rFonts w:ascii="Arial Narrow" w:hAnsi="Arial Narrow" w:cs="Arial"/>
        </w:rPr>
        <w:t>u</w:t>
      </w:r>
      <w:r w:rsidR="00115EFC" w:rsidRPr="00A05BF4">
        <w:rPr>
          <w:rFonts w:ascii="Arial Narrow" w:hAnsi="Arial Narrow" w:cs="Arial"/>
        </w:rPr>
        <w:t>ila y Cauca</w:t>
      </w:r>
      <w:r w:rsidR="00FD28A0" w:rsidRPr="00A05BF4">
        <w:rPr>
          <w:rFonts w:ascii="Arial Narrow" w:eastAsia="Times New Roman" w:hAnsi="Arial Narrow" w:cs="Arial"/>
          <w:bCs/>
          <w:u w:color="000000"/>
          <w:lang w:val="es-ES"/>
        </w:rPr>
        <w:t xml:space="preserve"> </w:t>
      </w:r>
      <w:r w:rsidR="00F15DE6" w:rsidRPr="00A05BF4">
        <w:rPr>
          <w:rFonts w:ascii="Arial Narrow" w:eastAsia="Times New Roman" w:hAnsi="Arial Narrow" w:cs="Arial"/>
          <w:bCs/>
          <w:u w:color="000000"/>
          <w:lang w:val="es-ES"/>
        </w:rPr>
        <w:t xml:space="preserve"> </w:t>
      </w:r>
      <w:r w:rsidRPr="00A05BF4">
        <w:rPr>
          <w:rFonts w:ascii="Arial Narrow" w:eastAsia="Times New Roman" w:hAnsi="Arial Narrow" w:cs="Arial"/>
          <w:bCs/>
          <w:u w:color="000000"/>
          <w:lang w:val="es-ES"/>
        </w:rPr>
        <w:t xml:space="preserve">y pobladores </w:t>
      </w:r>
      <w:r w:rsidR="00115EFC" w:rsidRPr="00A05BF4">
        <w:rPr>
          <w:rFonts w:ascii="Arial Narrow" w:eastAsia="Times New Roman" w:hAnsi="Arial Narrow" w:cs="Arial"/>
          <w:bCs/>
          <w:u w:color="000000"/>
          <w:lang w:val="es-ES"/>
        </w:rPr>
        <w:t xml:space="preserve">de los </w:t>
      </w:r>
      <w:r w:rsidR="00A92CB6" w:rsidRPr="00A05BF4">
        <w:rPr>
          <w:rFonts w:ascii="Arial Narrow" w:eastAsia="Times New Roman" w:hAnsi="Arial Narrow" w:cs="Arial"/>
          <w:bCs/>
          <w:u w:color="000000"/>
          <w:lang w:val="es-ES"/>
        </w:rPr>
        <w:t xml:space="preserve"> municipio</w:t>
      </w:r>
      <w:r w:rsidR="00115EFC" w:rsidRPr="00A05BF4">
        <w:rPr>
          <w:rFonts w:ascii="Arial Narrow" w:eastAsia="Times New Roman" w:hAnsi="Arial Narrow" w:cs="Arial"/>
          <w:bCs/>
          <w:u w:color="000000"/>
          <w:lang w:val="es-ES"/>
        </w:rPr>
        <w:t>s</w:t>
      </w:r>
      <w:r w:rsidR="00A92CB6" w:rsidRPr="00A05BF4">
        <w:rPr>
          <w:rFonts w:ascii="Arial Narrow" w:eastAsia="Times New Roman" w:hAnsi="Arial Narrow" w:cs="Arial"/>
          <w:bCs/>
          <w:u w:color="000000"/>
          <w:lang w:val="es-ES"/>
        </w:rPr>
        <w:t xml:space="preserve"> de San Agustín </w:t>
      </w:r>
      <w:r w:rsidR="00115EFC" w:rsidRPr="00A05BF4">
        <w:rPr>
          <w:rFonts w:ascii="Arial Narrow" w:eastAsia="Times New Roman" w:hAnsi="Arial Narrow" w:cs="Arial"/>
          <w:bCs/>
          <w:u w:color="000000"/>
          <w:lang w:val="es-ES"/>
        </w:rPr>
        <w:t>(Huila)</w:t>
      </w:r>
      <w:r w:rsidR="00A92CB6" w:rsidRPr="00A05BF4">
        <w:rPr>
          <w:rFonts w:ascii="Arial Narrow" w:eastAsia="Times New Roman" w:hAnsi="Arial Narrow" w:cs="Arial"/>
          <w:bCs/>
          <w:u w:color="000000"/>
          <w:lang w:val="es-ES"/>
        </w:rPr>
        <w:t xml:space="preserve"> Almaguer, Bolívar, La Sierra, La Vega, Puracé, San Sebastián, Santa Rosa, Sotará y Sucre en el departamento de Cauca </w:t>
      </w:r>
      <w:r w:rsidRPr="00A05BF4">
        <w:rPr>
          <w:rFonts w:ascii="Arial Narrow" w:eastAsia="Times New Roman" w:hAnsi="Arial Narrow" w:cs="Arial"/>
          <w:bCs/>
          <w:u w:color="000000"/>
          <w:lang w:val="es-ES"/>
        </w:rPr>
        <w:t>y a todas aquellas entidades públicas y privadas, así</w:t>
      </w:r>
      <w:r w:rsidRPr="00A05BF4">
        <w:rPr>
          <w:rFonts w:ascii="Arial Narrow" w:hAnsi="Arial Narrow" w:cs="Arial"/>
        </w:rPr>
        <w:t xml:space="preserve"> como a los particulares que de una u otra manera tengan relación con el área delimitada debe regir desde el momento de su expedición.</w:t>
      </w:r>
    </w:p>
    <w:p w14:paraId="54EEF4F4" w14:textId="77777777" w:rsidR="00A05BF4" w:rsidRPr="00A05BF4" w:rsidRDefault="00A05BF4" w:rsidP="00A05BF4">
      <w:pPr>
        <w:pStyle w:val="00TEXTO"/>
        <w:spacing w:line="240" w:lineRule="auto"/>
        <w:rPr>
          <w:rFonts w:ascii="Arial Narrow" w:eastAsia="Arial Unicode MS" w:hAnsi="Arial Narrow" w:cs="Arial"/>
          <w:sz w:val="24"/>
          <w:szCs w:val="24"/>
          <w:u w:color="000000"/>
          <w:bdr w:val="nil"/>
          <w:lang w:val="es-ES_tradnl" w:eastAsia="es-ES"/>
        </w:rPr>
      </w:pPr>
    </w:p>
    <w:p w14:paraId="7A2DE76D" w14:textId="77777777" w:rsidR="00F15DE6" w:rsidRPr="00A05BF4" w:rsidRDefault="00F15DE6" w:rsidP="00A05BF4">
      <w:pPr>
        <w:pStyle w:val="Prrafodelista"/>
        <w:numPr>
          <w:ilvl w:val="0"/>
          <w:numId w:val="7"/>
        </w:numPr>
        <w:autoSpaceDE w:val="0"/>
        <w:ind w:left="284" w:hanging="284"/>
        <w:contextualSpacing w:val="0"/>
        <w:jc w:val="both"/>
        <w:rPr>
          <w:rFonts w:ascii="Arial Narrow" w:hAnsi="Arial Narrow" w:cs="Arial"/>
          <w:b/>
        </w:rPr>
      </w:pPr>
      <w:r w:rsidRPr="00A05BF4">
        <w:rPr>
          <w:rFonts w:ascii="Arial Narrow" w:hAnsi="Arial Narrow" w:cs="Arial"/>
          <w:b/>
        </w:rPr>
        <w:t xml:space="preserve">Viabilidad Jurídica. </w:t>
      </w:r>
    </w:p>
    <w:p w14:paraId="4E1435EF" w14:textId="77777777" w:rsidR="00F15DE6" w:rsidRPr="00A05BF4" w:rsidRDefault="00F15DE6" w:rsidP="00A05BF4">
      <w:pPr>
        <w:pStyle w:val="Prrafodelista"/>
        <w:autoSpaceDE w:val="0"/>
        <w:ind w:left="284"/>
        <w:contextualSpacing w:val="0"/>
        <w:jc w:val="both"/>
        <w:rPr>
          <w:rFonts w:ascii="Arial Narrow" w:hAnsi="Arial Narrow" w:cs="Arial"/>
          <w:b/>
        </w:rPr>
      </w:pPr>
    </w:p>
    <w:p w14:paraId="7865FD0B" w14:textId="77777777" w:rsidR="00F15DE6" w:rsidRPr="00A05BF4" w:rsidRDefault="00F15DE6" w:rsidP="00A05BF4">
      <w:pPr>
        <w:pStyle w:val="Prrafodelista"/>
        <w:numPr>
          <w:ilvl w:val="1"/>
          <w:numId w:val="7"/>
        </w:numPr>
        <w:autoSpaceDE w:val="0"/>
        <w:ind w:left="780" w:hanging="420"/>
        <w:jc w:val="both"/>
        <w:rPr>
          <w:rFonts w:ascii="Arial Narrow" w:hAnsi="Arial Narrow" w:cs="Arial"/>
          <w:b/>
        </w:rPr>
      </w:pPr>
      <w:r w:rsidRPr="00A05BF4">
        <w:rPr>
          <w:rFonts w:ascii="Arial Narrow" w:hAnsi="Arial Narrow" w:cs="Arial"/>
          <w:b/>
        </w:rPr>
        <w:t>Análisis expreso y detallado de las normas que otorgan la competencia para la expedición del correspondiente acto</w:t>
      </w:r>
    </w:p>
    <w:p w14:paraId="7BA98C6C" w14:textId="77777777" w:rsidR="00F15DE6" w:rsidRPr="00A05BF4" w:rsidRDefault="00F15DE6" w:rsidP="00A05BF4">
      <w:pPr>
        <w:autoSpaceDE w:val="0"/>
        <w:jc w:val="both"/>
        <w:rPr>
          <w:rFonts w:ascii="Arial Narrow" w:hAnsi="Arial Narrow" w:cs="Arial"/>
          <w:b/>
        </w:rPr>
      </w:pPr>
    </w:p>
    <w:p w14:paraId="327D0E23" w14:textId="77777777" w:rsidR="00F15DE6" w:rsidRPr="00A05BF4" w:rsidRDefault="00F15DE6" w:rsidP="00A05BF4">
      <w:pPr>
        <w:autoSpaceDE w:val="0"/>
        <w:jc w:val="both"/>
        <w:rPr>
          <w:rFonts w:ascii="Arial Narrow" w:hAnsi="Arial Narrow" w:cs="Arial"/>
        </w:rPr>
      </w:pPr>
      <w:r w:rsidRPr="00A05BF4">
        <w:rPr>
          <w:rFonts w:ascii="Arial Narrow" w:hAnsi="Arial Narrow" w:cs="Arial"/>
        </w:rPr>
        <w:t xml:space="preserve">El artículo 173 de la ley 1753 de 2015 determina: </w:t>
      </w:r>
    </w:p>
    <w:p w14:paraId="029414C8" w14:textId="77777777" w:rsidR="00F15DE6" w:rsidRPr="00A05BF4" w:rsidRDefault="00F15DE6" w:rsidP="00A05BF4">
      <w:pPr>
        <w:autoSpaceDE w:val="0"/>
        <w:jc w:val="both"/>
        <w:rPr>
          <w:rFonts w:ascii="Arial Narrow" w:hAnsi="Arial Narrow" w:cs="Arial"/>
        </w:rPr>
      </w:pPr>
    </w:p>
    <w:p w14:paraId="05EDFBC0" w14:textId="77777777" w:rsidR="00F15DE6" w:rsidRPr="00A05BF4" w:rsidRDefault="00F15DE6" w:rsidP="00A05BF4">
      <w:pPr>
        <w:jc w:val="both"/>
        <w:rPr>
          <w:rFonts w:ascii="Arial Narrow" w:hAnsi="Arial Narrow" w:cs="Arial"/>
        </w:rPr>
      </w:pPr>
      <w:r w:rsidRPr="00A05BF4">
        <w:rPr>
          <w:rFonts w:ascii="Arial Narrow" w:eastAsia="Times New Roman" w:hAnsi="Arial Narrow" w:cs="Arial"/>
          <w:lang w:eastAsia="es-CO"/>
        </w:rPr>
        <w:lastRenderedPageBreak/>
        <w:t xml:space="preserve">El Ministerio de Ambiente y Desarrollo Sostenible hará la delimitación de las áreas de páramos al interior del área de referencia definida en la cartografía generada por el Instituto Alexander Von Humboldt a escala 1:100.000 o 1:25.000, cuando esta última esté disponible. </w:t>
      </w:r>
    </w:p>
    <w:p w14:paraId="15DFA5FC" w14:textId="77777777" w:rsidR="00F15DE6" w:rsidRPr="00A05BF4" w:rsidRDefault="00F15DE6" w:rsidP="00A05BF4">
      <w:pPr>
        <w:autoSpaceDE w:val="0"/>
        <w:jc w:val="both"/>
        <w:rPr>
          <w:rFonts w:ascii="Arial Narrow" w:hAnsi="Arial Narrow" w:cs="Arial"/>
          <w:lang w:val="es-CO"/>
        </w:rPr>
      </w:pPr>
    </w:p>
    <w:p w14:paraId="3FEF659E" w14:textId="77777777" w:rsidR="00F15DE6" w:rsidRPr="00A05BF4" w:rsidRDefault="00F15DE6" w:rsidP="00A05BF4">
      <w:pPr>
        <w:autoSpaceDE w:val="0"/>
        <w:jc w:val="both"/>
        <w:rPr>
          <w:rFonts w:ascii="Arial Narrow" w:hAnsi="Arial Narrow" w:cs="Arial"/>
        </w:rPr>
      </w:pPr>
      <w:r w:rsidRPr="00A05BF4">
        <w:rPr>
          <w:rFonts w:ascii="Arial Narrow" w:hAnsi="Arial Narrow" w:cs="Arial"/>
        </w:rPr>
        <w:t xml:space="preserve">Por su parte, el numeral 16 del artículo 2 del Decreto 3570 de 2011 determina dentro de las funciones del Ministerio de Ambiente y Desarrollo Sostenible la de expedir los actos administrativos para la delimitación de los páramos. </w:t>
      </w:r>
    </w:p>
    <w:p w14:paraId="5E1A2804" w14:textId="2E89E612" w:rsidR="00F15DE6" w:rsidRPr="00A05BF4" w:rsidRDefault="00F15DE6" w:rsidP="00A05BF4">
      <w:pPr>
        <w:autoSpaceDE w:val="0"/>
        <w:jc w:val="both"/>
        <w:rPr>
          <w:rFonts w:ascii="Arial Narrow" w:hAnsi="Arial Narrow" w:cs="Arial"/>
        </w:rPr>
      </w:pPr>
      <w:r w:rsidRPr="00A05BF4">
        <w:rPr>
          <w:rFonts w:ascii="Arial Narrow" w:hAnsi="Arial Narrow" w:cs="Arial"/>
        </w:rPr>
        <w:t>En virtud de lo previsto por las normas en cita este Ministerio cuenta con la competencia para delimitar el páramo</w:t>
      </w:r>
      <w:r w:rsidR="004D7CB3" w:rsidRPr="00A05BF4">
        <w:rPr>
          <w:rFonts w:ascii="Arial Narrow" w:hAnsi="Arial Narrow" w:cs="Arial"/>
        </w:rPr>
        <w:t xml:space="preserve"> </w:t>
      </w:r>
      <w:r w:rsidR="00A05BF4" w:rsidRPr="00A05BF4">
        <w:rPr>
          <w:rFonts w:ascii="Arial Narrow" w:hAnsi="Arial Narrow" w:cs="Arial"/>
        </w:rPr>
        <w:t>Sotará</w:t>
      </w:r>
      <w:r w:rsidRPr="00A05BF4">
        <w:rPr>
          <w:rFonts w:ascii="Arial Narrow" w:hAnsi="Arial Narrow" w:cs="Arial"/>
        </w:rPr>
        <w:t xml:space="preserve"> </w:t>
      </w:r>
    </w:p>
    <w:p w14:paraId="2C7DF9DF" w14:textId="77777777" w:rsidR="00F15DE6" w:rsidRPr="00A05BF4" w:rsidRDefault="00F15DE6" w:rsidP="00A05BF4">
      <w:pPr>
        <w:autoSpaceDE w:val="0"/>
        <w:jc w:val="both"/>
        <w:rPr>
          <w:rFonts w:ascii="Arial Narrow" w:hAnsi="Arial Narrow" w:cs="Arial"/>
        </w:rPr>
      </w:pPr>
    </w:p>
    <w:p w14:paraId="77E7A05F" w14:textId="77777777" w:rsidR="00F15DE6" w:rsidRPr="00A05BF4" w:rsidRDefault="00F15DE6" w:rsidP="00A05BF4">
      <w:pPr>
        <w:pStyle w:val="Prrafodelista"/>
        <w:numPr>
          <w:ilvl w:val="1"/>
          <w:numId w:val="7"/>
        </w:numPr>
        <w:autoSpaceDE w:val="0"/>
        <w:ind w:left="780" w:hanging="420"/>
        <w:jc w:val="both"/>
        <w:rPr>
          <w:rFonts w:ascii="Arial Narrow" w:hAnsi="Arial Narrow" w:cs="Arial"/>
          <w:b/>
        </w:rPr>
      </w:pPr>
      <w:r w:rsidRPr="00A05BF4">
        <w:rPr>
          <w:rFonts w:ascii="Arial Narrow" w:hAnsi="Arial Narrow" w:cs="Arial"/>
          <w:b/>
        </w:rPr>
        <w:t>La vigencia de la Ley o norma reglamentada o desarrollada.</w:t>
      </w:r>
    </w:p>
    <w:p w14:paraId="0C005DD7" w14:textId="77777777" w:rsidR="00F15DE6" w:rsidRPr="00A05BF4" w:rsidRDefault="00F15DE6" w:rsidP="00A05BF4">
      <w:pPr>
        <w:pStyle w:val="Prrafodelista"/>
        <w:autoSpaceDE w:val="0"/>
        <w:ind w:left="780"/>
        <w:jc w:val="both"/>
        <w:rPr>
          <w:rFonts w:ascii="Arial Narrow" w:hAnsi="Arial Narrow" w:cs="Arial"/>
          <w:b/>
        </w:rPr>
      </w:pPr>
    </w:p>
    <w:p w14:paraId="051CC85E" w14:textId="055EBAC5" w:rsidR="00F15DE6" w:rsidRPr="00A05BF4" w:rsidRDefault="00F15DE6" w:rsidP="00A05BF4">
      <w:pPr>
        <w:autoSpaceDE w:val="0"/>
        <w:jc w:val="both"/>
        <w:rPr>
          <w:rFonts w:ascii="Arial Narrow" w:hAnsi="Arial Narrow" w:cs="Arial"/>
        </w:rPr>
      </w:pPr>
      <w:r w:rsidRPr="00A05BF4">
        <w:rPr>
          <w:rFonts w:ascii="Arial Narrow" w:hAnsi="Arial Narrow" w:cs="Arial"/>
        </w:rPr>
        <w:t xml:space="preserve">La norma por medio de la cual se establece la delimitación del </w:t>
      </w:r>
      <w:r w:rsidRPr="00A05BF4">
        <w:rPr>
          <w:rFonts w:ascii="Arial Narrow" w:hAnsi="Arial Narrow" w:cs="Arial"/>
          <w:b/>
          <w:i/>
        </w:rPr>
        <w:t>“</w:t>
      </w:r>
      <w:r w:rsidRPr="00A05BF4">
        <w:rPr>
          <w:rFonts w:ascii="Arial Narrow" w:hAnsi="Arial Narrow" w:cs="Arial"/>
        </w:rPr>
        <w:t xml:space="preserve">ÁREA PÁRAMO </w:t>
      </w:r>
      <w:r w:rsidR="009B214A" w:rsidRPr="00A05BF4">
        <w:rPr>
          <w:rFonts w:ascii="Arial Narrow" w:hAnsi="Arial Narrow" w:cs="Arial"/>
        </w:rPr>
        <w:t>SOTARÀ”</w:t>
      </w:r>
      <w:r w:rsidRPr="00A05BF4">
        <w:rPr>
          <w:rFonts w:ascii="Arial Narrow" w:hAnsi="Arial Narrow" w:cs="Arial"/>
        </w:rPr>
        <w:t xml:space="preserve"> deberá tener una vigencia permanente, la misma entra en vigencia a partir de su publicación en el diario oficial.</w:t>
      </w:r>
    </w:p>
    <w:p w14:paraId="3C3F67A9" w14:textId="77777777" w:rsidR="00F15DE6" w:rsidRPr="00A05BF4" w:rsidRDefault="00F15DE6" w:rsidP="00A05BF4">
      <w:pPr>
        <w:autoSpaceDE w:val="0"/>
        <w:jc w:val="both"/>
        <w:rPr>
          <w:rFonts w:ascii="Arial Narrow" w:hAnsi="Arial Narrow" w:cs="Arial"/>
        </w:rPr>
      </w:pPr>
    </w:p>
    <w:p w14:paraId="677889FF" w14:textId="77777777" w:rsidR="00F15DE6" w:rsidRPr="00A05BF4" w:rsidRDefault="00F15DE6" w:rsidP="00A05BF4">
      <w:pPr>
        <w:pStyle w:val="Prrafodelista"/>
        <w:numPr>
          <w:ilvl w:val="1"/>
          <w:numId w:val="7"/>
        </w:numPr>
        <w:autoSpaceDE w:val="0"/>
        <w:ind w:left="780" w:hanging="420"/>
        <w:jc w:val="both"/>
        <w:rPr>
          <w:rStyle w:val="apple-converted-space"/>
          <w:rFonts w:ascii="Arial Narrow" w:hAnsi="Arial Narrow" w:cs="Arial"/>
          <w:b/>
          <w:shd w:val="clear" w:color="auto" w:fill="FFFFFF"/>
        </w:rPr>
      </w:pPr>
      <w:r w:rsidRPr="00A05BF4">
        <w:rPr>
          <w:rFonts w:ascii="Arial Narrow" w:hAnsi="Arial Narrow" w:cs="Arial"/>
          <w:b/>
        </w:rPr>
        <w:t>Las disposiciones derogadas, subrogadas, modificadas, adicionadas o sustituidas, si alguno de estos efectos se produce con la expedición del respectivo acto</w:t>
      </w:r>
      <w:r w:rsidRPr="00A05BF4">
        <w:rPr>
          <w:rStyle w:val="apple-converted-space"/>
          <w:rFonts w:ascii="Arial Narrow" w:hAnsi="Arial Narrow" w:cs="Arial"/>
          <w:b/>
          <w:shd w:val="clear" w:color="auto" w:fill="FFFFFF"/>
        </w:rPr>
        <w:t>.</w:t>
      </w:r>
    </w:p>
    <w:p w14:paraId="1652E00B" w14:textId="77777777" w:rsidR="00F15DE6" w:rsidRPr="00A05BF4" w:rsidRDefault="00F15DE6" w:rsidP="00A05BF4">
      <w:pPr>
        <w:autoSpaceDE w:val="0"/>
        <w:jc w:val="both"/>
        <w:rPr>
          <w:rStyle w:val="apple-converted-space"/>
          <w:rFonts w:ascii="Arial Narrow" w:hAnsi="Arial Narrow" w:cs="Arial"/>
          <w:shd w:val="clear" w:color="auto" w:fill="FFFFFF"/>
        </w:rPr>
      </w:pPr>
    </w:p>
    <w:p w14:paraId="0469C8C3" w14:textId="77777777" w:rsidR="00F15DE6" w:rsidRPr="00A05BF4" w:rsidRDefault="00F15DE6" w:rsidP="00A05BF4">
      <w:pPr>
        <w:autoSpaceDE w:val="0"/>
        <w:jc w:val="both"/>
        <w:rPr>
          <w:rStyle w:val="apple-converted-space"/>
          <w:rFonts w:ascii="Arial Narrow" w:hAnsi="Arial Narrow" w:cs="Arial"/>
          <w:shd w:val="clear" w:color="auto" w:fill="FFFFFF"/>
        </w:rPr>
      </w:pPr>
      <w:r w:rsidRPr="00A05BF4">
        <w:rPr>
          <w:rStyle w:val="apple-converted-space"/>
          <w:rFonts w:ascii="Arial Narrow" w:hAnsi="Arial Narrow" w:cs="Arial"/>
          <w:shd w:val="clear" w:color="auto" w:fill="FFFFFF"/>
        </w:rPr>
        <w:t>El presente acto administrativo, no deroga, subroga, modifica, adiciona ni sustituye ninguna disposición.</w:t>
      </w:r>
    </w:p>
    <w:p w14:paraId="7928E392" w14:textId="77777777" w:rsidR="00F15DE6" w:rsidRPr="00A05BF4" w:rsidRDefault="00F15DE6" w:rsidP="00A05BF4">
      <w:pPr>
        <w:autoSpaceDE w:val="0"/>
        <w:jc w:val="both"/>
        <w:rPr>
          <w:rStyle w:val="apple-converted-space"/>
          <w:rFonts w:ascii="Arial Narrow" w:hAnsi="Arial Narrow" w:cs="Arial"/>
          <w:shd w:val="clear" w:color="auto" w:fill="FFFFFF"/>
        </w:rPr>
      </w:pPr>
    </w:p>
    <w:p w14:paraId="30AF4C54" w14:textId="77777777" w:rsidR="00F15DE6" w:rsidRPr="00A05BF4" w:rsidRDefault="00F15DE6" w:rsidP="00A05BF4">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A05BF4">
        <w:rPr>
          <w:rFonts w:ascii="Arial Narrow" w:hAnsi="Arial Narrow" w:cs="Arial"/>
          <w:b/>
        </w:rPr>
        <w:t>Impacto económico, si fuere el caso, el cual deberá señalar el costo o ahorro, de la implementación del respectivo acto.</w:t>
      </w:r>
    </w:p>
    <w:p w14:paraId="501008C2"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122CD6F1"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r w:rsidRPr="00A05BF4">
        <w:rPr>
          <w:rFonts w:ascii="Arial Narrow" w:hAnsi="Arial Narrow" w:cs="Arial"/>
        </w:rPr>
        <w:t>No aplica impacto económico en la implementación de esta propuesta normativa</w:t>
      </w:r>
    </w:p>
    <w:p w14:paraId="44D687A5"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751EA047" w14:textId="77777777" w:rsidR="00F15DE6" w:rsidRPr="00A05BF4" w:rsidRDefault="00F15DE6" w:rsidP="00A05BF4">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A05BF4">
        <w:rPr>
          <w:rFonts w:ascii="Arial Narrow" w:hAnsi="Arial Narrow" w:cs="Arial"/>
          <w:b/>
        </w:rPr>
        <w:t>Disponibilidad presupuestal, si fuere del caso.</w:t>
      </w:r>
    </w:p>
    <w:p w14:paraId="32F7ADBE"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62D125DE"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r w:rsidRPr="00A05BF4">
        <w:rPr>
          <w:rFonts w:ascii="Arial Narrow" w:hAnsi="Arial Narrow" w:cs="Arial"/>
        </w:rPr>
        <w:t>No aplica disponibilidad presupuestal para esta propuesta normativa</w:t>
      </w:r>
    </w:p>
    <w:p w14:paraId="0CA6994E"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6E540F23"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29D5AEB2" w14:textId="77777777" w:rsidR="00F15DE6" w:rsidRPr="00A05BF4" w:rsidRDefault="00F15DE6" w:rsidP="00A05BF4">
      <w:pPr>
        <w:pStyle w:val="NormalWeb"/>
        <w:numPr>
          <w:ilvl w:val="0"/>
          <w:numId w:val="7"/>
        </w:numPr>
        <w:shd w:val="clear" w:color="auto" w:fill="FFFFFF"/>
        <w:spacing w:before="0" w:beforeAutospacing="0" w:after="0" w:afterAutospacing="0"/>
        <w:ind w:left="284" w:hanging="284"/>
        <w:jc w:val="both"/>
        <w:rPr>
          <w:rFonts w:ascii="Arial Narrow" w:hAnsi="Arial Narrow" w:cs="Arial"/>
          <w:b/>
        </w:rPr>
      </w:pPr>
      <w:r w:rsidRPr="00A05BF4">
        <w:rPr>
          <w:rFonts w:ascii="Arial Narrow" w:hAnsi="Arial Narrow" w:cs="Arial"/>
          <w:b/>
        </w:rPr>
        <w:t>De ser necesario, impacto medioambiental o sobre el patrimonio cultural de la Nación.</w:t>
      </w:r>
    </w:p>
    <w:p w14:paraId="059BBB9C"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highlight w:val="yellow"/>
        </w:rPr>
      </w:pPr>
    </w:p>
    <w:p w14:paraId="4278F416"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r w:rsidRPr="00A05BF4">
        <w:rPr>
          <w:rFonts w:ascii="Arial Narrow" w:hAnsi="Arial Narrow" w:cs="Arial"/>
        </w:rPr>
        <w:t xml:space="preserve">El impacto generado con el área delimitada define las áreas excluidas del desarrollo de actividades agropecuarias, de exploración o explotación de hidrocarburos y minerales, y de la construcción de refinerías de hidrocarburos de acuerdo a como lo establece la Ley 1753 de 2015. </w:t>
      </w:r>
    </w:p>
    <w:p w14:paraId="3538D479"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603BEFAF"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r w:rsidRPr="00A05BF4">
        <w:rPr>
          <w:rFonts w:ascii="Arial Narrow" w:hAnsi="Arial Narrow" w:cs="Arial"/>
        </w:rPr>
        <w:t>Se espera un impacto ambiental favorable sobre el ecosistema de páramo y sobre el suministro de servicios ecosistémicos derivados de éste.</w:t>
      </w:r>
    </w:p>
    <w:p w14:paraId="76670295"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68DB118D"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r w:rsidRPr="00A05BF4">
        <w:rPr>
          <w:rFonts w:ascii="Arial Narrow" w:hAnsi="Arial Narrow" w:cs="Arial"/>
        </w:rPr>
        <w:lastRenderedPageBreak/>
        <w:t xml:space="preserve">7. </w:t>
      </w:r>
      <w:r w:rsidRPr="00A05BF4">
        <w:rPr>
          <w:rFonts w:ascii="Arial Narrow" w:hAnsi="Arial Narrow" w:cs="Arial"/>
          <w:b/>
        </w:rPr>
        <w:t>El cumplimiento de los requisitos de consulta y publicidad, cuando haya lugar a ello</w:t>
      </w:r>
      <w:r w:rsidRPr="00A05BF4">
        <w:rPr>
          <w:rFonts w:ascii="Arial Narrow" w:hAnsi="Arial Narrow" w:cs="Arial"/>
          <w:b/>
          <w:shd w:val="clear" w:color="auto" w:fill="FFFFFF"/>
        </w:rPr>
        <w:t xml:space="preserve"> deberá anexarse la constancia que acredite que se ha cumplido dicho trámite.</w:t>
      </w:r>
      <w:r w:rsidRPr="00A05BF4">
        <w:rPr>
          <w:rFonts w:ascii="Arial Narrow" w:hAnsi="Arial Narrow" w:cs="Arial"/>
        </w:rPr>
        <w:t xml:space="preserve"> </w:t>
      </w:r>
    </w:p>
    <w:p w14:paraId="373D3F24"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rPr>
      </w:pPr>
    </w:p>
    <w:p w14:paraId="43AC17A7" w14:textId="77777777" w:rsidR="00F15DE6" w:rsidRPr="00A05BF4" w:rsidRDefault="00F15DE6" w:rsidP="00A05BF4">
      <w:pPr>
        <w:pStyle w:val="Default"/>
        <w:jc w:val="both"/>
        <w:rPr>
          <w:rFonts w:ascii="Arial Narrow" w:hAnsi="Arial Narrow"/>
          <w:color w:val="auto"/>
        </w:rPr>
      </w:pPr>
      <w:r w:rsidRPr="00A05BF4">
        <w:rPr>
          <w:rFonts w:ascii="Arial Narrow" w:hAnsi="Arial Narrow"/>
          <w:color w:val="auto"/>
        </w:rPr>
        <w:t>El proyecto normativo no se pone a consulta en la página web del Ministerio de Ambiente y Desarrollo Sostenible por cuanto su expedición obedece a un mandamiento consagrado en el artículo 173 de la ley 1753 de 2015. Es un acto cuyo ámbito de aplicación está restringido a un área puntual del territorio nacional que se define en este acto y los criterios para su expedición fueron analizados por la Corte Constitucional en la sentencia C-035 de 2016 en la que se indicó los requisitos, formas y efectos de la decisión.</w:t>
      </w:r>
    </w:p>
    <w:p w14:paraId="3C1437C3" w14:textId="77777777" w:rsidR="00F15DE6" w:rsidRPr="00A05BF4" w:rsidRDefault="00F15DE6" w:rsidP="00A05BF4">
      <w:pPr>
        <w:contextualSpacing/>
        <w:jc w:val="both"/>
        <w:rPr>
          <w:rFonts w:ascii="Arial Narrow" w:hAnsi="Arial Narrow" w:cs="Arial"/>
          <w:lang w:val="es-ES"/>
        </w:rPr>
      </w:pPr>
    </w:p>
    <w:p w14:paraId="57E39169" w14:textId="77777777" w:rsidR="00F15DE6" w:rsidRPr="00A05BF4" w:rsidRDefault="00F15DE6" w:rsidP="00A05BF4">
      <w:pPr>
        <w:pStyle w:val="NormalWeb"/>
        <w:shd w:val="clear" w:color="auto" w:fill="FFFFFF"/>
        <w:spacing w:before="0" w:beforeAutospacing="0" w:after="0" w:afterAutospacing="0"/>
        <w:jc w:val="both"/>
        <w:rPr>
          <w:rFonts w:ascii="Arial Narrow" w:hAnsi="Arial Narrow" w:cs="Arial"/>
          <w:b/>
        </w:rPr>
      </w:pPr>
      <w:r w:rsidRPr="00A05BF4">
        <w:rPr>
          <w:rFonts w:ascii="Arial Narrow" w:hAnsi="Arial Narrow" w:cs="Arial"/>
          <w:b/>
        </w:rPr>
        <w:t>8. Cualquier otro aspecto que se considere relevante o de importancia para la adopción de la decisión.</w:t>
      </w:r>
    </w:p>
    <w:p w14:paraId="66A30140" w14:textId="77777777" w:rsidR="0060798F" w:rsidRPr="00A05BF4" w:rsidRDefault="00F15DE6" w:rsidP="00A05BF4">
      <w:pPr>
        <w:pStyle w:val="NormalWeb"/>
        <w:shd w:val="clear" w:color="auto" w:fill="FFFFFF"/>
        <w:jc w:val="both"/>
        <w:rPr>
          <w:rFonts w:ascii="Arial Narrow" w:hAnsi="Arial Narrow" w:cs="Arial"/>
        </w:rPr>
      </w:pPr>
      <w:r w:rsidRPr="00A05BF4">
        <w:rPr>
          <w:rFonts w:ascii="Arial Narrow" w:hAnsi="Arial Narrow" w:cs="Arial"/>
        </w:rPr>
        <w:t>Por otro lado, la Dirección de Bosques realizó consulta al Ministerio del Interior sobre la presencia de comunidades étnicas y minorías</w:t>
      </w:r>
      <w:r w:rsidR="0060798F" w:rsidRPr="00A05BF4">
        <w:rPr>
          <w:rFonts w:ascii="Arial Narrow" w:hAnsi="Arial Narrow" w:cs="Arial"/>
        </w:rPr>
        <w:t xml:space="preserve">.   El Ministerio del Interior mediante </w:t>
      </w:r>
      <w:r w:rsidR="00A92CB6" w:rsidRPr="00A05BF4">
        <w:rPr>
          <w:rFonts w:ascii="Arial Narrow" w:hAnsi="Arial Narrow" w:cs="Arial"/>
        </w:rPr>
        <w:t xml:space="preserve">certificación. </w:t>
      </w:r>
      <w:r w:rsidR="0060798F" w:rsidRPr="00A05BF4">
        <w:rPr>
          <w:rFonts w:ascii="Arial Narrow" w:hAnsi="Arial Narrow" w:cs="Arial"/>
        </w:rPr>
        <w:t>No</w:t>
      </w:r>
      <w:r w:rsidR="00A92CB6" w:rsidRPr="00A05BF4">
        <w:rPr>
          <w:rFonts w:ascii="Arial Narrow" w:hAnsi="Arial Narrow"/>
        </w:rPr>
        <w:t xml:space="preserve"> </w:t>
      </w:r>
      <w:r w:rsidR="00A92CB6" w:rsidRPr="00A05BF4">
        <w:rPr>
          <w:rFonts w:ascii="Arial Narrow" w:hAnsi="Arial Narrow" w:cs="Arial"/>
        </w:rPr>
        <w:t>certificación No. 0928 del 6 de septiembre del 2017</w:t>
      </w:r>
      <w:r w:rsidR="0060798F" w:rsidRPr="00A05BF4">
        <w:rPr>
          <w:rFonts w:ascii="Arial Narrow" w:hAnsi="Arial Narrow" w:cs="Arial"/>
        </w:rPr>
        <w:t>, manifiesta que se registra la presencia de las siguientes comunidades indígenas:</w:t>
      </w:r>
    </w:p>
    <w:p w14:paraId="1673DCED"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Colonial CAQUIONA de la etnia Yanacona registrado en las bases de datos de la Dirección de Asuntos Indígenas, Rom y Minorías del Ministerio del Interior</w:t>
      </w:r>
    </w:p>
    <w:p w14:paraId="75EF406B"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Colonial PANCITARA de la etnia Yanacona registrado en las bases de datos de la Dirección de Asuntos Indígenas, Rom y Minorías del Ministerio del Interior</w:t>
      </w:r>
    </w:p>
    <w:p w14:paraId="76873E48"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Colonial SAN SEBASTIÁN de la etnia Yanacona registrado en las bases de datos de la Dirección de Asuntos Indígenas, Rom y Minorías del Ministerio del Interior</w:t>
      </w:r>
    </w:p>
    <w:p w14:paraId="3D6D4246"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Colonial RIÓ BLANCO de la etnia Yanacona registrado en las bases de datos de la Dirección de Asuntos Indígenas, Rom y Minorías del Ministerio del Interior</w:t>
      </w:r>
    </w:p>
    <w:p w14:paraId="2394437C"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 xml:space="preserve">El Resguardo Indígena PALETARÁ de las etnias Yanacona y Kokonuko constituido por el INCORA mediante resolución 033 del 14 de agosto de 1986. </w:t>
      </w:r>
    </w:p>
    <w:p w14:paraId="09EDAD8A" w14:textId="77777777" w:rsidR="00A92CB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GUACHICONO de la etnia Yanacona constituido por el INCORA mediante Acuerdo 177 del 3 de septiembre de 2009.</w:t>
      </w:r>
    </w:p>
    <w:p w14:paraId="7E27312A" w14:textId="77777777" w:rsidR="00F15DE6" w:rsidRPr="00A05BF4" w:rsidRDefault="00A92CB6" w:rsidP="00A05BF4">
      <w:pPr>
        <w:pStyle w:val="NormalWeb"/>
        <w:numPr>
          <w:ilvl w:val="0"/>
          <w:numId w:val="15"/>
        </w:numPr>
        <w:shd w:val="clear" w:color="auto" w:fill="FFFFFF"/>
        <w:spacing w:before="0" w:beforeAutospacing="0" w:after="0" w:afterAutospacing="0" w:line="276" w:lineRule="auto"/>
        <w:jc w:val="both"/>
        <w:rPr>
          <w:rFonts w:ascii="Arial Narrow" w:hAnsi="Arial Narrow" w:cs="Arial"/>
        </w:rPr>
      </w:pPr>
      <w:r w:rsidRPr="00A05BF4">
        <w:rPr>
          <w:rFonts w:ascii="Arial Narrow" w:hAnsi="Arial Narrow" w:cs="Arial"/>
        </w:rPr>
        <w:t>El Resguardo Indígena PAPALLAQTA, de la etnia Yanacona, constituido por el INCORA mediante Acuerdo 286 del 28 de agosto de 2012.</w:t>
      </w:r>
    </w:p>
    <w:p w14:paraId="409614A4" w14:textId="77777777" w:rsidR="00F15DE6" w:rsidRPr="00A05BF4" w:rsidRDefault="00F15DE6" w:rsidP="00A05BF4">
      <w:pPr>
        <w:autoSpaceDE w:val="0"/>
        <w:jc w:val="both"/>
        <w:rPr>
          <w:rStyle w:val="apple-converted-space"/>
          <w:rFonts w:ascii="Arial Narrow" w:hAnsi="Arial Narrow" w:cs="Arial"/>
          <w:shd w:val="clear" w:color="auto" w:fill="FFFFFF"/>
        </w:rPr>
      </w:pPr>
    </w:p>
    <w:p w14:paraId="71BFC719" w14:textId="77777777" w:rsidR="00F15DE6" w:rsidRPr="00A05BF4" w:rsidRDefault="00F15DE6" w:rsidP="00A05BF4">
      <w:pPr>
        <w:autoSpaceDE w:val="0"/>
        <w:jc w:val="both"/>
        <w:rPr>
          <w:rStyle w:val="apple-converted-space"/>
          <w:rFonts w:ascii="Arial Narrow" w:hAnsi="Arial Narrow" w:cs="Arial"/>
          <w:shd w:val="clear" w:color="auto" w:fill="FFFFFF"/>
        </w:rPr>
      </w:pPr>
    </w:p>
    <w:p w14:paraId="6545EB90" w14:textId="77777777" w:rsidR="00F15DE6" w:rsidRPr="00A05BF4" w:rsidRDefault="00F15DE6" w:rsidP="00A05BF4">
      <w:pPr>
        <w:autoSpaceDE w:val="0"/>
        <w:jc w:val="both"/>
        <w:rPr>
          <w:rStyle w:val="apple-converted-space"/>
          <w:rFonts w:ascii="Arial Narrow" w:hAnsi="Arial Narrow" w:cs="Arial"/>
          <w:shd w:val="clear" w:color="auto" w:fill="FFFFFF"/>
        </w:rPr>
      </w:pPr>
    </w:p>
    <w:p w14:paraId="466AD94A" w14:textId="77777777" w:rsidR="00F15DE6" w:rsidRPr="00A05BF4" w:rsidRDefault="00F15DE6" w:rsidP="00A05BF4">
      <w:pPr>
        <w:tabs>
          <w:tab w:val="left" w:pos="7365"/>
        </w:tabs>
        <w:ind w:left="7365" w:hanging="7365"/>
        <w:jc w:val="both"/>
        <w:rPr>
          <w:rFonts w:ascii="Arial Narrow" w:hAnsi="Arial Narrow" w:cs="Arial"/>
        </w:rPr>
      </w:pPr>
    </w:p>
    <w:p w14:paraId="0C1ECDE4" w14:textId="77777777" w:rsidR="00F15DE6" w:rsidRPr="00A05BF4" w:rsidRDefault="00F15DE6" w:rsidP="00A05BF4">
      <w:pPr>
        <w:jc w:val="both"/>
        <w:rPr>
          <w:rFonts w:ascii="Arial Narrow" w:hAnsi="Arial Narrow"/>
          <w:b/>
          <w:shd w:val="clear" w:color="auto" w:fill="FFFFFF"/>
        </w:rPr>
      </w:pPr>
      <w:r w:rsidRPr="00A05BF4">
        <w:rPr>
          <w:rFonts w:ascii="Arial Narrow" w:hAnsi="Arial Narrow"/>
          <w:b/>
          <w:shd w:val="clear" w:color="auto" w:fill="FFFFFF"/>
        </w:rPr>
        <w:t xml:space="preserve">CESAR AUGUSTO REY ANGEL </w:t>
      </w:r>
    </w:p>
    <w:p w14:paraId="14CD6DC9" w14:textId="77777777" w:rsidR="00F15DE6" w:rsidRPr="00A05BF4" w:rsidRDefault="00F15DE6" w:rsidP="00A05BF4">
      <w:pPr>
        <w:jc w:val="both"/>
        <w:rPr>
          <w:rFonts w:ascii="Arial Narrow" w:eastAsia="Times New Roman" w:hAnsi="Arial Narrow" w:cs="Arial"/>
        </w:rPr>
      </w:pPr>
      <w:r w:rsidRPr="00A05BF4">
        <w:rPr>
          <w:rFonts w:ascii="Arial Narrow" w:hAnsi="Arial Narrow"/>
        </w:rPr>
        <w:t>Director de Bosques, Biodiversidad y Servicios Ecosistémicos</w:t>
      </w:r>
    </w:p>
    <w:p w14:paraId="27F97636" w14:textId="77777777" w:rsidR="00F15DE6" w:rsidRPr="00A05BF4" w:rsidRDefault="00F15DE6" w:rsidP="00A05BF4">
      <w:pPr>
        <w:tabs>
          <w:tab w:val="left" w:pos="7365"/>
        </w:tabs>
        <w:jc w:val="both"/>
        <w:rPr>
          <w:rFonts w:ascii="Arial Narrow" w:hAnsi="Arial Narrow" w:cs="Arial"/>
        </w:rPr>
      </w:pPr>
    </w:p>
    <w:p w14:paraId="2838C651" w14:textId="77777777" w:rsidR="00F15DE6" w:rsidRPr="00A05BF4" w:rsidRDefault="00F15DE6" w:rsidP="00A05BF4">
      <w:pPr>
        <w:tabs>
          <w:tab w:val="left" w:pos="7365"/>
        </w:tabs>
        <w:jc w:val="both"/>
        <w:rPr>
          <w:rFonts w:ascii="Arial Narrow" w:hAnsi="Arial Narrow" w:cs="Arial"/>
        </w:rPr>
      </w:pPr>
    </w:p>
    <w:sectPr w:rsidR="00F15DE6" w:rsidRPr="00A05BF4" w:rsidSect="00362FDB">
      <w:headerReference w:type="even" r:id="rId8"/>
      <w:headerReference w:type="default" r:id="rId9"/>
      <w:footerReference w:type="default" r:id="rId10"/>
      <w:pgSz w:w="12242" w:h="15842" w:code="1"/>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E96F25" w14:textId="77777777" w:rsidR="00B346FC" w:rsidRDefault="00B346FC" w:rsidP="00D47842">
      <w:r>
        <w:separator/>
      </w:r>
    </w:p>
  </w:endnote>
  <w:endnote w:type="continuationSeparator" w:id="0">
    <w:p w14:paraId="04ACC59F" w14:textId="77777777" w:rsidR="00B346FC" w:rsidRDefault="00B346FC" w:rsidP="00D478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12DEC4"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Calle 37 No. 8 – 40 Bogotá, Colombia</w:t>
    </w:r>
  </w:p>
  <w:p w14:paraId="27F8BBAE" w14:textId="77777777" w:rsidR="009C5FE0" w:rsidRPr="0095780C" w:rsidRDefault="009C5FE0">
    <w:pPr>
      <w:pStyle w:val="Piedepgina"/>
      <w:rPr>
        <w:rFonts w:ascii="Futura" w:hAnsi="Futura" w:cs="Futura"/>
        <w:color w:val="808080" w:themeColor="background1" w:themeShade="80"/>
      </w:rPr>
    </w:pPr>
    <w:r w:rsidRPr="0095780C">
      <w:rPr>
        <w:rFonts w:ascii="Futura" w:hAnsi="Futura" w:cs="Futura"/>
        <w:color w:val="808080" w:themeColor="background1" w:themeShade="80"/>
      </w:rPr>
      <w:t>Conmutador (571) 3323400</w:t>
    </w:r>
  </w:p>
  <w:p w14:paraId="0C44B7B7" w14:textId="77777777" w:rsidR="009C5FE0" w:rsidRPr="0095780C" w:rsidRDefault="009C5FE0">
    <w:pPr>
      <w:pStyle w:val="Piedepgina"/>
      <w:rPr>
        <w:rFonts w:ascii="Futura" w:hAnsi="Futura" w:cs="Futura"/>
        <w:color w:val="9BBB59" w:themeColor="accent3"/>
      </w:rPr>
    </w:pPr>
    <w:r w:rsidRPr="0095780C">
      <w:rPr>
        <w:rFonts w:ascii="Futura" w:hAnsi="Futura" w:cs="Futura"/>
        <w:color w:val="9BBB59" w:themeColor="accent3"/>
      </w:rPr>
      <w:t xml:space="preserve">www. </w:t>
    </w:r>
    <w:r>
      <w:rPr>
        <w:rFonts w:ascii="Futura" w:hAnsi="Futura" w:cs="Futura"/>
        <w:color w:val="9BBB59" w:themeColor="accent3"/>
      </w:rPr>
      <w:t>m</w:t>
    </w:r>
    <w:r w:rsidRPr="0095780C">
      <w:rPr>
        <w:rFonts w:ascii="Futura" w:hAnsi="Futura" w:cs="Futura"/>
        <w:color w:val="9BBB59" w:themeColor="accent3"/>
      </w:rPr>
      <w:t>inambiente.gov.co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BFFC1A" w14:textId="77777777" w:rsidR="00B346FC" w:rsidRDefault="00B346FC" w:rsidP="00D47842">
      <w:r>
        <w:separator/>
      </w:r>
    </w:p>
  </w:footnote>
  <w:footnote w:type="continuationSeparator" w:id="0">
    <w:p w14:paraId="70077662" w14:textId="77777777" w:rsidR="00B346FC" w:rsidRDefault="00B346FC" w:rsidP="00D478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B3B06" w14:textId="77777777" w:rsidR="009C5FE0" w:rsidRDefault="00B346FC">
    <w:pPr>
      <w:pStyle w:val="Encabezado"/>
    </w:pPr>
    <w:sdt>
      <w:sdtPr>
        <w:id w:val="171999623"/>
        <w:placeholder>
          <w:docPart w:val="BEFB6AA0C650844E8B7B4608EBA858DC"/>
        </w:placeholder>
        <w:temporary/>
        <w:showingPlcHdr/>
      </w:sdtPr>
      <w:sdtEndPr/>
      <w:sdtContent>
        <w:r w:rsidR="009C5FE0">
          <w:rPr>
            <w:lang w:val="es-ES"/>
          </w:rPr>
          <w:t>[Escriba texto]</w:t>
        </w:r>
      </w:sdtContent>
    </w:sdt>
    <w:r w:rsidR="009C5FE0">
      <w:ptab w:relativeTo="margin" w:alignment="center" w:leader="none"/>
    </w:r>
    <w:sdt>
      <w:sdtPr>
        <w:id w:val="171999624"/>
        <w:placeholder>
          <w:docPart w:val="EBEC8ECFCD3E404D9EEAFB1577427D08"/>
        </w:placeholder>
        <w:temporary/>
        <w:showingPlcHdr/>
      </w:sdtPr>
      <w:sdtEndPr/>
      <w:sdtContent>
        <w:r w:rsidR="009C5FE0">
          <w:rPr>
            <w:lang w:val="es-ES"/>
          </w:rPr>
          <w:t>[Escriba texto]</w:t>
        </w:r>
      </w:sdtContent>
    </w:sdt>
    <w:r w:rsidR="009C5FE0">
      <w:ptab w:relativeTo="margin" w:alignment="right" w:leader="none"/>
    </w:r>
    <w:sdt>
      <w:sdtPr>
        <w:id w:val="171999625"/>
        <w:placeholder>
          <w:docPart w:val="3C116F2D70C45A4F83C704CBE0343DB7"/>
        </w:placeholder>
        <w:temporary/>
        <w:showingPlcHdr/>
      </w:sdtPr>
      <w:sdtEndPr/>
      <w:sdtContent>
        <w:r w:rsidR="009C5FE0">
          <w:rPr>
            <w:lang w:val="es-ES"/>
          </w:rPr>
          <w:t>[Escriba texto]</w:t>
        </w:r>
      </w:sdtContent>
    </w:sdt>
  </w:p>
  <w:p w14:paraId="40744127" w14:textId="77777777" w:rsidR="009C5FE0" w:rsidRDefault="009C5FE0">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0F4258" w14:textId="77777777" w:rsidR="009C5FE0" w:rsidRDefault="003647E5" w:rsidP="0074702F">
    <w:pPr>
      <w:pStyle w:val="Encabezado"/>
      <w:tabs>
        <w:tab w:val="clear" w:pos="4252"/>
        <w:tab w:val="clear" w:pos="8504"/>
        <w:tab w:val="left" w:pos="4125"/>
      </w:tabs>
    </w:pPr>
    <w:r>
      <w:rPr>
        <w:noProof/>
        <w:lang w:val="es-CO" w:eastAsia="es-CO"/>
      </w:rPr>
      <w:drawing>
        <wp:anchor distT="0" distB="0" distL="114300" distR="114300" simplePos="0" relativeHeight="251658752" behindDoc="1" locked="0" layoutInCell="1" allowOverlap="1" wp14:anchorId="1A92BD84" wp14:editId="0A7D2A5A">
          <wp:simplePos x="0" y="0"/>
          <wp:positionH relativeFrom="column">
            <wp:posOffset>4113692</wp:posOffset>
          </wp:positionH>
          <wp:positionV relativeFrom="paragraph">
            <wp:posOffset>83185</wp:posOffset>
          </wp:positionV>
          <wp:extent cx="1793002" cy="1366096"/>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s2_.pngmembrete_new.png"/>
                  <pic:cNvPicPr/>
                </pic:nvPicPr>
                <pic:blipFill>
                  <a:blip r:embed="rId1">
                    <a:extLst>
                      <a:ext uri="{28A0092B-C50C-407E-A947-70E740481C1C}">
                        <a14:useLocalDpi xmlns:a14="http://schemas.microsoft.com/office/drawing/2010/main" val="0"/>
                      </a:ext>
                    </a:extLst>
                  </a:blip>
                  <a:stretch>
                    <a:fillRect/>
                  </a:stretch>
                </pic:blipFill>
                <pic:spPr>
                  <a:xfrm>
                    <a:off x="0" y="0"/>
                    <a:ext cx="1793002" cy="1366096"/>
                  </a:xfrm>
                  <a:prstGeom prst="rect">
                    <a:avLst/>
                  </a:prstGeom>
                </pic:spPr>
              </pic:pic>
            </a:graphicData>
          </a:graphic>
          <wp14:sizeRelH relativeFrom="margin">
            <wp14:pctWidth>0</wp14:pctWidth>
          </wp14:sizeRelH>
          <wp14:sizeRelV relativeFrom="margin">
            <wp14:pctHeight>0</wp14:pctHeight>
          </wp14:sizeRelV>
        </wp:anchor>
      </w:drawing>
    </w:r>
    <w:r w:rsidR="00D11435">
      <w:rPr>
        <w:noProof/>
        <w:lang w:val="es-CO" w:eastAsia="es-CO"/>
      </w:rPr>
      <mc:AlternateContent>
        <mc:Choice Requires="wps">
          <w:drawing>
            <wp:anchor distT="0" distB="0" distL="114300" distR="114300" simplePos="0" relativeHeight="251662336" behindDoc="0" locked="0" layoutInCell="1" allowOverlap="1" wp14:anchorId="7ECE776A" wp14:editId="51C80A9A">
              <wp:simplePos x="0" y="0"/>
              <wp:positionH relativeFrom="column">
                <wp:posOffset>4973320</wp:posOffset>
              </wp:positionH>
              <wp:positionV relativeFrom="paragraph">
                <wp:posOffset>8627745</wp:posOffset>
              </wp:positionV>
              <wp:extent cx="1128395" cy="485775"/>
              <wp:effectExtent l="1270" t="0" r="3810" b="1905"/>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8395" cy="4857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24BA1C5"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14:paraId="2A89C4A8" w14:textId="77777777"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14:paraId="024A1C75" w14:textId="77777777"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14:paraId="70325A31" w14:textId="77777777"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91.6pt;margin-top:679.35pt;width:88.85pt;height:38.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D3iusw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" filled="f" stroked="f">
              <v:textbox>
                <w:txbxContent>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Memoria Justificativa</w:t>
                    </w:r>
                  </w:p>
                  <w:p w:rsidR="00205FDB" w:rsidRDefault="00205FDB" w:rsidP="00205FDB">
                    <w:pPr>
                      <w:jc w:val="right"/>
                      <w:rPr>
                        <w:rFonts w:ascii="Arial" w:hAnsi="Arial" w:cs="Arial"/>
                        <w:color w:val="808080" w:themeColor="background1" w:themeShade="80"/>
                        <w:sz w:val="14"/>
                      </w:rPr>
                    </w:pPr>
                    <w:r w:rsidRPr="00155DED">
                      <w:rPr>
                        <w:rFonts w:ascii="Arial" w:hAnsi="Arial" w:cs="Arial"/>
                        <w:color w:val="808080" w:themeColor="background1" w:themeShade="80"/>
                        <w:sz w:val="14"/>
                      </w:rPr>
                      <w:t>Código: F-A-GJR-0</w:t>
                    </w:r>
                    <w:r>
                      <w:rPr>
                        <w:rFonts w:ascii="Arial" w:hAnsi="Arial" w:cs="Arial"/>
                        <w:color w:val="808080" w:themeColor="background1" w:themeShade="80"/>
                        <w:sz w:val="14"/>
                      </w:rPr>
                      <w:t>7</w:t>
                    </w:r>
                  </w:p>
                  <w:p w:rsidR="00205FDB" w:rsidRDefault="00205FDB" w:rsidP="00205FDB">
                    <w:pPr>
                      <w:jc w:val="right"/>
                      <w:rPr>
                        <w:rFonts w:ascii="Arial" w:hAnsi="Arial" w:cs="Arial"/>
                        <w:color w:val="808080" w:themeColor="background1" w:themeShade="80"/>
                        <w:sz w:val="14"/>
                      </w:rPr>
                    </w:pPr>
                    <w:r>
                      <w:rPr>
                        <w:rFonts w:ascii="Arial" w:hAnsi="Arial" w:cs="Arial"/>
                        <w:color w:val="808080" w:themeColor="background1" w:themeShade="80"/>
                        <w:sz w:val="14"/>
                      </w:rPr>
                      <w:t>Vigencia: 10/0</w:t>
                    </w:r>
                    <w:r w:rsidR="00C458E1">
                      <w:rPr>
                        <w:rFonts w:ascii="Arial" w:hAnsi="Arial" w:cs="Arial"/>
                        <w:color w:val="808080" w:themeColor="background1" w:themeShade="80"/>
                        <w:sz w:val="14"/>
                      </w:rPr>
                      <w:t>9</w:t>
                    </w:r>
                    <w:r w:rsidRPr="00155DED">
                      <w:rPr>
                        <w:rFonts w:ascii="Arial" w:hAnsi="Arial" w:cs="Arial"/>
                        <w:color w:val="808080" w:themeColor="background1" w:themeShade="80"/>
                        <w:sz w:val="14"/>
                      </w:rPr>
                      <w:t>/201</w:t>
                    </w:r>
                    <w:r>
                      <w:rPr>
                        <w:rFonts w:ascii="Arial" w:hAnsi="Arial" w:cs="Arial"/>
                        <w:color w:val="808080" w:themeColor="background1" w:themeShade="80"/>
                        <w:sz w:val="14"/>
                      </w:rPr>
                      <w:t>3</w:t>
                    </w:r>
                  </w:p>
                  <w:p w:rsidR="00205FDB" w:rsidRDefault="00205FDB" w:rsidP="00205FDB">
                    <w:pPr>
                      <w:jc w:val="right"/>
                      <w:rPr>
                        <w:lang w:val="es-ES"/>
                      </w:rPr>
                    </w:pPr>
                    <w:r w:rsidRPr="00155DED">
                      <w:rPr>
                        <w:rFonts w:ascii="Arial" w:hAnsi="Arial" w:cs="Arial"/>
                        <w:color w:val="808080" w:themeColor="background1" w:themeShade="80"/>
                        <w:sz w:val="14"/>
                      </w:rPr>
                      <w:t>Versión: 1</w:t>
                    </w:r>
                    <w:r>
                      <w:rPr>
                        <w:rFonts w:ascii="Futura" w:hAnsi="Futura" w:cs="Futura"/>
                        <w:color w:val="9BBB59" w:themeColor="accent3"/>
                      </w:rPr>
                      <w:t xml:space="preserve">       </w:t>
                    </w:r>
                  </w:p>
                </w:txbxContent>
              </v:textbox>
            </v:shape>
          </w:pict>
        </mc:Fallback>
      </mc:AlternateContent>
    </w:r>
    <w:r w:rsidR="0074702F">
      <w:tab/>
    </w:r>
  </w:p>
  <w:p w14:paraId="7870DFC4" w14:textId="77777777" w:rsidR="0074702F" w:rsidRDefault="003647E5" w:rsidP="003647E5">
    <w:pPr>
      <w:pStyle w:val="Encabezado"/>
      <w:tabs>
        <w:tab w:val="clear" w:pos="4252"/>
        <w:tab w:val="clear" w:pos="8504"/>
        <w:tab w:val="left" w:pos="5650"/>
      </w:tabs>
    </w:pPr>
    <w:r>
      <w:tab/>
    </w:r>
  </w:p>
  <w:p w14:paraId="1D454C14" w14:textId="77777777" w:rsidR="003647E5" w:rsidRDefault="003647E5" w:rsidP="003647E5">
    <w:pPr>
      <w:pStyle w:val="Encabezado"/>
      <w:tabs>
        <w:tab w:val="clear" w:pos="4252"/>
        <w:tab w:val="clear" w:pos="8504"/>
        <w:tab w:val="left" w:pos="5650"/>
      </w:tabs>
    </w:pPr>
  </w:p>
  <w:p w14:paraId="06846812" w14:textId="77777777" w:rsidR="003647E5" w:rsidRDefault="003647E5" w:rsidP="003647E5">
    <w:pPr>
      <w:pStyle w:val="Encabezado"/>
      <w:tabs>
        <w:tab w:val="clear" w:pos="4252"/>
        <w:tab w:val="clear" w:pos="8504"/>
        <w:tab w:val="left" w:pos="5650"/>
      </w:tabs>
    </w:pPr>
  </w:p>
  <w:p w14:paraId="209934FC" w14:textId="77777777" w:rsidR="003647E5" w:rsidRDefault="003647E5" w:rsidP="003647E5">
    <w:pPr>
      <w:pStyle w:val="Encabezado"/>
      <w:tabs>
        <w:tab w:val="clear" w:pos="4252"/>
        <w:tab w:val="clear" w:pos="8504"/>
        <w:tab w:val="left" w:pos="3850"/>
      </w:tabs>
    </w:pPr>
    <w:r>
      <w:tab/>
    </w:r>
  </w:p>
  <w:p w14:paraId="30927519" w14:textId="77777777" w:rsidR="003647E5" w:rsidRDefault="005F150E" w:rsidP="005F150E">
    <w:pPr>
      <w:pStyle w:val="Encabezado"/>
      <w:tabs>
        <w:tab w:val="clear" w:pos="4252"/>
        <w:tab w:val="clear" w:pos="8504"/>
        <w:tab w:val="left" w:pos="8590"/>
      </w:tabs>
    </w:pPr>
    <w:r>
      <w:tab/>
    </w:r>
  </w:p>
  <w:p w14:paraId="7DA319D8" w14:textId="77777777" w:rsidR="003647E5" w:rsidRDefault="003647E5" w:rsidP="003647E5">
    <w:pPr>
      <w:pStyle w:val="Encabezado"/>
      <w:tabs>
        <w:tab w:val="clear" w:pos="4252"/>
        <w:tab w:val="clear" w:pos="8504"/>
        <w:tab w:val="left" w:pos="3850"/>
      </w:tabs>
    </w:pPr>
  </w:p>
  <w:p w14:paraId="75236488" w14:textId="77777777" w:rsidR="003647E5" w:rsidRDefault="003647E5" w:rsidP="003647E5">
    <w:pPr>
      <w:pStyle w:val="Encabezado"/>
      <w:tabs>
        <w:tab w:val="clear" w:pos="4252"/>
        <w:tab w:val="clear" w:pos="8504"/>
        <w:tab w:val="left" w:pos="5650"/>
      </w:tabs>
    </w:pPr>
  </w:p>
  <w:p w14:paraId="69D4B95A" w14:textId="77777777" w:rsidR="003647E5" w:rsidRDefault="003647E5" w:rsidP="003647E5">
    <w:pPr>
      <w:pStyle w:val="Encabezado"/>
      <w:tabs>
        <w:tab w:val="clear" w:pos="4252"/>
        <w:tab w:val="clear" w:pos="8504"/>
        <w:tab w:val="left" w:pos="56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3F761A"/>
    <w:multiLevelType w:val="hybridMultilevel"/>
    <w:tmpl w:val="05EA209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15:restartNumberingAfterBreak="0">
    <w:nsid w:val="068424FD"/>
    <w:multiLevelType w:val="hybridMultilevel"/>
    <w:tmpl w:val="91525EB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0EEE60C9"/>
    <w:multiLevelType w:val="hybridMultilevel"/>
    <w:tmpl w:val="B2BA0FF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15:restartNumberingAfterBreak="0">
    <w:nsid w:val="102E698B"/>
    <w:multiLevelType w:val="hybridMultilevel"/>
    <w:tmpl w:val="B46AE8BE"/>
    <w:lvl w:ilvl="0" w:tplc="0C0A0001">
      <w:start w:val="1"/>
      <w:numFmt w:val="bullet"/>
      <w:lvlText w:val=""/>
      <w:lvlJc w:val="left"/>
      <w:pPr>
        <w:ind w:left="1174" w:hanging="360"/>
      </w:pPr>
      <w:rPr>
        <w:rFonts w:ascii="Symbol" w:hAnsi="Symbol" w:hint="default"/>
      </w:rPr>
    </w:lvl>
    <w:lvl w:ilvl="1" w:tplc="0C0A0003" w:tentative="1">
      <w:start w:val="1"/>
      <w:numFmt w:val="bullet"/>
      <w:lvlText w:val="o"/>
      <w:lvlJc w:val="left"/>
      <w:pPr>
        <w:ind w:left="1894" w:hanging="360"/>
      </w:pPr>
      <w:rPr>
        <w:rFonts w:ascii="Courier New" w:hAnsi="Courier New" w:cs="Courier New" w:hint="default"/>
      </w:rPr>
    </w:lvl>
    <w:lvl w:ilvl="2" w:tplc="0C0A0005" w:tentative="1">
      <w:start w:val="1"/>
      <w:numFmt w:val="bullet"/>
      <w:lvlText w:val=""/>
      <w:lvlJc w:val="left"/>
      <w:pPr>
        <w:ind w:left="2614" w:hanging="360"/>
      </w:pPr>
      <w:rPr>
        <w:rFonts w:ascii="Wingdings" w:hAnsi="Wingdings" w:hint="default"/>
      </w:rPr>
    </w:lvl>
    <w:lvl w:ilvl="3" w:tplc="0C0A0001" w:tentative="1">
      <w:start w:val="1"/>
      <w:numFmt w:val="bullet"/>
      <w:lvlText w:val=""/>
      <w:lvlJc w:val="left"/>
      <w:pPr>
        <w:ind w:left="3334" w:hanging="360"/>
      </w:pPr>
      <w:rPr>
        <w:rFonts w:ascii="Symbol" w:hAnsi="Symbol" w:hint="default"/>
      </w:rPr>
    </w:lvl>
    <w:lvl w:ilvl="4" w:tplc="0C0A0003" w:tentative="1">
      <w:start w:val="1"/>
      <w:numFmt w:val="bullet"/>
      <w:lvlText w:val="o"/>
      <w:lvlJc w:val="left"/>
      <w:pPr>
        <w:ind w:left="4054" w:hanging="360"/>
      </w:pPr>
      <w:rPr>
        <w:rFonts w:ascii="Courier New" w:hAnsi="Courier New" w:cs="Courier New" w:hint="default"/>
      </w:rPr>
    </w:lvl>
    <w:lvl w:ilvl="5" w:tplc="0C0A0005" w:tentative="1">
      <w:start w:val="1"/>
      <w:numFmt w:val="bullet"/>
      <w:lvlText w:val=""/>
      <w:lvlJc w:val="left"/>
      <w:pPr>
        <w:ind w:left="4774" w:hanging="360"/>
      </w:pPr>
      <w:rPr>
        <w:rFonts w:ascii="Wingdings" w:hAnsi="Wingdings" w:hint="default"/>
      </w:rPr>
    </w:lvl>
    <w:lvl w:ilvl="6" w:tplc="0C0A0001" w:tentative="1">
      <w:start w:val="1"/>
      <w:numFmt w:val="bullet"/>
      <w:lvlText w:val=""/>
      <w:lvlJc w:val="left"/>
      <w:pPr>
        <w:ind w:left="5494" w:hanging="360"/>
      </w:pPr>
      <w:rPr>
        <w:rFonts w:ascii="Symbol" w:hAnsi="Symbol" w:hint="default"/>
      </w:rPr>
    </w:lvl>
    <w:lvl w:ilvl="7" w:tplc="0C0A0003" w:tentative="1">
      <w:start w:val="1"/>
      <w:numFmt w:val="bullet"/>
      <w:lvlText w:val="o"/>
      <w:lvlJc w:val="left"/>
      <w:pPr>
        <w:ind w:left="6214" w:hanging="360"/>
      </w:pPr>
      <w:rPr>
        <w:rFonts w:ascii="Courier New" w:hAnsi="Courier New" w:cs="Courier New" w:hint="default"/>
      </w:rPr>
    </w:lvl>
    <w:lvl w:ilvl="8" w:tplc="0C0A0005" w:tentative="1">
      <w:start w:val="1"/>
      <w:numFmt w:val="bullet"/>
      <w:lvlText w:val=""/>
      <w:lvlJc w:val="left"/>
      <w:pPr>
        <w:ind w:left="6934" w:hanging="360"/>
      </w:pPr>
      <w:rPr>
        <w:rFonts w:ascii="Wingdings" w:hAnsi="Wingdings" w:hint="default"/>
      </w:rPr>
    </w:lvl>
  </w:abstractNum>
  <w:abstractNum w:abstractNumId="4" w15:restartNumberingAfterBreak="0">
    <w:nsid w:val="269B4837"/>
    <w:multiLevelType w:val="hybridMultilevel"/>
    <w:tmpl w:val="50262ECA"/>
    <w:lvl w:ilvl="0" w:tplc="240A0001">
      <w:start w:val="1"/>
      <w:numFmt w:val="bullet"/>
      <w:lvlText w:val=""/>
      <w:lvlJc w:val="left"/>
      <w:pPr>
        <w:ind w:left="1800" w:hanging="360"/>
      </w:pPr>
      <w:rPr>
        <w:rFonts w:ascii="Symbol" w:hAnsi="Symbol" w:hint="default"/>
      </w:rPr>
    </w:lvl>
    <w:lvl w:ilvl="1" w:tplc="240A0003" w:tentative="1">
      <w:start w:val="1"/>
      <w:numFmt w:val="bullet"/>
      <w:lvlText w:val="o"/>
      <w:lvlJc w:val="left"/>
      <w:pPr>
        <w:ind w:left="2520" w:hanging="360"/>
      </w:pPr>
      <w:rPr>
        <w:rFonts w:ascii="Courier New" w:hAnsi="Courier New" w:cs="Courier New" w:hint="default"/>
      </w:rPr>
    </w:lvl>
    <w:lvl w:ilvl="2" w:tplc="240A0005" w:tentative="1">
      <w:start w:val="1"/>
      <w:numFmt w:val="bullet"/>
      <w:lvlText w:val=""/>
      <w:lvlJc w:val="left"/>
      <w:pPr>
        <w:ind w:left="3240" w:hanging="360"/>
      </w:pPr>
      <w:rPr>
        <w:rFonts w:ascii="Wingdings" w:hAnsi="Wingdings" w:hint="default"/>
      </w:rPr>
    </w:lvl>
    <w:lvl w:ilvl="3" w:tplc="240A0001" w:tentative="1">
      <w:start w:val="1"/>
      <w:numFmt w:val="bullet"/>
      <w:lvlText w:val=""/>
      <w:lvlJc w:val="left"/>
      <w:pPr>
        <w:ind w:left="3960" w:hanging="360"/>
      </w:pPr>
      <w:rPr>
        <w:rFonts w:ascii="Symbol" w:hAnsi="Symbol" w:hint="default"/>
      </w:rPr>
    </w:lvl>
    <w:lvl w:ilvl="4" w:tplc="240A0003" w:tentative="1">
      <w:start w:val="1"/>
      <w:numFmt w:val="bullet"/>
      <w:lvlText w:val="o"/>
      <w:lvlJc w:val="left"/>
      <w:pPr>
        <w:ind w:left="4680" w:hanging="360"/>
      </w:pPr>
      <w:rPr>
        <w:rFonts w:ascii="Courier New" w:hAnsi="Courier New" w:cs="Courier New" w:hint="default"/>
      </w:rPr>
    </w:lvl>
    <w:lvl w:ilvl="5" w:tplc="240A0005" w:tentative="1">
      <w:start w:val="1"/>
      <w:numFmt w:val="bullet"/>
      <w:lvlText w:val=""/>
      <w:lvlJc w:val="left"/>
      <w:pPr>
        <w:ind w:left="5400" w:hanging="360"/>
      </w:pPr>
      <w:rPr>
        <w:rFonts w:ascii="Wingdings" w:hAnsi="Wingdings" w:hint="default"/>
      </w:rPr>
    </w:lvl>
    <w:lvl w:ilvl="6" w:tplc="240A0001" w:tentative="1">
      <w:start w:val="1"/>
      <w:numFmt w:val="bullet"/>
      <w:lvlText w:val=""/>
      <w:lvlJc w:val="left"/>
      <w:pPr>
        <w:ind w:left="6120" w:hanging="360"/>
      </w:pPr>
      <w:rPr>
        <w:rFonts w:ascii="Symbol" w:hAnsi="Symbol" w:hint="default"/>
      </w:rPr>
    </w:lvl>
    <w:lvl w:ilvl="7" w:tplc="240A0003" w:tentative="1">
      <w:start w:val="1"/>
      <w:numFmt w:val="bullet"/>
      <w:lvlText w:val="o"/>
      <w:lvlJc w:val="left"/>
      <w:pPr>
        <w:ind w:left="6840" w:hanging="360"/>
      </w:pPr>
      <w:rPr>
        <w:rFonts w:ascii="Courier New" w:hAnsi="Courier New" w:cs="Courier New" w:hint="default"/>
      </w:rPr>
    </w:lvl>
    <w:lvl w:ilvl="8" w:tplc="240A0005" w:tentative="1">
      <w:start w:val="1"/>
      <w:numFmt w:val="bullet"/>
      <w:lvlText w:val=""/>
      <w:lvlJc w:val="left"/>
      <w:pPr>
        <w:ind w:left="7560" w:hanging="360"/>
      </w:pPr>
      <w:rPr>
        <w:rFonts w:ascii="Wingdings" w:hAnsi="Wingdings" w:hint="default"/>
      </w:rPr>
    </w:lvl>
  </w:abstractNum>
  <w:abstractNum w:abstractNumId="5" w15:restartNumberingAfterBreak="0">
    <w:nsid w:val="2B4F34B4"/>
    <w:multiLevelType w:val="hybridMultilevel"/>
    <w:tmpl w:val="30C8D1E2"/>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6" w15:restartNumberingAfterBreak="0">
    <w:nsid w:val="2C087057"/>
    <w:multiLevelType w:val="hybridMultilevel"/>
    <w:tmpl w:val="215045E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15:restartNumberingAfterBreak="0">
    <w:nsid w:val="2DB6573C"/>
    <w:multiLevelType w:val="hybridMultilevel"/>
    <w:tmpl w:val="DB700118"/>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8" w15:restartNumberingAfterBreak="0">
    <w:nsid w:val="2DF95DCE"/>
    <w:multiLevelType w:val="hybridMultilevel"/>
    <w:tmpl w:val="94701F62"/>
    <w:lvl w:ilvl="0" w:tplc="0C16EBF4">
      <w:start w:val="1"/>
      <w:numFmt w:val="decimal"/>
      <w:lvlText w:val="%1."/>
      <w:lvlJc w:val="left"/>
      <w:pPr>
        <w:ind w:left="720" w:hanging="360"/>
      </w:pPr>
      <w:rPr>
        <w:rFonts w:hint="default"/>
        <w:b/>
      </w:rPr>
    </w:lvl>
    <w:lvl w:ilvl="1" w:tplc="240A0019">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9" w15:restartNumberingAfterBreak="0">
    <w:nsid w:val="34A13DD7"/>
    <w:multiLevelType w:val="hybridMultilevel"/>
    <w:tmpl w:val="5CCC6882"/>
    <w:lvl w:ilvl="0" w:tplc="A7A28C66">
      <w:start w:val="1"/>
      <w:numFmt w:val="decimal"/>
      <w:lvlText w:val="%1."/>
      <w:lvlJc w:val="left"/>
      <w:pPr>
        <w:ind w:left="720" w:hanging="360"/>
      </w:pPr>
      <w:rPr>
        <w:rFonts w:ascii="Arial Narrow" w:hAnsi="Arial Narrow" w:hint="default"/>
        <w:b/>
        <w:i w:val="0"/>
        <w:sz w:val="22"/>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0" w15:restartNumberingAfterBreak="0">
    <w:nsid w:val="3A1E40F0"/>
    <w:multiLevelType w:val="hybridMultilevel"/>
    <w:tmpl w:val="DFEE50B8"/>
    <w:lvl w:ilvl="0" w:tplc="24BC93F0">
      <w:start w:val="1"/>
      <w:numFmt w:val="decimal"/>
      <w:lvlText w:val="%1."/>
      <w:lvlJc w:val="left"/>
      <w:pPr>
        <w:ind w:left="814" w:hanging="360"/>
      </w:pPr>
      <w:rPr>
        <w:rFonts w:hint="default"/>
      </w:rPr>
    </w:lvl>
    <w:lvl w:ilvl="1" w:tplc="0C0A0019" w:tentative="1">
      <w:start w:val="1"/>
      <w:numFmt w:val="lowerLetter"/>
      <w:lvlText w:val="%2."/>
      <w:lvlJc w:val="left"/>
      <w:pPr>
        <w:ind w:left="1534" w:hanging="360"/>
      </w:pPr>
    </w:lvl>
    <w:lvl w:ilvl="2" w:tplc="0C0A001B" w:tentative="1">
      <w:start w:val="1"/>
      <w:numFmt w:val="lowerRoman"/>
      <w:lvlText w:val="%3."/>
      <w:lvlJc w:val="right"/>
      <w:pPr>
        <w:ind w:left="2254" w:hanging="180"/>
      </w:pPr>
    </w:lvl>
    <w:lvl w:ilvl="3" w:tplc="0C0A000F" w:tentative="1">
      <w:start w:val="1"/>
      <w:numFmt w:val="decimal"/>
      <w:lvlText w:val="%4."/>
      <w:lvlJc w:val="left"/>
      <w:pPr>
        <w:ind w:left="2974" w:hanging="360"/>
      </w:pPr>
    </w:lvl>
    <w:lvl w:ilvl="4" w:tplc="0C0A0019" w:tentative="1">
      <w:start w:val="1"/>
      <w:numFmt w:val="lowerLetter"/>
      <w:lvlText w:val="%5."/>
      <w:lvlJc w:val="left"/>
      <w:pPr>
        <w:ind w:left="3694" w:hanging="360"/>
      </w:pPr>
    </w:lvl>
    <w:lvl w:ilvl="5" w:tplc="0C0A001B" w:tentative="1">
      <w:start w:val="1"/>
      <w:numFmt w:val="lowerRoman"/>
      <w:lvlText w:val="%6."/>
      <w:lvlJc w:val="right"/>
      <w:pPr>
        <w:ind w:left="4414" w:hanging="180"/>
      </w:pPr>
    </w:lvl>
    <w:lvl w:ilvl="6" w:tplc="0C0A000F" w:tentative="1">
      <w:start w:val="1"/>
      <w:numFmt w:val="decimal"/>
      <w:lvlText w:val="%7."/>
      <w:lvlJc w:val="left"/>
      <w:pPr>
        <w:ind w:left="5134" w:hanging="360"/>
      </w:pPr>
    </w:lvl>
    <w:lvl w:ilvl="7" w:tplc="0C0A0019" w:tentative="1">
      <w:start w:val="1"/>
      <w:numFmt w:val="lowerLetter"/>
      <w:lvlText w:val="%8."/>
      <w:lvlJc w:val="left"/>
      <w:pPr>
        <w:ind w:left="5854" w:hanging="360"/>
      </w:pPr>
    </w:lvl>
    <w:lvl w:ilvl="8" w:tplc="0C0A001B" w:tentative="1">
      <w:start w:val="1"/>
      <w:numFmt w:val="lowerRoman"/>
      <w:lvlText w:val="%9."/>
      <w:lvlJc w:val="right"/>
      <w:pPr>
        <w:ind w:left="6574" w:hanging="180"/>
      </w:pPr>
    </w:lvl>
  </w:abstractNum>
  <w:abstractNum w:abstractNumId="11" w15:restartNumberingAfterBreak="0">
    <w:nsid w:val="3F89343F"/>
    <w:multiLevelType w:val="hybridMultilevel"/>
    <w:tmpl w:val="343A2250"/>
    <w:lvl w:ilvl="0" w:tplc="A7A28C66">
      <w:start w:val="1"/>
      <w:numFmt w:val="decimal"/>
      <w:lvlText w:val="%1."/>
      <w:lvlJc w:val="left"/>
      <w:pPr>
        <w:tabs>
          <w:tab w:val="num" w:pos="284"/>
        </w:tabs>
        <w:ind w:left="284" w:hanging="284"/>
      </w:pPr>
      <w:rPr>
        <w:rFonts w:ascii="Arial Narrow" w:hAnsi="Arial Narrow" w:hint="default"/>
        <w:b/>
        <w:i w:val="0"/>
        <w:sz w:val="22"/>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15:restartNumberingAfterBreak="0">
    <w:nsid w:val="3F9C106D"/>
    <w:multiLevelType w:val="hybridMultilevel"/>
    <w:tmpl w:val="CF020FF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4702558C"/>
    <w:multiLevelType w:val="hybridMultilevel"/>
    <w:tmpl w:val="2A50B8D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15:restartNumberingAfterBreak="0">
    <w:nsid w:val="670B61CB"/>
    <w:multiLevelType w:val="hybridMultilevel"/>
    <w:tmpl w:val="C8C83EEA"/>
    <w:lvl w:ilvl="0" w:tplc="0C94CA20">
      <w:start w:val="3"/>
      <w:numFmt w:val="decimal"/>
      <w:lvlText w:val="%1."/>
      <w:lvlJc w:val="left"/>
      <w:pPr>
        <w:ind w:left="644" w:hanging="360"/>
      </w:pPr>
      <w:rPr>
        <w:b/>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start w:val="1"/>
      <w:numFmt w:val="decimal"/>
      <w:lvlText w:val="%4."/>
      <w:lvlJc w:val="left"/>
      <w:pPr>
        <w:ind w:left="2804" w:hanging="360"/>
      </w:pPr>
    </w:lvl>
    <w:lvl w:ilvl="4" w:tplc="0C0A0019">
      <w:start w:val="1"/>
      <w:numFmt w:val="lowerLetter"/>
      <w:lvlText w:val="%5."/>
      <w:lvlJc w:val="left"/>
      <w:pPr>
        <w:ind w:left="3524" w:hanging="360"/>
      </w:pPr>
    </w:lvl>
    <w:lvl w:ilvl="5" w:tplc="0C0A001B">
      <w:start w:val="1"/>
      <w:numFmt w:val="lowerRoman"/>
      <w:lvlText w:val="%6."/>
      <w:lvlJc w:val="right"/>
      <w:pPr>
        <w:ind w:left="4244" w:hanging="180"/>
      </w:pPr>
    </w:lvl>
    <w:lvl w:ilvl="6" w:tplc="0C0A000F">
      <w:start w:val="1"/>
      <w:numFmt w:val="decimal"/>
      <w:lvlText w:val="%7."/>
      <w:lvlJc w:val="left"/>
      <w:pPr>
        <w:ind w:left="4964" w:hanging="360"/>
      </w:pPr>
    </w:lvl>
    <w:lvl w:ilvl="7" w:tplc="0C0A0019">
      <w:start w:val="1"/>
      <w:numFmt w:val="lowerLetter"/>
      <w:lvlText w:val="%8."/>
      <w:lvlJc w:val="left"/>
      <w:pPr>
        <w:ind w:left="5684" w:hanging="360"/>
      </w:pPr>
    </w:lvl>
    <w:lvl w:ilvl="8" w:tplc="0C0A001B">
      <w:start w:val="1"/>
      <w:numFmt w:val="lowerRoman"/>
      <w:lvlText w:val="%9."/>
      <w:lvlJc w:val="right"/>
      <w:pPr>
        <w:ind w:left="6404" w:hanging="180"/>
      </w:pPr>
    </w:lvl>
  </w:abstractNum>
  <w:abstractNum w:abstractNumId="15" w15:restartNumberingAfterBreak="0">
    <w:nsid w:val="78761567"/>
    <w:multiLevelType w:val="hybridMultilevel"/>
    <w:tmpl w:val="5B985C24"/>
    <w:lvl w:ilvl="0" w:tplc="6D724592">
      <w:start w:val="1"/>
      <w:numFmt w:val="decimal"/>
      <w:lvlText w:val="%1."/>
      <w:lvlJc w:val="left"/>
      <w:pPr>
        <w:ind w:left="360" w:hanging="360"/>
      </w:pPr>
      <w:rPr>
        <w:b/>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start w:val="1"/>
      <w:numFmt w:val="decimal"/>
      <w:lvlText w:val="%4."/>
      <w:lvlJc w:val="left"/>
      <w:pPr>
        <w:ind w:left="2520" w:hanging="360"/>
      </w:pPr>
    </w:lvl>
    <w:lvl w:ilvl="4" w:tplc="0C0A0019">
      <w:start w:val="1"/>
      <w:numFmt w:val="lowerLetter"/>
      <w:lvlText w:val="%5."/>
      <w:lvlJc w:val="left"/>
      <w:pPr>
        <w:ind w:left="3240" w:hanging="360"/>
      </w:pPr>
    </w:lvl>
    <w:lvl w:ilvl="5" w:tplc="0C0A001B">
      <w:start w:val="1"/>
      <w:numFmt w:val="lowerRoman"/>
      <w:lvlText w:val="%6."/>
      <w:lvlJc w:val="right"/>
      <w:pPr>
        <w:ind w:left="3960" w:hanging="180"/>
      </w:pPr>
    </w:lvl>
    <w:lvl w:ilvl="6" w:tplc="0C0A000F">
      <w:start w:val="1"/>
      <w:numFmt w:val="decimal"/>
      <w:lvlText w:val="%7."/>
      <w:lvlJc w:val="left"/>
      <w:pPr>
        <w:ind w:left="4680" w:hanging="360"/>
      </w:pPr>
    </w:lvl>
    <w:lvl w:ilvl="7" w:tplc="0C0A0019">
      <w:start w:val="1"/>
      <w:numFmt w:val="lowerLetter"/>
      <w:lvlText w:val="%8."/>
      <w:lvlJc w:val="left"/>
      <w:pPr>
        <w:ind w:left="5400" w:hanging="360"/>
      </w:pPr>
    </w:lvl>
    <w:lvl w:ilvl="8" w:tplc="0C0A001B">
      <w:start w:val="1"/>
      <w:numFmt w:val="lowerRoman"/>
      <w:lvlText w:val="%9."/>
      <w:lvlJc w:val="right"/>
      <w:pPr>
        <w:ind w:left="6120" w:hanging="180"/>
      </w:pPr>
    </w:lvl>
  </w:abstractNum>
  <w:num w:numId="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1"/>
  </w:num>
  <w:num w:numId="5">
    <w:abstractNumId w:val="1"/>
  </w:num>
  <w:num w:numId="6">
    <w:abstractNumId w:val="2"/>
  </w:num>
  <w:num w:numId="7">
    <w:abstractNumId w:val="8"/>
  </w:num>
  <w:num w:numId="8">
    <w:abstractNumId w:val="9"/>
  </w:num>
  <w:num w:numId="9">
    <w:abstractNumId w:val="12"/>
  </w:num>
  <w:num w:numId="10">
    <w:abstractNumId w:val="6"/>
  </w:num>
  <w:num w:numId="11">
    <w:abstractNumId w:val="4"/>
  </w:num>
  <w:num w:numId="12">
    <w:abstractNumId w:val="13"/>
  </w:num>
  <w:num w:numId="13">
    <w:abstractNumId w:val="7"/>
  </w:num>
  <w:num w:numId="14">
    <w:abstractNumId w:val="0"/>
  </w:num>
  <w:num w:numId="15">
    <w:abstractNumId w:val="3"/>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842"/>
    <w:rsid w:val="000239C7"/>
    <w:rsid w:val="00053A93"/>
    <w:rsid w:val="00057F0A"/>
    <w:rsid w:val="000632D1"/>
    <w:rsid w:val="00084F35"/>
    <w:rsid w:val="000A4185"/>
    <w:rsid w:val="000B30EC"/>
    <w:rsid w:val="000C1AE0"/>
    <w:rsid w:val="000C610E"/>
    <w:rsid w:val="000C7135"/>
    <w:rsid w:val="000D2059"/>
    <w:rsid w:val="000D55C7"/>
    <w:rsid w:val="000E3D7E"/>
    <w:rsid w:val="000F7517"/>
    <w:rsid w:val="00115EFC"/>
    <w:rsid w:val="0013566E"/>
    <w:rsid w:val="00141FA0"/>
    <w:rsid w:val="0014242F"/>
    <w:rsid w:val="00155BB3"/>
    <w:rsid w:val="00170A01"/>
    <w:rsid w:val="00176414"/>
    <w:rsid w:val="001C139D"/>
    <w:rsid w:val="001C7F5D"/>
    <w:rsid w:val="001D4CA2"/>
    <w:rsid w:val="00205FDB"/>
    <w:rsid w:val="00231579"/>
    <w:rsid w:val="002462EF"/>
    <w:rsid w:val="00263AF8"/>
    <w:rsid w:val="00273DEF"/>
    <w:rsid w:val="002B511B"/>
    <w:rsid w:val="002D0033"/>
    <w:rsid w:val="002D3E3E"/>
    <w:rsid w:val="002D6493"/>
    <w:rsid w:val="002E00CC"/>
    <w:rsid w:val="002E0662"/>
    <w:rsid w:val="002E5811"/>
    <w:rsid w:val="0030049B"/>
    <w:rsid w:val="003074D0"/>
    <w:rsid w:val="00346524"/>
    <w:rsid w:val="00362FDB"/>
    <w:rsid w:val="003647E5"/>
    <w:rsid w:val="00364B63"/>
    <w:rsid w:val="00366B0D"/>
    <w:rsid w:val="00376909"/>
    <w:rsid w:val="003B50AB"/>
    <w:rsid w:val="003C4D9E"/>
    <w:rsid w:val="003D47E5"/>
    <w:rsid w:val="003E04EB"/>
    <w:rsid w:val="00404AAB"/>
    <w:rsid w:val="00404CA3"/>
    <w:rsid w:val="00410419"/>
    <w:rsid w:val="00414966"/>
    <w:rsid w:val="00417742"/>
    <w:rsid w:val="00447A49"/>
    <w:rsid w:val="00456D44"/>
    <w:rsid w:val="00490718"/>
    <w:rsid w:val="004B590D"/>
    <w:rsid w:val="004C28D8"/>
    <w:rsid w:val="004C79A0"/>
    <w:rsid w:val="004D7CB3"/>
    <w:rsid w:val="004E0252"/>
    <w:rsid w:val="004E737E"/>
    <w:rsid w:val="004E7F1A"/>
    <w:rsid w:val="004F6246"/>
    <w:rsid w:val="00511A0C"/>
    <w:rsid w:val="00534459"/>
    <w:rsid w:val="005530CB"/>
    <w:rsid w:val="0056492E"/>
    <w:rsid w:val="0059225A"/>
    <w:rsid w:val="005B2400"/>
    <w:rsid w:val="005B2F6F"/>
    <w:rsid w:val="005E7A72"/>
    <w:rsid w:val="005F150E"/>
    <w:rsid w:val="00600469"/>
    <w:rsid w:val="0060798F"/>
    <w:rsid w:val="00644C7B"/>
    <w:rsid w:val="0065457C"/>
    <w:rsid w:val="00674BB2"/>
    <w:rsid w:val="006B0378"/>
    <w:rsid w:val="006D742E"/>
    <w:rsid w:val="006E5319"/>
    <w:rsid w:val="006F603C"/>
    <w:rsid w:val="00700538"/>
    <w:rsid w:val="00707D0F"/>
    <w:rsid w:val="00720068"/>
    <w:rsid w:val="0072474B"/>
    <w:rsid w:val="007306E7"/>
    <w:rsid w:val="0074702F"/>
    <w:rsid w:val="007661E8"/>
    <w:rsid w:val="007706BD"/>
    <w:rsid w:val="00796173"/>
    <w:rsid w:val="0079713B"/>
    <w:rsid w:val="007A1A67"/>
    <w:rsid w:val="007A2135"/>
    <w:rsid w:val="007A651C"/>
    <w:rsid w:val="007B3452"/>
    <w:rsid w:val="007D692B"/>
    <w:rsid w:val="007D71AE"/>
    <w:rsid w:val="00813D47"/>
    <w:rsid w:val="00816505"/>
    <w:rsid w:val="008470FE"/>
    <w:rsid w:val="00851538"/>
    <w:rsid w:val="008657BB"/>
    <w:rsid w:val="00865815"/>
    <w:rsid w:val="008A58C0"/>
    <w:rsid w:val="008C22BC"/>
    <w:rsid w:val="008C2464"/>
    <w:rsid w:val="008E3E22"/>
    <w:rsid w:val="008F2E5E"/>
    <w:rsid w:val="009013EB"/>
    <w:rsid w:val="009060D5"/>
    <w:rsid w:val="0091024E"/>
    <w:rsid w:val="00917515"/>
    <w:rsid w:val="00917963"/>
    <w:rsid w:val="00925DCA"/>
    <w:rsid w:val="00947F36"/>
    <w:rsid w:val="00950648"/>
    <w:rsid w:val="0095780C"/>
    <w:rsid w:val="009820C7"/>
    <w:rsid w:val="00985971"/>
    <w:rsid w:val="009B214A"/>
    <w:rsid w:val="009C5FE0"/>
    <w:rsid w:val="009D4547"/>
    <w:rsid w:val="009D7299"/>
    <w:rsid w:val="009E1B33"/>
    <w:rsid w:val="009F191E"/>
    <w:rsid w:val="00A05BF4"/>
    <w:rsid w:val="00A117E2"/>
    <w:rsid w:val="00A43503"/>
    <w:rsid w:val="00A453E5"/>
    <w:rsid w:val="00A67143"/>
    <w:rsid w:val="00A92CB6"/>
    <w:rsid w:val="00AA5265"/>
    <w:rsid w:val="00AB00AB"/>
    <w:rsid w:val="00AC6396"/>
    <w:rsid w:val="00AD113C"/>
    <w:rsid w:val="00AF05EA"/>
    <w:rsid w:val="00AF233B"/>
    <w:rsid w:val="00AF4979"/>
    <w:rsid w:val="00B1583C"/>
    <w:rsid w:val="00B26861"/>
    <w:rsid w:val="00B346FC"/>
    <w:rsid w:val="00B52380"/>
    <w:rsid w:val="00B63D44"/>
    <w:rsid w:val="00B7350B"/>
    <w:rsid w:val="00BB6E94"/>
    <w:rsid w:val="00BC15DD"/>
    <w:rsid w:val="00BC471D"/>
    <w:rsid w:val="00BD4832"/>
    <w:rsid w:val="00BE1156"/>
    <w:rsid w:val="00BE2161"/>
    <w:rsid w:val="00C2131B"/>
    <w:rsid w:val="00C30DD3"/>
    <w:rsid w:val="00C358FB"/>
    <w:rsid w:val="00C401C8"/>
    <w:rsid w:val="00C458E1"/>
    <w:rsid w:val="00C50F88"/>
    <w:rsid w:val="00C65E59"/>
    <w:rsid w:val="00C95AB9"/>
    <w:rsid w:val="00CB676B"/>
    <w:rsid w:val="00CC1206"/>
    <w:rsid w:val="00CD5931"/>
    <w:rsid w:val="00CD7D79"/>
    <w:rsid w:val="00CE68E4"/>
    <w:rsid w:val="00D00E5A"/>
    <w:rsid w:val="00D11435"/>
    <w:rsid w:val="00D253D6"/>
    <w:rsid w:val="00D47842"/>
    <w:rsid w:val="00D51690"/>
    <w:rsid w:val="00D6174A"/>
    <w:rsid w:val="00D85AE3"/>
    <w:rsid w:val="00D85B01"/>
    <w:rsid w:val="00D93477"/>
    <w:rsid w:val="00DA0DA2"/>
    <w:rsid w:val="00DB271F"/>
    <w:rsid w:val="00DB2F1E"/>
    <w:rsid w:val="00DC1C6C"/>
    <w:rsid w:val="00DD1EAC"/>
    <w:rsid w:val="00DE5D63"/>
    <w:rsid w:val="00DF17F6"/>
    <w:rsid w:val="00DF48E2"/>
    <w:rsid w:val="00E04223"/>
    <w:rsid w:val="00E07FB0"/>
    <w:rsid w:val="00E4373D"/>
    <w:rsid w:val="00E55F31"/>
    <w:rsid w:val="00E63414"/>
    <w:rsid w:val="00E7510A"/>
    <w:rsid w:val="00E84EF6"/>
    <w:rsid w:val="00E90242"/>
    <w:rsid w:val="00E90434"/>
    <w:rsid w:val="00EA0BB0"/>
    <w:rsid w:val="00EA2CC3"/>
    <w:rsid w:val="00EB074C"/>
    <w:rsid w:val="00EC656B"/>
    <w:rsid w:val="00EC6620"/>
    <w:rsid w:val="00ED0FB6"/>
    <w:rsid w:val="00EE44DB"/>
    <w:rsid w:val="00EF71AB"/>
    <w:rsid w:val="00F0641C"/>
    <w:rsid w:val="00F15DE6"/>
    <w:rsid w:val="00F164C4"/>
    <w:rsid w:val="00F3761F"/>
    <w:rsid w:val="00F55C31"/>
    <w:rsid w:val="00F56C4C"/>
    <w:rsid w:val="00F6278C"/>
    <w:rsid w:val="00F749AE"/>
    <w:rsid w:val="00FA142C"/>
    <w:rsid w:val="00FC3F05"/>
    <w:rsid w:val="00FC63A1"/>
    <w:rsid w:val="00FC6EBA"/>
    <w:rsid w:val="00FD28A0"/>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F4DCA0B"/>
  <w15:docId w15:val="{F2E36A21-F179-473D-949A-7F699ED13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31B"/>
  </w:style>
  <w:style w:type="paragraph" w:styleId="Ttulo1">
    <w:name w:val="heading 1"/>
    <w:basedOn w:val="Normal"/>
    <w:next w:val="Normal"/>
    <w:link w:val="Ttulo1Car"/>
    <w:qFormat/>
    <w:rsid w:val="00EE44DB"/>
    <w:pPr>
      <w:keepNext/>
      <w:outlineLvl w:val="0"/>
    </w:pPr>
    <w:rPr>
      <w:rFonts w:ascii="Times New Roman" w:eastAsia="Times New Roman" w:hAnsi="Times New Roman" w:cs="Times New Roman"/>
      <w:b/>
      <w:szCs w:val="20"/>
      <w:lang w:val="es-ES"/>
    </w:rPr>
  </w:style>
  <w:style w:type="paragraph" w:styleId="Ttulo2">
    <w:name w:val="heading 2"/>
    <w:basedOn w:val="Normal"/>
    <w:next w:val="Normal"/>
    <w:link w:val="Ttulo2Car"/>
    <w:qFormat/>
    <w:rsid w:val="00EE44DB"/>
    <w:pPr>
      <w:keepNext/>
      <w:jc w:val="both"/>
      <w:outlineLvl w:val="1"/>
    </w:pPr>
    <w:rPr>
      <w:rFonts w:ascii="Times New Roman" w:eastAsia="Times New Roman" w:hAnsi="Times New Roman" w:cs="Times New Roman"/>
      <w:szCs w:val="20"/>
      <w:lang w:val="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D47842"/>
    <w:rPr>
      <w:rFonts w:ascii="Lucida Grande" w:hAnsi="Lucida Grande"/>
      <w:sz w:val="18"/>
      <w:szCs w:val="18"/>
    </w:rPr>
  </w:style>
  <w:style w:type="character" w:customStyle="1" w:styleId="TextodegloboCar">
    <w:name w:val="Texto de globo Car"/>
    <w:basedOn w:val="Fuentedeprrafopredeter"/>
    <w:link w:val="Textodeglobo"/>
    <w:uiPriority w:val="99"/>
    <w:semiHidden/>
    <w:rsid w:val="00D47842"/>
    <w:rPr>
      <w:rFonts w:ascii="Lucida Grande" w:hAnsi="Lucida Grande"/>
      <w:sz w:val="18"/>
      <w:szCs w:val="18"/>
    </w:rPr>
  </w:style>
  <w:style w:type="paragraph" w:styleId="Encabezado">
    <w:name w:val="header"/>
    <w:basedOn w:val="Normal"/>
    <w:link w:val="EncabezadoCar"/>
    <w:unhideWhenUsed/>
    <w:rsid w:val="00D47842"/>
    <w:pPr>
      <w:tabs>
        <w:tab w:val="center" w:pos="4252"/>
        <w:tab w:val="right" w:pos="8504"/>
      </w:tabs>
    </w:pPr>
  </w:style>
  <w:style w:type="character" w:customStyle="1" w:styleId="EncabezadoCar">
    <w:name w:val="Encabezado Car"/>
    <w:basedOn w:val="Fuentedeprrafopredeter"/>
    <w:link w:val="Encabezado"/>
    <w:rsid w:val="00D47842"/>
  </w:style>
  <w:style w:type="paragraph" w:styleId="Piedepgina">
    <w:name w:val="footer"/>
    <w:basedOn w:val="Normal"/>
    <w:link w:val="PiedepginaCar"/>
    <w:uiPriority w:val="99"/>
    <w:unhideWhenUsed/>
    <w:rsid w:val="00D47842"/>
    <w:pPr>
      <w:tabs>
        <w:tab w:val="center" w:pos="4252"/>
        <w:tab w:val="right" w:pos="8504"/>
      </w:tabs>
    </w:pPr>
  </w:style>
  <w:style w:type="character" w:customStyle="1" w:styleId="PiedepginaCar">
    <w:name w:val="Pie de página Car"/>
    <w:basedOn w:val="Fuentedeprrafopredeter"/>
    <w:link w:val="Piedepgina"/>
    <w:uiPriority w:val="99"/>
    <w:rsid w:val="00D47842"/>
  </w:style>
  <w:style w:type="character" w:customStyle="1" w:styleId="Ttulo1Car">
    <w:name w:val="Título 1 Car"/>
    <w:basedOn w:val="Fuentedeprrafopredeter"/>
    <w:link w:val="Ttulo1"/>
    <w:uiPriority w:val="9"/>
    <w:rsid w:val="00EE44DB"/>
    <w:rPr>
      <w:rFonts w:ascii="Times New Roman" w:eastAsia="Times New Roman" w:hAnsi="Times New Roman" w:cs="Times New Roman"/>
      <w:b/>
      <w:szCs w:val="20"/>
      <w:lang w:val="es-ES"/>
    </w:rPr>
  </w:style>
  <w:style w:type="character" w:customStyle="1" w:styleId="Ttulo2Car">
    <w:name w:val="Título 2 Car"/>
    <w:basedOn w:val="Fuentedeprrafopredeter"/>
    <w:link w:val="Ttulo2"/>
    <w:rsid w:val="00EE44DB"/>
    <w:rPr>
      <w:rFonts w:ascii="Times New Roman" w:eastAsia="Times New Roman" w:hAnsi="Times New Roman" w:cs="Times New Roman"/>
      <w:szCs w:val="20"/>
      <w:lang w:val="es-CO"/>
    </w:rPr>
  </w:style>
  <w:style w:type="paragraph" w:styleId="Textoindependiente">
    <w:name w:val="Body Text"/>
    <w:basedOn w:val="Normal"/>
    <w:link w:val="TextoindependienteCar"/>
    <w:semiHidden/>
    <w:rsid w:val="00EE44DB"/>
    <w:pPr>
      <w:jc w:val="both"/>
    </w:pPr>
    <w:rPr>
      <w:rFonts w:ascii="Arial" w:eastAsia="Times New Roman" w:hAnsi="Arial" w:cs="Times New Roman"/>
      <w:sz w:val="22"/>
      <w:szCs w:val="20"/>
      <w:lang w:val="es-ES"/>
    </w:rPr>
  </w:style>
  <w:style w:type="character" w:customStyle="1" w:styleId="TextoindependienteCar">
    <w:name w:val="Texto independiente Car"/>
    <w:basedOn w:val="Fuentedeprrafopredeter"/>
    <w:link w:val="Textoindependiente"/>
    <w:semiHidden/>
    <w:rsid w:val="00EE44DB"/>
    <w:rPr>
      <w:rFonts w:ascii="Arial" w:eastAsia="Times New Roman" w:hAnsi="Arial" w:cs="Times New Roman"/>
      <w:sz w:val="22"/>
      <w:szCs w:val="20"/>
      <w:lang w:val="es-ES"/>
    </w:rPr>
  </w:style>
  <w:style w:type="character" w:styleId="Refdenotaalpie">
    <w:name w:val="footnote reference"/>
    <w:aliases w:val="referencia nota al pie,Texto de nota al pie,Ref,de nota al pie,Ref. de nota al pie2,Nota de pie,Texto nota al pie,Footnotes refss,Appel note de bas de page,Footnote symbol,Footnote,FC,BVI fnr,Pie de pagina,Appel note de bas de p,Ref1"/>
    <w:basedOn w:val="Fuentedeprrafopredeter"/>
    <w:uiPriority w:val="99"/>
    <w:rsid w:val="00EE44DB"/>
    <w:rPr>
      <w:vertAlign w:val="superscript"/>
    </w:rPr>
  </w:style>
  <w:style w:type="paragraph" w:styleId="Textoindependiente2">
    <w:name w:val="Body Text 2"/>
    <w:basedOn w:val="Normal"/>
    <w:link w:val="Textoindependiente2Car"/>
    <w:semiHidden/>
    <w:rsid w:val="00EE44DB"/>
    <w:pPr>
      <w:spacing w:line="360" w:lineRule="auto"/>
      <w:jc w:val="both"/>
    </w:pPr>
    <w:rPr>
      <w:rFonts w:ascii="Antique Olive" w:eastAsia="Times New Roman" w:hAnsi="Antique Olive" w:cs="Times New Roman"/>
      <w:sz w:val="20"/>
      <w:szCs w:val="20"/>
      <w:lang w:val="es-ES"/>
    </w:rPr>
  </w:style>
  <w:style w:type="character" w:customStyle="1" w:styleId="Textoindependiente2Car">
    <w:name w:val="Texto independiente 2 Car"/>
    <w:basedOn w:val="Fuentedeprrafopredeter"/>
    <w:link w:val="Textoindependiente2"/>
    <w:semiHidden/>
    <w:rsid w:val="00EE44DB"/>
    <w:rPr>
      <w:rFonts w:ascii="Antique Olive" w:eastAsia="Times New Roman" w:hAnsi="Antique Olive" w:cs="Times New Roman"/>
      <w:sz w:val="20"/>
      <w:szCs w:val="20"/>
      <w:lang w:val="es-ES"/>
    </w:rPr>
  </w:style>
  <w:style w:type="paragraph" w:styleId="Textonotapie">
    <w:name w:val="footnote text"/>
    <w:aliases w:val="texto de nota al pie,Nota a pie/Bibliog,Texto nota pie Car1,Texto nota pie Car Car,Car1 Car Car,Car1 Car2,Car1,ft Car Car,ft Car,Texto nota pie Car11,Texto nota pie Car Car1,Car1 Car Car1,Car1 Car21,Car11 Car Car,Car11 Car,ft,FA Fu,p,fn,f"/>
    <w:basedOn w:val="Normal"/>
    <w:link w:val="TextonotapieCar"/>
    <w:uiPriority w:val="99"/>
    <w:qFormat/>
    <w:rsid w:val="00EE44DB"/>
    <w:rPr>
      <w:rFonts w:ascii="Times New Roman" w:eastAsia="Times New Roman" w:hAnsi="Times New Roman" w:cs="Times New Roman"/>
      <w:sz w:val="20"/>
      <w:szCs w:val="20"/>
      <w:lang w:val="es-ES"/>
    </w:rPr>
  </w:style>
  <w:style w:type="character" w:customStyle="1" w:styleId="TextonotapieCar">
    <w:name w:val="Texto nota pie Car"/>
    <w:aliases w:val="texto de nota al pie Car,Nota a pie/Bibliog Car,Texto nota pie Car1 Car,Texto nota pie Car Car Car,Car1 Car Car Car,Car1 Car2 Car,Car1 Car,ft Car Car Car,ft Car Car1,Texto nota pie Car11 Car,Texto nota pie Car Car1 Car,Car1 Car21 Car"/>
    <w:basedOn w:val="Fuentedeprrafopredeter"/>
    <w:link w:val="Textonotapie"/>
    <w:uiPriority w:val="99"/>
    <w:rsid w:val="00EE44DB"/>
    <w:rPr>
      <w:rFonts w:ascii="Times New Roman" w:eastAsia="Times New Roman" w:hAnsi="Times New Roman" w:cs="Times New Roman"/>
      <w:sz w:val="20"/>
      <w:szCs w:val="20"/>
      <w:lang w:val="es-ES"/>
    </w:rPr>
  </w:style>
  <w:style w:type="paragraph" w:styleId="Textoindependiente3">
    <w:name w:val="Body Text 3"/>
    <w:basedOn w:val="Normal"/>
    <w:link w:val="Textoindependiente3Car"/>
    <w:semiHidden/>
    <w:rsid w:val="00EE44DB"/>
    <w:pPr>
      <w:widowControl w:val="0"/>
      <w:tabs>
        <w:tab w:val="left" w:pos="204"/>
      </w:tabs>
      <w:jc w:val="both"/>
    </w:pPr>
    <w:rPr>
      <w:rFonts w:ascii="Arial" w:eastAsia="Times New Roman" w:hAnsi="Arial" w:cs="Times New Roman"/>
      <w:szCs w:val="20"/>
      <w:lang w:val="es-ES"/>
    </w:rPr>
  </w:style>
  <w:style w:type="character" w:customStyle="1" w:styleId="Textoindependiente3Car">
    <w:name w:val="Texto independiente 3 Car"/>
    <w:basedOn w:val="Fuentedeprrafopredeter"/>
    <w:link w:val="Textoindependiente3"/>
    <w:semiHidden/>
    <w:rsid w:val="00EE44DB"/>
    <w:rPr>
      <w:rFonts w:ascii="Arial" w:eastAsia="Times New Roman" w:hAnsi="Arial" w:cs="Times New Roman"/>
      <w:szCs w:val="20"/>
      <w:lang w:val="es-ES"/>
    </w:rPr>
  </w:style>
  <w:style w:type="paragraph" w:styleId="Prrafodelista">
    <w:name w:val="List Paragraph"/>
    <w:aliases w:val="Cita textual,Lista vistosa - Énfasis 11,Párrafo de tabla,Bolita,Segunda viñeta,Viñeta,Párrafo de lista2,Párrafo de lista3,Párrafo de lista21,BOLA,HOJA,BOLADEF,Titulo 8,Guión,Párrafo de lista31,BOLITA,Viñeta 2,Bola,Título de Diagrama"/>
    <w:basedOn w:val="Normal"/>
    <w:link w:val="PrrafodelistaCar"/>
    <w:uiPriority w:val="34"/>
    <w:qFormat/>
    <w:rsid w:val="004F6246"/>
    <w:pPr>
      <w:ind w:left="720"/>
      <w:contextualSpacing/>
    </w:pPr>
  </w:style>
  <w:style w:type="paragraph" w:customStyle="1" w:styleId="Default">
    <w:name w:val="Default"/>
    <w:link w:val="DefaultCar"/>
    <w:rsid w:val="00917963"/>
    <w:pPr>
      <w:suppressAutoHyphens/>
      <w:autoSpaceDE w:val="0"/>
      <w:autoSpaceDN w:val="0"/>
      <w:textAlignment w:val="baseline"/>
    </w:pPr>
    <w:rPr>
      <w:rFonts w:ascii="Arial" w:eastAsia="Times New Roman" w:hAnsi="Arial" w:cs="Arial"/>
      <w:color w:val="000000"/>
      <w:lang w:val="es-ES"/>
    </w:rPr>
  </w:style>
  <w:style w:type="paragraph" w:styleId="Textonotaalfinal">
    <w:name w:val="endnote text"/>
    <w:basedOn w:val="Normal"/>
    <w:link w:val="TextonotaalfinalCar"/>
    <w:rsid w:val="00917963"/>
    <w:pPr>
      <w:autoSpaceDN w:val="0"/>
      <w:spacing w:after="200" w:line="276" w:lineRule="auto"/>
    </w:pPr>
    <w:rPr>
      <w:rFonts w:ascii="Calibri" w:eastAsia="Calibri" w:hAnsi="Calibri" w:cs="Times New Roman"/>
      <w:sz w:val="20"/>
      <w:szCs w:val="20"/>
      <w:lang w:val="es-ES" w:eastAsia="en-US"/>
    </w:rPr>
  </w:style>
  <w:style w:type="character" w:customStyle="1" w:styleId="TextonotaalfinalCar">
    <w:name w:val="Texto nota al final Car"/>
    <w:basedOn w:val="Fuentedeprrafopredeter"/>
    <w:link w:val="Textonotaalfinal"/>
    <w:rsid w:val="00917963"/>
    <w:rPr>
      <w:rFonts w:ascii="Calibri" w:eastAsia="Calibri" w:hAnsi="Calibri" w:cs="Times New Roman"/>
      <w:sz w:val="20"/>
      <w:szCs w:val="20"/>
      <w:lang w:val="es-ES" w:eastAsia="en-US"/>
    </w:rPr>
  </w:style>
  <w:style w:type="paragraph" w:styleId="Sinespaciado">
    <w:name w:val="No Spacing"/>
    <w:rsid w:val="00917963"/>
    <w:pPr>
      <w:autoSpaceDN w:val="0"/>
      <w:spacing w:line="240" w:lineRule="atLeast"/>
      <w:jc w:val="both"/>
    </w:pPr>
    <w:rPr>
      <w:rFonts w:ascii="Calibri" w:eastAsia="Times New Roman" w:hAnsi="Calibri" w:cs="Calibri"/>
      <w:sz w:val="22"/>
      <w:szCs w:val="22"/>
      <w:lang w:val="es-MX" w:eastAsia="en-US"/>
    </w:rPr>
  </w:style>
  <w:style w:type="character" w:customStyle="1" w:styleId="apple-converted-space">
    <w:name w:val="apple-converted-space"/>
    <w:basedOn w:val="Fuentedeprrafopredeter"/>
    <w:rsid w:val="008657BB"/>
  </w:style>
  <w:style w:type="paragraph" w:styleId="NormalWeb">
    <w:name w:val="Normal (Web)"/>
    <w:aliases w:val="Car Car Car Car Car Car Car Car Car Car,Car Car Car Car Car Car Car Car Car Car Car Car Car,Car Car Car Car Car Car Car Car Car Car Car Car,Car Car Car Car Car Car Car Car Car Car Car C"/>
    <w:basedOn w:val="Normal"/>
    <w:link w:val="NormalWebCar"/>
    <w:uiPriority w:val="99"/>
    <w:unhideWhenUsed/>
    <w:rsid w:val="00DB271F"/>
    <w:pPr>
      <w:spacing w:before="100" w:beforeAutospacing="1" w:after="100" w:afterAutospacing="1"/>
    </w:pPr>
    <w:rPr>
      <w:rFonts w:ascii="Times New Roman" w:eastAsia="Times New Roman" w:hAnsi="Times New Roman" w:cs="Times New Roman"/>
      <w:lang w:val="es-CO" w:eastAsia="es-CO"/>
    </w:rPr>
  </w:style>
  <w:style w:type="table" w:styleId="Tablaconcuadrcula">
    <w:name w:val="Table Grid"/>
    <w:basedOn w:val="Tablanormal"/>
    <w:uiPriority w:val="59"/>
    <w:rsid w:val="00053A93"/>
    <w:rPr>
      <w:rFonts w:eastAsiaTheme="minorHAnsi"/>
      <w:sz w:val="22"/>
      <w:szCs w:val="22"/>
      <w:lang w:val="es-CO"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rrafodelistaCar">
    <w:name w:val="Párrafo de lista Car"/>
    <w:aliases w:val="Cita textual Car,Lista vistosa - Énfasis 11 Car,Párrafo de tabla Car,Bolita Car,Segunda viñeta Car,Viñeta Car,Párrafo de lista2 Car,Párrafo de lista3 Car,Párrafo de lista21 Car,BOLA Car,HOJA Car,BOLADEF Car,Titulo 8 Car,Guión Car"/>
    <w:link w:val="Prrafodelista"/>
    <w:uiPriority w:val="34"/>
    <w:rsid w:val="007D692B"/>
  </w:style>
  <w:style w:type="character" w:customStyle="1" w:styleId="NormalWebCar">
    <w:name w:val="Normal (Web) Car"/>
    <w:aliases w:val="Car Car Car Car Car Car Car Car Car Car Car,Car Car Car Car Car Car Car Car Car Car Car Car Car Car,Car Car Car Car Car Car Car Car Car Car Car Car Car1,Car Car Car Car Car Car Car Car Car Car Car C Car"/>
    <w:link w:val="NormalWeb"/>
    <w:uiPriority w:val="99"/>
    <w:locked/>
    <w:rsid w:val="007D692B"/>
    <w:rPr>
      <w:rFonts w:ascii="Times New Roman" w:eastAsia="Times New Roman" w:hAnsi="Times New Roman" w:cs="Times New Roman"/>
      <w:lang w:val="es-CO" w:eastAsia="es-CO"/>
    </w:rPr>
  </w:style>
  <w:style w:type="paragraph" w:customStyle="1" w:styleId="Cuerpo">
    <w:name w:val="Cuerpo"/>
    <w:rsid w:val="007D692B"/>
    <w:pPr>
      <w:pBdr>
        <w:top w:val="nil"/>
        <w:left w:val="nil"/>
        <w:bottom w:val="nil"/>
        <w:right w:val="nil"/>
        <w:between w:val="nil"/>
        <w:bar w:val="nil"/>
      </w:pBdr>
    </w:pPr>
    <w:rPr>
      <w:rFonts w:ascii="Times New Roman" w:eastAsia="Arial Unicode MS" w:hAnsi="Arial Unicode MS" w:cs="Arial Unicode MS"/>
      <w:color w:val="000000"/>
      <w:u w:color="000000"/>
      <w:bdr w:val="nil"/>
    </w:rPr>
  </w:style>
  <w:style w:type="character" w:styleId="Refdecomentario">
    <w:name w:val="annotation reference"/>
    <w:basedOn w:val="Fuentedeprrafopredeter"/>
    <w:uiPriority w:val="99"/>
    <w:semiHidden/>
    <w:unhideWhenUsed/>
    <w:rsid w:val="007706BD"/>
    <w:rPr>
      <w:sz w:val="16"/>
      <w:szCs w:val="16"/>
    </w:rPr>
  </w:style>
  <w:style w:type="paragraph" w:styleId="Textocomentario">
    <w:name w:val="annotation text"/>
    <w:basedOn w:val="Normal"/>
    <w:link w:val="TextocomentarioCar"/>
    <w:uiPriority w:val="99"/>
    <w:semiHidden/>
    <w:unhideWhenUsed/>
    <w:rsid w:val="007706BD"/>
    <w:pPr>
      <w:spacing w:after="120" w:line="264" w:lineRule="auto"/>
    </w:pPr>
    <w:rPr>
      <w:sz w:val="20"/>
      <w:szCs w:val="20"/>
      <w:lang w:val="es-CO" w:eastAsia="en-US"/>
    </w:rPr>
  </w:style>
  <w:style w:type="character" w:customStyle="1" w:styleId="TextocomentarioCar">
    <w:name w:val="Texto comentario Car"/>
    <w:basedOn w:val="Fuentedeprrafopredeter"/>
    <w:link w:val="Textocomentario"/>
    <w:uiPriority w:val="99"/>
    <w:semiHidden/>
    <w:rsid w:val="007706BD"/>
    <w:rPr>
      <w:sz w:val="20"/>
      <w:szCs w:val="20"/>
      <w:lang w:val="es-CO" w:eastAsia="en-US"/>
    </w:rPr>
  </w:style>
  <w:style w:type="paragraph" w:customStyle="1" w:styleId="00TEXTO">
    <w:name w:val="00_TEXTO"/>
    <w:basedOn w:val="Normal"/>
    <w:link w:val="00TEXTOCar"/>
    <w:qFormat/>
    <w:rsid w:val="00D6174A"/>
    <w:pPr>
      <w:spacing w:line="276" w:lineRule="auto"/>
      <w:jc w:val="both"/>
    </w:pPr>
    <w:rPr>
      <w:rFonts w:ascii="Arial" w:eastAsia="Calibri" w:hAnsi="Arial" w:cs="Times New Roman"/>
      <w:sz w:val="22"/>
      <w:szCs w:val="22"/>
      <w:lang w:val="es-CO" w:eastAsia="en-US"/>
    </w:rPr>
  </w:style>
  <w:style w:type="character" w:customStyle="1" w:styleId="00TEXTOCar">
    <w:name w:val="00_TEXTO Car"/>
    <w:link w:val="00TEXTO"/>
    <w:rsid w:val="00D6174A"/>
    <w:rPr>
      <w:rFonts w:ascii="Arial" w:eastAsia="Calibri" w:hAnsi="Arial" w:cs="Times New Roman"/>
      <w:sz w:val="22"/>
      <w:szCs w:val="22"/>
      <w:lang w:val="es-CO" w:eastAsia="en-US"/>
    </w:rPr>
  </w:style>
  <w:style w:type="character" w:styleId="Nmerodepgina">
    <w:name w:val="page number"/>
    <w:basedOn w:val="Fuentedeprrafopredeter"/>
    <w:uiPriority w:val="99"/>
    <w:rsid w:val="00D85B01"/>
  </w:style>
  <w:style w:type="character" w:customStyle="1" w:styleId="DefaultCar">
    <w:name w:val="Default Car"/>
    <w:link w:val="Default"/>
    <w:locked/>
    <w:rsid w:val="00DF17F6"/>
    <w:rPr>
      <w:rFonts w:ascii="Arial" w:eastAsia="Times New Roman" w:hAnsi="Arial" w:cs="Arial"/>
      <w:color w:val="000000"/>
      <w:lang w:val="es-ES"/>
    </w:rPr>
  </w:style>
  <w:style w:type="paragraph" w:styleId="Asuntodelcomentario">
    <w:name w:val="annotation subject"/>
    <w:basedOn w:val="Textocomentario"/>
    <w:next w:val="Textocomentario"/>
    <w:link w:val="AsuntodelcomentarioCar"/>
    <w:uiPriority w:val="99"/>
    <w:semiHidden/>
    <w:unhideWhenUsed/>
    <w:rsid w:val="00E90434"/>
    <w:pPr>
      <w:spacing w:after="0" w:line="240" w:lineRule="auto"/>
    </w:pPr>
    <w:rPr>
      <w:b/>
      <w:bCs/>
      <w:lang w:val="es-ES_tradnl" w:eastAsia="es-ES"/>
    </w:rPr>
  </w:style>
  <w:style w:type="character" w:customStyle="1" w:styleId="AsuntodelcomentarioCar">
    <w:name w:val="Asunto del comentario Car"/>
    <w:basedOn w:val="TextocomentarioCar"/>
    <w:link w:val="Asuntodelcomentario"/>
    <w:uiPriority w:val="99"/>
    <w:semiHidden/>
    <w:rsid w:val="00E90434"/>
    <w:rPr>
      <w:b/>
      <w:bCs/>
      <w:sz w:val="20"/>
      <w:szCs w:val="20"/>
      <w:lang w:val="es-CO"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03969">
      <w:bodyDiv w:val="1"/>
      <w:marLeft w:val="0"/>
      <w:marRight w:val="0"/>
      <w:marTop w:val="0"/>
      <w:marBottom w:val="0"/>
      <w:divBdr>
        <w:top w:val="none" w:sz="0" w:space="0" w:color="auto"/>
        <w:left w:val="none" w:sz="0" w:space="0" w:color="auto"/>
        <w:bottom w:val="none" w:sz="0" w:space="0" w:color="auto"/>
        <w:right w:val="none" w:sz="0" w:space="0" w:color="auto"/>
      </w:divBdr>
    </w:div>
    <w:div w:id="136070340">
      <w:bodyDiv w:val="1"/>
      <w:marLeft w:val="0"/>
      <w:marRight w:val="0"/>
      <w:marTop w:val="0"/>
      <w:marBottom w:val="0"/>
      <w:divBdr>
        <w:top w:val="none" w:sz="0" w:space="0" w:color="auto"/>
        <w:left w:val="none" w:sz="0" w:space="0" w:color="auto"/>
        <w:bottom w:val="none" w:sz="0" w:space="0" w:color="auto"/>
        <w:right w:val="none" w:sz="0" w:space="0" w:color="auto"/>
      </w:divBdr>
    </w:div>
    <w:div w:id="338122508">
      <w:bodyDiv w:val="1"/>
      <w:marLeft w:val="0"/>
      <w:marRight w:val="0"/>
      <w:marTop w:val="0"/>
      <w:marBottom w:val="0"/>
      <w:divBdr>
        <w:top w:val="none" w:sz="0" w:space="0" w:color="auto"/>
        <w:left w:val="none" w:sz="0" w:space="0" w:color="auto"/>
        <w:bottom w:val="none" w:sz="0" w:space="0" w:color="auto"/>
        <w:right w:val="none" w:sz="0" w:space="0" w:color="auto"/>
      </w:divBdr>
    </w:div>
    <w:div w:id="358361008">
      <w:bodyDiv w:val="1"/>
      <w:marLeft w:val="0"/>
      <w:marRight w:val="0"/>
      <w:marTop w:val="0"/>
      <w:marBottom w:val="0"/>
      <w:divBdr>
        <w:top w:val="none" w:sz="0" w:space="0" w:color="auto"/>
        <w:left w:val="none" w:sz="0" w:space="0" w:color="auto"/>
        <w:bottom w:val="none" w:sz="0" w:space="0" w:color="auto"/>
        <w:right w:val="none" w:sz="0" w:space="0" w:color="auto"/>
      </w:divBdr>
    </w:div>
    <w:div w:id="734399337">
      <w:bodyDiv w:val="1"/>
      <w:marLeft w:val="0"/>
      <w:marRight w:val="0"/>
      <w:marTop w:val="0"/>
      <w:marBottom w:val="0"/>
      <w:divBdr>
        <w:top w:val="none" w:sz="0" w:space="0" w:color="auto"/>
        <w:left w:val="none" w:sz="0" w:space="0" w:color="auto"/>
        <w:bottom w:val="none" w:sz="0" w:space="0" w:color="auto"/>
        <w:right w:val="none" w:sz="0" w:space="0" w:color="auto"/>
      </w:divBdr>
    </w:div>
    <w:div w:id="1481539342">
      <w:bodyDiv w:val="1"/>
      <w:marLeft w:val="0"/>
      <w:marRight w:val="0"/>
      <w:marTop w:val="0"/>
      <w:marBottom w:val="0"/>
      <w:divBdr>
        <w:top w:val="none" w:sz="0" w:space="0" w:color="auto"/>
        <w:left w:val="none" w:sz="0" w:space="0" w:color="auto"/>
        <w:bottom w:val="none" w:sz="0" w:space="0" w:color="auto"/>
        <w:right w:val="none" w:sz="0" w:space="0" w:color="auto"/>
      </w:divBdr>
    </w:div>
    <w:div w:id="1827739083">
      <w:bodyDiv w:val="1"/>
      <w:marLeft w:val="0"/>
      <w:marRight w:val="0"/>
      <w:marTop w:val="0"/>
      <w:marBottom w:val="0"/>
      <w:divBdr>
        <w:top w:val="none" w:sz="0" w:space="0" w:color="auto"/>
        <w:left w:val="none" w:sz="0" w:space="0" w:color="auto"/>
        <w:bottom w:val="none" w:sz="0" w:space="0" w:color="auto"/>
        <w:right w:val="none" w:sz="0" w:space="0" w:color="auto"/>
      </w:divBdr>
    </w:div>
    <w:div w:id="18850200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EFB6AA0C650844E8B7B4608EBA858DC"/>
        <w:category>
          <w:name w:val="General"/>
          <w:gallery w:val="placeholder"/>
        </w:category>
        <w:types>
          <w:type w:val="bbPlcHdr"/>
        </w:types>
        <w:behaviors>
          <w:behavior w:val="content"/>
        </w:behaviors>
        <w:guid w:val="{D40ECC9B-2E03-0A4D-A8A4-8283E7608CB3}"/>
      </w:docPartPr>
      <w:docPartBody>
        <w:p w:rsidR="005D5B99" w:rsidRDefault="005D5B99" w:rsidP="005D5B99">
          <w:pPr>
            <w:pStyle w:val="BEFB6AA0C650844E8B7B4608EBA858DC"/>
          </w:pPr>
          <w:r>
            <w:rPr>
              <w:lang w:val="es-ES"/>
            </w:rPr>
            <w:t>[Escriba texto]</w:t>
          </w:r>
        </w:p>
      </w:docPartBody>
    </w:docPart>
    <w:docPart>
      <w:docPartPr>
        <w:name w:val="EBEC8ECFCD3E404D9EEAFB1577427D08"/>
        <w:category>
          <w:name w:val="General"/>
          <w:gallery w:val="placeholder"/>
        </w:category>
        <w:types>
          <w:type w:val="bbPlcHdr"/>
        </w:types>
        <w:behaviors>
          <w:behavior w:val="content"/>
        </w:behaviors>
        <w:guid w:val="{FCF25E97-AF1B-EA4B-B220-32C77E28EF34}"/>
      </w:docPartPr>
      <w:docPartBody>
        <w:p w:rsidR="005D5B99" w:rsidRDefault="005D5B99" w:rsidP="005D5B99">
          <w:pPr>
            <w:pStyle w:val="EBEC8ECFCD3E404D9EEAFB1577427D08"/>
          </w:pPr>
          <w:r>
            <w:rPr>
              <w:lang w:val="es-ES"/>
            </w:rPr>
            <w:t>[Escriba texto]</w:t>
          </w:r>
        </w:p>
      </w:docPartBody>
    </w:docPart>
    <w:docPart>
      <w:docPartPr>
        <w:name w:val="3C116F2D70C45A4F83C704CBE0343DB7"/>
        <w:category>
          <w:name w:val="General"/>
          <w:gallery w:val="placeholder"/>
        </w:category>
        <w:types>
          <w:type w:val="bbPlcHdr"/>
        </w:types>
        <w:behaviors>
          <w:behavior w:val="content"/>
        </w:behaviors>
        <w:guid w:val="{C04F6085-4FE5-BB45-B867-422A05D89194}"/>
      </w:docPartPr>
      <w:docPartBody>
        <w:p w:rsidR="005D5B99" w:rsidRDefault="005D5B99" w:rsidP="005D5B99">
          <w:pPr>
            <w:pStyle w:val="3C116F2D70C45A4F83C704CBE0343DB7"/>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Lucida Grande">
    <w:altName w:val="Arial"/>
    <w:charset w:val="00"/>
    <w:family w:val="auto"/>
    <w:pitch w:val="variable"/>
    <w:sig w:usb0="00000000"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Antique Olive">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utura">
    <w:altName w:val="Segoe UI Semilight"/>
    <w:charset w:val="00"/>
    <w:family w:val="auto"/>
    <w:pitch w:val="variable"/>
    <w:sig w:usb0="00000000" w:usb1="00000000" w:usb2="00000000" w:usb3="00000000" w:csb0="000001FB"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08"/>
  <w:hyphenationZone w:val="425"/>
  <w:characterSpacingControl w:val="doNotCompress"/>
  <w:compat>
    <w:useFELayout/>
    <w:compatSetting w:name="compatibilityMode" w:uri="http://schemas.microsoft.com/office/word" w:val="12"/>
  </w:compat>
  <w:rsids>
    <w:rsidRoot w:val="005D5B99"/>
    <w:rsid w:val="00020FDF"/>
    <w:rsid w:val="000639C4"/>
    <w:rsid w:val="00071591"/>
    <w:rsid w:val="000E21E0"/>
    <w:rsid w:val="000E6F89"/>
    <w:rsid w:val="00126F48"/>
    <w:rsid w:val="00127814"/>
    <w:rsid w:val="00167E96"/>
    <w:rsid w:val="001C67AA"/>
    <w:rsid w:val="0021090C"/>
    <w:rsid w:val="00271173"/>
    <w:rsid w:val="00280329"/>
    <w:rsid w:val="00285E76"/>
    <w:rsid w:val="002B3D16"/>
    <w:rsid w:val="002D185A"/>
    <w:rsid w:val="002F1B78"/>
    <w:rsid w:val="00362C34"/>
    <w:rsid w:val="00376EA0"/>
    <w:rsid w:val="003D042D"/>
    <w:rsid w:val="00487302"/>
    <w:rsid w:val="004B516B"/>
    <w:rsid w:val="00527EC9"/>
    <w:rsid w:val="005350DA"/>
    <w:rsid w:val="0058636A"/>
    <w:rsid w:val="005D5B99"/>
    <w:rsid w:val="005E3018"/>
    <w:rsid w:val="00670129"/>
    <w:rsid w:val="00752145"/>
    <w:rsid w:val="00773F21"/>
    <w:rsid w:val="007963D4"/>
    <w:rsid w:val="007B1E8E"/>
    <w:rsid w:val="008B6A9B"/>
    <w:rsid w:val="00936D95"/>
    <w:rsid w:val="00987192"/>
    <w:rsid w:val="00A83305"/>
    <w:rsid w:val="00AD7E2F"/>
    <w:rsid w:val="00B419EF"/>
    <w:rsid w:val="00D25CC1"/>
    <w:rsid w:val="00D97881"/>
    <w:rsid w:val="00DA4930"/>
    <w:rsid w:val="00DD0D95"/>
    <w:rsid w:val="00DD6F5D"/>
    <w:rsid w:val="00E3425D"/>
    <w:rsid w:val="00E77E31"/>
    <w:rsid w:val="00F16ADA"/>
    <w:rsid w:val="00F53481"/>
    <w:rsid w:val="00F726A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AutoCompressPictures/>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3425D"/>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BEFB6AA0C650844E8B7B4608EBA858DC">
    <w:name w:val="BEFB6AA0C650844E8B7B4608EBA858DC"/>
    <w:rsid w:val="005D5B99"/>
  </w:style>
  <w:style w:type="paragraph" w:customStyle="1" w:styleId="EBEC8ECFCD3E404D9EEAFB1577427D08">
    <w:name w:val="EBEC8ECFCD3E404D9EEAFB1577427D08"/>
    <w:rsid w:val="005D5B99"/>
  </w:style>
  <w:style w:type="paragraph" w:customStyle="1" w:styleId="3C116F2D70C45A4F83C704CBE0343DB7">
    <w:name w:val="3C116F2D70C45A4F83C704CBE0343DB7"/>
    <w:rsid w:val="005D5B99"/>
  </w:style>
  <w:style w:type="paragraph" w:customStyle="1" w:styleId="CB46348307C6AE4B9C6F31A870E9A5D5">
    <w:name w:val="CB46348307C6AE4B9C6F31A870E9A5D5"/>
    <w:rsid w:val="005D5B99"/>
  </w:style>
  <w:style w:type="paragraph" w:customStyle="1" w:styleId="414D213CF4FCDC4FB545F13713324254">
    <w:name w:val="414D213CF4FCDC4FB545F13713324254"/>
    <w:rsid w:val="005D5B99"/>
  </w:style>
  <w:style w:type="paragraph" w:customStyle="1" w:styleId="A2DBEDC49E91074F90B1FD876FDF6E0C">
    <w:name w:val="A2DBEDC49E91074F90B1FD876FDF6E0C"/>
    <w:rsid w:val="005D5B9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69BBF6-7C2D-43E4-ADD9-050EFA15E2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6</Pages>
  <Words>1981</Words>
  <Characters>10898</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Maria Antonia Alzate Londoño</dc:creator>
  <cp:lastModifiedBy>Andrea Paola Lacouture Carvajal</cp:lastModifiedBy>
  <cp:revision>8</cp:revision>
  <cp:lastPrinted>2016-03-28T18:42:00Z</cp:lastPrinted>
  <dcterms:created xsi:type="dcterms:W3CDTF">2017-12-21T20:49:00Z</dcterms:created>
  <dcterms:modified xsi:type="dcterms:W3CDTF">2017-12-22T15:32:00Z</dcterms:modified>
</cp:coreProperties>
</file>