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03316" w14:textId="77777777" w:rsidR="007C0D7D" w:rsidRPr="00000031" w:rsidRDefault="00EA3F9B" w:rsidP="00647706">
      <w:pPr>
        <w:spacing w:after="0" w:line="240" w:lineRule="auto"/>
        <w:jc w:val="center"/>
        <w:rPr>
          <w:rStyle w:val="st1"/>
          <w:rFonts w:ascii="Arial Narrow" w:hAnsi="Arial Narrow" w:cs="Arial"/>
          <w:b/>
          <w:color w:val="0D0D0D"/>
          <w:sz w:val="23"/>
          <w:szCs w:val="23"/>
        </w:rPr>
      </w:pPr>
      <w:bookmarkStart w:id="0" w:name="_GoBack"/>
      <w:bookmarkEnd w:id="0"/>
      <w:r w:rsidRPr="00000031">
        <w:rPr>
          <w:rStyle w:val="st1"/>
          <w:rFonts w:ascii="Arial Narrow" w:hAnsi="Arial Narrow" w:cs="Arial"/>
          <w:b/>
          <w:color w:val="0D0D0D"/>
          <w:sz w:val="23"/>
          <w:szCs w:val="23"/>
        </w:rPr>
        <w:t>DOCUMENTO TÉCNICO</w:t>
      </w:r>
      <w:r w:rsidR="00A25BE7" w:rsidRPr="00000031">
        <w:rPr>
          <w:rStyle w:val="st1"/>
          <w:rFonts w:ascii="Arial Narrow" w:hAnsi="Arial Narrow" w:cs="Arial"/>
          <w:b/>
          <w:color w:val="0D0D0D"/>
          <w:sz w:val="23"/>
          <w:szCs w:val="23"/>
        </w:rPr>
        <w:t xml:space="preserve"> DE SOPORTE</w:t>
      </w:r>
    </w:p>
    <w:p w14:paraId="2874A2B8" w14:textId="77777777" w:rsidR="006F6466" w:rsidRPr="00000031" w:rsidRDefault="006F6466" w:rsidP="00647706">
      <w:pPr>
        <w:spacing w:after="0" w:line="240" w:lineRule="auto"/>
        <w:jc w:val="center"/>
        <w:rPr>
          <w:rStyle w:val="st1"/>
          <w:rFonts w:ascii="Arial Narrow" w:hAnsi="Arial Narrow" w:cs="Arial"/>
          <w:color w:val="0D0D0D"/>
          <w:sz w:val="23"/>
          <w:szCs w:val="23"/>
        </w:rPr>
      </w:pPr>
    </w:p>
    <w:p w14:paraId="1D932A83" w14:textId="77777777" w:rsidR="007C0D7D" w:rsidRPr="00000031" w:rsidRDefault="007C0D7D" w:rsidP="00647706">
      <w:pPr>
        <w:spacing w:after="0" w:line="240" w:lineRule="auto"/>
        <w:jc w:val="center"/>
        <w:rPr>
          <w:rStyle w:val="st1"/>
          <w:rFonts w:ascii="Arial Narrow" w:hAnsi="Arial Narrow" w:cs="Arial"/>
          <w:color w:val="0D0D0D"/>
          <w:sz w:val="23"/>
          <w:szCs w:val="23"/>
        </w:rPr>
      </w:pPr>
      <w:r w:rsidRPr="00000031">
        <w:rPr>
          <w:rStyle w:val="st1"/>
          <w:rFonts w:ascii="Arial Narrow" w:hAnsi="Arial Narrow" w:cs="Arial"/>
          <w:color w:val="0D0D0D"/>
          <w:sz w:val="23"/>
          <w:szCs w:val="23"/>
        </w:rPr>
        <w:t>PROYECTO RESOLUCIÓN</w:t>
      </w:r>
    </w:p>
    <w:p w14:paraId="31D2A9E0" w14:textId="77777777" w:rsidR="007C0D7D" w:rsidRPr="00000031" w:rsidRDefault="007C0D7D" w:rsidP="00647706">
      <w:pPr>
        <w:spacing w:after="0" w:line="240" w:lineRule="auto"/>
        <w:jc w:val="center"/>
        <w:rPr>
          <w:rStyle w:val="st1"/>
          <w:rFonts w:ascii="Arial Narrow" w:hAnsi="Arial Narrow" w:cs="Arial"/>
          <w:color w:val="0D0D0D"/>
          <w:sz w:val="23"/>
          <w:szCs w:val="23"/>
        </w:rPr>
      </w:pPr>
    </w:p>
    <w:p w14:paraId="79CBB862" w14:textId="77777777" w:rsidR="007C0D7D" w:rsidRDefault="002B18C9" w:rsidP="00000031">
      <w:pPr>
        <w:spacing w:after="0" w:line="240" w:lineRule="auto"/>
        <w:contextualSpacing/>
        <w:jc w:val="both"/>
        <w:rPr>
          <w:rFonts w:ascii="Arial Narrow" w:hAnsi="Arial Narrow" w:cs="Arial"/>
          <w:i/>
          <w:iCs/>
          <w:color w:val="0D0D0D"/>
          <w:sz w:val="23"/>
          <w:szCs w:val="23"/>
        </w:rPr>
      </w:pPr>
      <w:r w:rsidRPr="002B18C9">
        <w:rPr>
          <w:rFonts w:ascii="Arial Narrow" w:hAnsi="Arial Narrow" w:cs="Arial"/>
          <w:i/>
          <w:iCs/>
          <w:color w:val="0D0D0D"/>
          <w:sz w:val="23"/>
          <w:szCs w:val="23"/>
        </w:rPr>
        <w:t xml:space="preserve">“Por la cual se adoptan los términos de referencia para la elaboración del Diagnóstico Ambiental de Alternativas - DAA, en </w:t>
      </w:r>
      <w:bookmarkStart w:id="1" w:name="_Hlk11316547"/>
      <w:r w:rsidRPr="002B18C9">
        <w:rPr>
          <w:rFonts w:ascii="Arial Narrow" w:hAnsi="Arial Narrow" w:cs="Arial"/>
          <w:i/>
          <w:iCs/>
          <w:color w:val="0D0D0D"/>
          <w:sz w:val="23"/>
          <w:szCs w:val="23"/>
        </w:rPr>
        <w:t xml:space="preserve">proyectos puntuales de </w:t>
      </w:r>
      <w:r>
        <w:rPr>
          <w:rFonts w:ascii="Arial Narrow" w:hAnsi="Arial Narrow" w:cs="Arial"/>
          <w:i/>
          <w:iCs/>
          <w:color w:val="0D0D0D"/>
          <w:sz w:val="23"/>
          <w:szCs w:val="23"/>
        </w:rPr>
        <w:t xml:space="preserve">construcción y operación de </w:t>
      </w:r>
      <w:r w:rsidRPr="002B18C9">
        <w:rPr>
          <w:rFonts w:ascii="Arial Narrow" w:hAnsi="Arial Narrow" w:cs="Arial"/>
          <w:i/>
          <w:iCs/>
          <w:color w:val="0D0D0D"/>
          <w:sz w:val="23"/>
          <w:szCs w:val="23"/>
        </w:rPr>
        <w:t>infraestructura de transporte</w:t>
      </w:r>
      <w:r>
        <w:rPr>
          <w:rFonts w:ascii="Arial Narrow" w:hAnsi="Arial Narrow" w:cs="Arial"/>
          <w:i/>
          <w:iCs/>
          <w:color w:val="0D0D0D"/>
          <w:sz w:val="23"/>
          <w:szCs w:val="23"/>
        </w:rPr>
        <w:t xml:space="preserve">: </w:t>
      </w:r>
      <w:r w:rsidRPr="002B18C9">
        <w:rPr>
          <w:rFonts w:ascii="Arial Narrow" w:hAnsi="Arial Narrow" w:cs="Arial"/>
          <w:i/>
          <w:iCs/>
          <w:color w:val="0D0D0D"/>
          <w:sz w:val="23"/>
          <w:szCs w:val="23"/>
        </w:rPr>
        <w:t>puertos y aeropuertos</w:t>
      </w:r>
      <w:bookmarkEnd w:id="1"/>
      <w:r w:rsidRPr="002B18C9">
        <w:rPr>
          <w:rFonts w:ascii="Arial Narrow" w:hAnsi="Arial Narrow" w:cs="Arial"/>
          <w:i/>
          <w:iCs/>
          <w:color w:val="0D0D0D"/>
          <w:sz w:val="23"/>
          <w:szCs w:val="23"/>
        </w:rPr>
        <w:t xml:space="preserve"> y se toman otras determinaciones”</w:t>
      </w:r>
    </w:p>
    <w:p w14:paraId="176D88C8" w14:textId="77777777" w:rsidR="002B18C9" w:rsidRPr="00000031" w:rsidRDefault="002B18C9" w:rsidP="00000031">
      <w:pPr>
        <w:spacing w:after="0" w:line="240" w:lineRule="auto"/>
        <w:contextualSpacing/>
        <w:jc w:val="both"/>
        <w:rPr>
          <w:rStyle w:val="st1"/>
          <w:rFonts w:ascii="Arial" w:hAnsi="Arial" w:cs="Arial"/>
          <w:color w:val="0D0D0D"/>
          <w:sz w:val="23"/>
          <w:szCs w:val="23"/>
        </w:rPr>
      </w:pPr>
    </w:p>
    <w:p w14:paraId="602519D3" w14:textId="77777777" w:rsidR="00000031" w:rsidRPr="00000031" w:rsidRDefault="00000031" w:rsidP="00000031">
      <w:pPr>
        <w:pStyle w:val="Prrafodelista"/>
        <w:numPr>
          <w:ilvl w:val="0"/>
          <w:numId w:val="9"/>
        </w:numPr>
        <w:spacing w:before="120" w:after="60"/>
        <w:ind w:left="284" w:hanging="284"/>
        <w:jc w:val="both"/>
        <w:rPr>
          <w:rFonts w:ascii="Arial Narrow" w:hAnsi="Arial Narrow" w:cs="Arial"/>
          <w:b/>
          <w:sz w:val="23"/>
          <w:szCs w:val="23"/>
        </w:rPr>
      </w:pPr>
      <w:r w:rsidRPr="00000031">
        <w:rPr>
          <w:rFonts w:ascii="Arial Narrow" w:hAnsi="Arial Narrow" w:cs="Arial"/>
          <w:b/>
          <w:sz w:val="23"/>
          <w:szCs w:val="23"/>
        </w:rPr>
        <w:t>LOS ANTECEDENTES Y LAS RAZONES DE OPORTUNIDAD Y CONVENIENCIA QUE JUSTIFICAN SU EXPEDICIÓN.</w:t>
      </w:r>
    </w:p>
    <w:p w14:paraId="0A5CA433" w14:textId="77777777" w:rsidR="00000031" w:rsidRPr="00000031" w:rsidRDefault="00000031" w:rsidP="00000031">
      <w:pPr>
        <w:pStyle w:val="Prrafodelista"/>
        <w:spacing w:before="120" w:after="60"/>
        <w:ind w:left="284"/>
        <w:jc w:val="both"/>
        <w:rPr>
          <w:rFonts w:ascii="Arial Narrow" w:hAnsi="Arial Narrow" w:cs="Arial"/>
          <w:b/>
          <w:sz w:val="23"/>
          <w:szCs w:val="23"/>
        </w:rPr>
      </w:pPr>
    </w:p>
    <w:p w14:paraId="1F13E543" w14:textId="77777777" w:rsidR="00000031" w:rsidRPr="00000031" w:rsidRDefault="00000031" w:rsidP="00000031">
      <w:pPr>
        <w:pStyle w:val="Prrafodelista"/>
        <w:numPr>
          <w:ilvl w:val="1"/>
          <w:numId w:val="10"/>
        </w:numPr>
        <w:spacing w:before="120" w:after="60"/>
        <w:ind w:left="720"/>
        <w:jc w:val="both"/>
        <w:rPr>
          <w:rFonts w:ascii="Arial Narrow" w:hAnsi="Arial Narrow" w:cs="Arial"/>
          <w:b/>
          <w:sz w:val="23"/>
          <w:szCs w:val="23"/>
        </w:rPr>
      </w:pPr>
      <w:r w:rsidRPr="00000031">
        <w:rPr>
          <w:rFonts w:ascii="Arial Narrow" w:hAnsi="Arial Narrow" w:cs="Arial"/>
          <w:b/>
          <w:sz w:val="23"/>
          <w:szCs w:val="23"/>
        </w:rPr>
        <w:t>Antecedentes.</w:t>
      </w:r>
    </w:p>
    <w:p w14:paraId="594EFFAC" w14:textId="77777777" w:rsidR="002B18C9" w:rsidRDefault="002B18C9" w:rsidP="00000031">
      <w:pPr>
        <w:autoSpaceDE w:val="0"/>
        <w:autoSpaceDN w:val="0"/>
        <w:adjustRightInd w:val="0"/>
        <w:spacing w:line="240" w:lineRule="auto"/>
        <w:contextualSpacing/>
        <w:jc w:val="both"/>
        <w:rPr>
          <w:rFonts w:ascii="Arial Narrow" w:hAnsi="Arial Narrow" w:cs="ArialNarrow"/>
          <w:sz w:val="23"/>
          <w:szCs w:val="23"/>
        </w:rPr>
      </w:pPr>
    </w:p>
    <w:p w14:paraId="46B35C80" w14:textId="77777777" w:rsidR="00000031" w:rsidRPr="00000031" w:rsidRDefault="00000031" w:rsidP="00000031">
      <w:pPr>
        <w:autoSpaceDE w:val="0"/>
        <w:autoSpaceDN w:val="0"/>
        <w:adjustRightInd w:val="0"/>
        <w:spacing w:line="240" w:lineRule="auto"/>
        <w:contextualSpacing/>
        <w:jc w:val="both"/>
        <w:rPr>
          <w:rFonts w:ascii="Arial Narrow" w:hAnsi="Arial Narrow" w:cs="ArialNarrow-Italic"/>
          <w:i/>
          <w:iCs/>
          <w:sz w:val="23"/>
          <w:szCs w:val="23"/>
        </w:rPr>
      </w:pPr>
      <w:r w:rsidRPr="00000031">
        <w:rPr>
          <w:rFonts w:ascii="Arial Narrow" w:hAnsi="Arial Narrow" w:cs="ArialNarrow"/>
          <w:sz w:val="23"/>
          <w:szCs w:val="23"/>
        </w:rPr>
        <w:t xml:space="preserve">La Ley 99 de 1993 dispuso en el numeral 14 del artículo 5 como función del hoy Ministerio de Ambiente y Desarrollo Sostenible </w:t>
      </w:r>
      <w:r w:rsidRPr="00000031">
        <w:rPr>
          <w:rFonts w:ascii="Arial Narrow" w:hAnsi="Arial Narrow" w:cs="ArialNarrow-Italic"/>
          <w:i/>
          <w:iCs/>
          <w:sz w:val="23"/>
          <w:szCs w:val="23"/>
        </w:rPr>
        <w:t>“Definir y regular los instrumentos administrativos y mecanismos necesarios para la prevención y el control de los factores de deterioro ambiental y determinar los criterios de evaluación, seguimiento y manejo ambientales de las actividades económicas”.</w:t>
      </w:r>
    </w:p>
    <w:p w14:paraId="69F06D5E" w14:textId="77777777" w:rsidR="00000031" w:rsidRPr="00000031" w:rsidRDefault="00000031" w:rsidP="00000031">
      <w:pPr>
        <w:autoSpaceDE w:val="0"/>
        <w:autoSpaceDN w:val="0"/>
        <w:adjustRightInd w:val="0"/>
        <w:spacing w:line="240" w:lineRule="auto"/>
        <w:jc w:val="both"/>
        <w:rPr>
          <w:rFonts w:ascii="Arial Narrow" w:hAnsi="Arial Narrow" w:cs="ArialNarrow"/>
          <w:sz w:val="23"/>
          <w:szCs w:val="23"/>
        </w:rPr>
      </w:pPr>
      <w:r w:rsidRPr="00000031">
        <w:rPr>
          <w:rFonts w:ascii="Arial Narrow" w:hAnsi="Arial Narrow" w:cs="ArialNarrow"/>
          <w:sz w:val="23"/>
          <w:szCs w:val="23"/>
        </w:rPr>
        <w:t>El Decreto 3570 del 27 de septiembre de 2011 estableció como uno de los objetivos del Ministerio de Ambiente y Desarrollo Sostenible, orientar y regular el ordenamiento ambiental del territorio y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p>
    <w:p w14:paraId="47A0AB4E" w14:textId="77777777" w:rsidR="00000031" w:rsidRDefault="00000031" w:rsidP="00000031">
      <w:pPr>
        <w:autoSpaceDE w:val="0"/>
        <w:autoSpaceDN w:val="0"/>
        <w:adjustRightInd w:val="0"/>
        <w:spacing w:line="240" w:lineRule="auto"/>
        <w:jc w:val="both"/>
        <w:rPr>
          <w:rFonts w:ascii="Arial Narrow" w:hAnsi="Arial Narrow" w:cs="ArialNarrow"/>
          <w:sz w:val="23"/>
          <w:szCs w:val="23"/>
        </w:rPr>
      </w:pPr>
      <w:r w:rsidRPr="00000031">
        <w:rPr>
          <w:rFonts w:ascii="Arial Narrow" w:hAnsi="Arial Narrow" w:cs="ArialNarrow"/>
          <w:sz w:val="23"/>
          <w:szCs w:val="23"/>
        </w:rPr>
        <w:t xml:space="preserve">Igualmente, el numeral 2 del artículo 2 del Decreto 3570 de 2011, estableció como función del Ministerio de Ambiente y Desarrollo Sostenible la siguiente: ”Diseñar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w:t>
      </w:r>
      <w:proofErr w:type="spellStart"/>
      <w:r w:rsidRPr="00000031">
        <w:rPr>
          <w:rFonts w:ascii="Arial Narrow" w:hAnsi="Arial Narrow" w:cs="ArialNarrow"/>
          <w:sz w:val="23"/>
          <w:szCs w:val="23"/>
        </w:rPr>
        <w:t>deteriorantes</w:t>
      </w:r>
      <w:proofErr w:type="spellEnd"/>
      <w:r w:rsidRPr="00000031">
        <w:rPr>
          <w:rFonts w:ascii="Arial Narrow" w:hAnsi="Arial Narrow" w:cs="ArialNarrow"/>
          <w:sz w:val="23"/>
          <w:szCs w:val="23"/>
        </w:rPr>
        <w:t xml:space="preserve"> o destructivas del entorno o del patrimonio natural, en todos los sectores económicos y productivos”.</w:t>
      </w:r>
    </w:p>
    <w:p w14:paraId="79D8A859" w14:textId="77777777" w:rsidR="002B18C9" w:rsidRPr="002B18C9" w:rsidRDefault="002B18C9" w:rsidP="002B18C9">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t>El artículo 2.2.2.3.3.1 del Decreto 1076 de 2015, señala que los estudios ambientales para el licenciamiento ambiental son el Diagnóstico Ambiental de Alternativas – DAA y el Estudio de Impacto Ambiental – EIA.</w:t>
      </w:r>
    </w:p>
    <w:p w14:paraId="07BF5672" w14:textId="77777777" w:rsidR="002B18C9" w:rsidRPr="002B18C9" w:rsidRDefault="002B18C9" w:rsidP="002B18C9">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t>El artículo 2.2.2.3.3.2 del citado decreto, establece: “De los términos de referencia. Los términos de referencia son los lineamientos generales que la autoridad ambiental señala para la elaboración y ejecución de los estudios ambientales que deben ser presentados ante la autoridad ambiental competente.</w:t>
      </w:r>
    </w:p>
    <w:p w14:paraId="52640D7C" w14:textId="77777777" w:rsidR="002B18C9" w:rsidRPr="002B18C9" w:rsidRDefault="002B18C9" w:rsidP="002B18C9">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t>Los estudios ambientales se elaborarán con base en los términos de referencia que sean expedidos por el Ministerio de Ambiente y Desarrollo Sostenible. El solicitante deberá adaptarlos a las particularidades del proyecto, obra o actividad”.</w:t>
      </w:r>
    </w:p>
    <w:p w14:paraId="63661F1E" w14:textId="77777777" w:rsidR="002B18C9" w:rsidRPr="002B18C9" w:rsidRDefault="002B18C9" w:rsidP="002B18C9">
      <w:pPr>
        <w:autoSpaceDE w:val="0"/>
        <w:autoSpaceDN w:val="0"/>
        <w:adjustRightInd w:val="0"/>
        <w:spacing w:line="240" w:lineRule="auto"/>
        <w:jc w:val="both"/>
        <w:rPr>
          <w:rFonts w:ascii="Arial Narrow" w:hAnsi="Arial Narrow" w:cs="ArialNarrow"/>
          <w:sz w:val="23"/>
          <w:szCs w:val="23"/>
        </w:rPr>
      </w:pPr>
    </w:p>
    <w:p w14:paraId="5FC4B044" w14:textId="77777777" w:rsidR="002B18C9" w:rsidRPr="002B18C9" w:rsidRDefault="002B18C9" w:rsidP="002B18C9">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lastRenderedPageBreak/>
        <w:t>Así mismo indica el artículo 2.2.2.3.3.2 del precitado Decreto que los términos de referencia deben ser utilizados por el solicitante de una licencia ambiental “de acuerdo con las condiciones específicas del proyecto, obra o actividad que pretende desarrollar”.</w:t>
      </w:r>
    </w:p>
    <w:p w14:paraId="17AB0FE6" w14:textId="2B488818" w:rsidR="002B18C9" w:rsidRPr="00000031" w:rsidRDefault="002B18C9" w:rsidP="002B18C9">
      <w:pPr>
        <w:autoSpaceDE w:val="0"/>
        <w:autoSpaceDN w:val="0"/>
        <w:adjustRightInd w:val="0"/>
        <w:spacing w:line="240" w:lineRule="auto"/>
        <w:jc w:val="both"/>
        <w:rPr>
          <w:rFonts w:ascii="Arial Narrow" w:hAnsi="Arial Narrow" w:cs="ArialNarrow-Italic"/>
          <w:iCs/>
          <w:sz w:val="23"/>
          <w:szCs w:val="23"/>
        </w:rPr>
      </w:pPr>
      <w:r w:rsidRPr="002B18C9">
        <w:rPr>
          <w:rFonts w:ascii="Arial Narrow" w:hAnsi="Arial Narrow" w:cs="ArialNarrow"/>
          <w:sz w:val="23"/>
          <w:szCs w:val="23"/>
        </w:rPr>
        <w:t>No obstante, la utilización de los términos de referencia, el solicitante deberá presentar los estudios ambientales de que trata el artículo 2.2.2.3.3.1 del Decreto 1076 de 2015, de conformidad con la Metodología General para la Presentación de Estudios Ambientales, adoptada por este Ministerio mediante la Resolución</w:t>
      </w:r>
      <w:r>
        <w:rPr>
          <w:rFonts w:ascii="Arial Narrow" w:hAnsi="Arial Narrow" w:cs="ArialNarrow"/>
          <w:sz w:val="23"/>
          <w:szCs w:val="23"/>
        </w:rPr>
        <w:t xml:space="preserve"> </w:t>
      </w:r>
      <w:r w:rsidRPr="00000031">
        <w:rPr>
          <w:rFonts w:ascii="Arial Narrow" w:hAnsi="Arial Narrow" w:cs="ArialNarrow-Italic"/>
          <w:iCs/>
          <w:sz w:val="23"/>
          <w:szCs w:val="23"/>
        </w:rPr>
        <w:t>1402 del 25 de julio de 2018, publicada en el diario oficial el 2 de agosto de 2018</w:t>
      </w:r>
      <w:r>
        <w:rPr>
          <w:rFonts w:ascii="Arial Narrow" w:hAnsi="Arial Narrow" w:cs="ArialNarrow-Italic"/>
          <w:iCs/>
          <w:sz w:val="23"/>
          <w:szCs w:val="23"/>
        </w:rPr>
        <w:t xml:space="preserve"> y modificada por la Resolución 114 del 29 de enero de 2019</w:t>
      </w:r>
      <w:r w:rsidR="00073D80">
        <w:rPr>
          <w:rFonts w:ascii="Arial Narrow" w:hAnsi="Arial Narrow" w:cs="ArialNarrow-Italic"/>
          <w:iCs/>
          <w:sz w:val="23"/>
          <w:szCs w:val="23"/>
        </w:rPr>
        <w:t>, a su vez modificada por la Resolución 1107 del 01 de agosto de 2019</w:t>
      </w:r>
      <w:r>
        <w:rPr>
          <w:rFonts w:ascii="Arial Narrow" w:hAnsi="Arial Narrow" w:cs="ArialNarrow-Italic"/>
          <w:iCs/>
          <w:sz w:val="23"/>
          <w:szCs w:val="23"/>
        </w:rPr>
        <w:t>.</w:t>
      </w:r>
    </w:p>
    <w:p w14:paraId="188DB350" w14:textId="77777777" w:rsidR="002B18C9" w:rsidRPr="002B18C9" w:rsidRDefault="002B18C9" w:rsidP="002B18C9">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t>Mediante Resolución 1255 del 30 de junio de 2006, este Ministerio estableció los términos de referencia genéricos para la elaboración del Diagnóstico Ambiental de Alternativas para proyectos puntuales, identificados con el código DA -TER-4-01.</w:t>
      </w:r>
    </w:p>
    <w:p w14:paraId="0F24C5DA" w14:textId="77777777" w:rsidR="00000031" w:rsidRDefault="00000031" w:rsidP="00000031">
      <w:pPr>
        <w:pStyle w:val="Prrafodelista"/>
        <w:numPr>
          <w:ilvl w:val="1"/>
          <w:numId w:val="10"/>
        </w:numPr>
        <w:spacing w:before="120" w:after="60"/>
        <w:ind w:left="709"/>
        <w:jc w:val="both"/>
        <w:rPr>
          <w:rFonts w:ascii="Arial Narrow" w:hAnsi="Arial Narrow" w:cs="Arial"/>
          <w:b/>
          <w:sz w:val="23"/>
          <w:szCs w:val="23"/>
        </w:rPr>
      </w:pPr>
      <w:r w:rsidRPr="00000031">
        <w:rPr>
          <w:rFonts w:ascii="Arial Narrow" w:hAnsi="Arial Narrow" w:cs="Arial"/>
          <w:b/>
          <w:sz w:val="23"/>
          <w:szCs w:val="23"/>
        </w:rPr>
        <w:t>Razones de oportunidad y conveniencia.</w:t>
      </w:r>
    </w:p>
    <w:p w14:paraId="10C7021B" w14:textId="77777777" w:rsidR="001037B8" w:rsidRPr="00000031" w:rsidRDefault="001037B8" w:rsidP="001037B8">
      <w:pPr>
        <w:pStyle w:val="Prrafodelista"/>
        <w:spacing w:before="120" w:after="60"/>
        <w:ind w:left="709"/>
        <w:jc w:val="both"/>
        <w:rPr>
          <w:rFonts w:ascii="Arial Narrow" w:hAnsi="Arial Narrow" w:cs="Arial"/>
          <w:b/>
          <w:sz w:val="23"/>
          <w:szCs w:val="23"/>
        </w:rPr>
      </w:pPr>
    </w:p>
    <w:p w14:paraId="3DA88B58" w14:textId="77777777" w:rsidR="00000031" w:rsidRPr="00000031" w:rsidRDefault="00000031" w:rsidP="00000031">
      <w:pPr>
        <w:spacing w:line="240" w:lineRule="auto"/>
        <w:jc w:val="both"/>
        <w:rPr>
          <w:rFonts w:ascii="Arial Narrow" w:hAnsi="Arial Narrow" w:cs="Arial"/>
          <w:sz w:val="23"/>
          <w:szCs w:val="23"/>
        </w:rPr>
      </w:pPr>
      <w:r w:rsidRPr="00000031">
        <w:rPr>
          <w:rFonts w:ascii="Arial Narrow" w:hAnsi="Arial Narrow" w:cs="Arial"/>
          <w:sz w:val="23"/>
          <w:szCs w:val="23"/>
        </w:rPr>
        <w:t>El artículo 2.2.2.3.3.1.del Decreto 1076 de 2015 establece respecto de la Metodología general para la presentación de estudios ambientales que los estudios ambientales – Diagnóstico Ambiental de Alternativas y Estudio de Impacto Ambiental o Plan de Manejo Ambiental cuando obre como instrumento de Manejo y Control Ambiental - deben ser presentados conforme a ésta, la cual es de obligatorio cumplimiento.</w:t>
      </w:r>
    </w:p>
    <w:p w14:paraId="05F67807" w14:textId="77777777" w:rsidR="00000031" w:rsidRDefault="00000031" w:rsidP="00000031">
      <w:pPr>
        <w:spacing w:line="240" w:lineRule="auto"/>
        <w:jc w:val="both"/>
        <w:rPr>
          <w:rFonts w:ascii="Arial Narrow" w:hAnsi="Arial Narrow" w:cs="Arial"/>
          <w:sz w:val="23"/>
          <w:szCs w:val="23"/>
        </w:rPr>
      </w:pPr>
      <w:r w:rsidRPr="00000031">
        <w:rPr>
          <w:rFonts w:ascii="Arial Narrow" w:hAnsi="Arial Narrow" w:cs="Arial"/>
          <w:sz w:val="23"/>
          <w:szCs w:val="23"/>
        </w:rPr>
        <w:t>La mencionada Metodología, fue adoptada mediante la Resolución 1503 de 2010 y posteriormente actualizada en el 2018, mediante la Resolución 1402 con el objetivo de incorporar los elementos universales que resultan comunes a todos los términos de referencia genéricos sectoriales adoptados a partir de 2014 por el Ministerio de Ambiente y Desarrollo Sostenible e introducir mejoras que hagan más claro el proceso de licenciamiento ambiental, así como los conceptos que él involucra. El alcance de la Metodología incluye todos los tipos de proyectos, obras o actividades sujetas a licencia ambiental y por tal razón es de aplicación nacional, así, el documento se constituye en el referente para todas las autoridades ambientales e interesados en solicitar una licencia ambiental en el territorio nacional.</w:t>
      </w:r>
    </w:p>
    <w:p w14:paraId="5B675BD7" w14:textId="77777777" w:rsidR="002B0AC5" w:rsidRPr="002B0AC5" w:rsidRDefault="002B0AC5" w:rsidP="00410DA3">
      <w:pPr>
        <w:spacing w:after="0" w:line="240" w:lineRule="auto"/>
        <w:jc w:val="both"/>
        <w:rPr>
          <w:rFonts w:ascii="Arial Narrow" w:hAnsi="Arial Narrow" w:cs="Arial"/>
          <w:sz w:val="23"/>
          <w:szCs w:val="23"/>
        </w:rPr>
      </w:pPr>
      <w:r w:rsidRPr="002B0AC5">
        <w:rPr>
          <w:rFonts w:ascii="Arial Narrow" w:hAnsi="Arial Narrow" w:cs="Arial"/>
          <w:sz w:val="23"/>
          <w:szCs w:val="23"/>
        </w:rPr>
        <w:t xml:space="preserve">El artículo 2.2.2.3.4.2 del Decreto 1076 de 2015 señala que: “(…) los interesados en los proyectos, obras o actividades que se describen a continuación deberán solicitar pronunciamiento a la autoridad ambiental competente sobre la necesidad de presentar el Diagnóstico Ambiental de Alternativas (DAA): </w:t>
      </w:r>
    </w:p>
    <w:p w14:paraId="273B22E5" w14:textId="77777777" w:rsidR="002B0AC5" w:rsidRPr="002B0AC5" w:rsidRDefault="002B0AC5" w:rsidP="00410DA3">
      <w:pPr>
        <w:spacing w:after="0" w:line="240" w:lineRule="auto"/>
        <w:ind w:left="708"/>
        <w:jc w:val="both"/>
        <w:rPr>
          <w:rFonts w:ascii="Arial Narrow" w:hAnsi="Arial Narrow" w:cs="Arial"/>
          <w:i/>
          <w:iCs/>
          <w:sz w:val="23"/>
          <w:szCs w:val="23"/>
        </w:rPr>
      </w:pPr>
      <w:r w:rsidRPr="002B0AC5">
        <w:rPr>
          <w:rFonts w:ascii="Arial Narrow" w:hAnsi="Arial Narrow" w:cs="Arial"/>
          <w:i/>
          <w:iCs/>
          <w:sz w:val="23"/>
          <w:szCs w:val="23"/>
        </w:rPr>
        <w:t>(…)</w:t>
      </w:r>
    </w:p>
    <w:p w14:paraId="22B6723A" w14:textId="77777777" w:rsidR="002B0AC5" w:rsidRPr="002B0AC5" w:rsidRDefault="002B0AC5" w:rsidP="00410DA3">
      <w:pPr>
        <w:spacing w:after="0" w:line="240" w:lineRule="auto"/>
        <w:ind w:left="708"/>
        <w:jc w:val="both"/>
        <w:rPr>
          <w:rFonts w:ascii="Arial Narrow" w:hAnsi="Arial Narrow" w:cs="Arial"/>
          <w:i/>
          <w:iCs/>
          <w:sz w:val="23"/>
          <w:szCs w:val="23"/>
        </w:rPr>
      </w:pPr>
    </w:p>
    <w:p w14:paraId="4C48D60A" w14:textId="77777777" w:rsidR="002B0AC5" w:rsidRPr="002B0AC5" w:rsidRDefault="002B0AC5" w:rsidP="00410DA3">
      <w:pPr>
        <w:spacing w:after="0" w:line="240" w:lineRule="auto"/>
        <w:ind w:left="708"/>
        <w:jc w:val="both"/>
        <w:rPr>
          <w:rFonts w:ascii="Arial Narrow" w:hAnsi="Arial Narrow" w:cs="Arial"/>
          <w:i/>
          <w:iCs/>
          <w:sz w:val="23"/>
          <w:szCs w:val="23"/>
        </w:rPr>
      </w:pPr>
      <w:r w:rsidRPr="002B0AC5">
        <w:rPr>
          <w:rFonts w:ascii="Arial Narrow" w:hAnsi="Arial Narrow" w:cs="Arial"/>
          <w:i/>
          <w:iCs/>
          <w:sz w:val="23"/>
          <w:szCs w:val="23"/>
        </w:rPr>
        <w:t>10. La construcción de puertos.</w:t>
      </w:r>
    </w:p>
    <w:p w14:paraId="2148159A" w14:textId="77777777" w:rsidR="002B0AC5" w:rsidRPr="002B0AC5" w:rsidRDefault="002B0AC5" w:rsidP="00410DA3">
      <w:pPr>
        <w:spacing w:after="0" w:line="240" w:lineRule="auto"/>
        <w:ind w:left="708"/>
        <w:jc w:val="both"/>
        <w:rPr>
          <w:rFonts w:ascii="Arial Narrow" w:hAnsi="Arial Narrow" w:cs="Arial"/>
          <w:sz w:val="23"/>
          <w:szCs w:val="23"/>
        </w:rPr>
      </w:pPr>
      <w:r w:rsidRPr="002B0AC5">
        <w:rPr>
          <w:rFonts w:ascii="Arial Narrow" w:hAnsi="Arial Narrow" w:cs="Arial"/>
          <w:i/>
          <w:iCs/>
          <w:sz w:val="23"/>
          <w:szCs w:val="23"/>
        </w:rPr>
        <w:t>11. La construcción de aeropuertos. (…)”</w:t>
      </w:r>
    </w:p>
    <w:p w14:paraId="657171DC" w14:textId="77777777" w:rsidR="002B0AC5" w:rsidRPr="002B0AC5" w:rsidRDefault="002B0AC5" w:rsidP="00410DA3">
      <w:pPr>
        <w:spacing w:after="0" w:line="240" w:lineRule="auto"/>
        <w:jc w:val="both"/>
        <w:rPr>
          <w:rFonts w:ascii="Arial Narrow" w:hAnsi="Arial Narrow" w:cs="Arial"/>
          <w:sz w:val="23"/>
          <w:szCs w:val="23"/>
        </w:rPr>
      </w:pPr>
    </w:p>
    <w:p w14:paraId="4C29F89C" w14:textId="77777777" w:rsidR="002B0AC5" w:rsidRDefault="002B0AC5" w:rsidP="002B0AC5">
      <w:pPr>
        <w:spacing w:line="240" w:lineRule="auto"/>
        <w:jc w:val="both"/>
        <w:rPr>
          <w:rFonts w:ascii="Arial Narrow" w:hAnsi="Arial Narrow" w:cs="Arial"/>
          <w:sz w:val="23"/>
          <w:szCs w:val="23"/>
        </w:rPr>
      </w:pPr>
      <w:r w:rsidRPr="002B0AC5">
        <w:rPr>
          <w:rFonts w:ascii="Arial Narrow" w:hAnsi="Arial Narrow" w:cs="Arial"/>
          <w:sz w:val="23"/>
          <w:szCs w:val="23"/>
        </w:rPr>
        <w:t>El Artículo 39 de la Ley 1682 de 2013 Por la cual se adoptan medidas y disposiciones para los proyectos de infraestructura de transporte y se conceden facultades extraordinarias, establece que Los proyectos de infraestructura de transporte deberán incluir la variable ambiental, en sus diferentes fases de estudios de ingeniería, prefactibilidad, factibilidad y estudios definitivos, para aplicarla en su ejecución</w:t>
      </w:r>
    </w:p>
    <w:p w14:paraId="013363E6" w14:textId="77777777" w:rsidR="00194266" w:rsidRPr="00000031" w:rsidRDefault="002B0AC5" w:rsidP="00000031">
      <w:pPr>
        <w:spacing w:line="240" w:lineRule="auto"/>
        <w:jc w:val="both"/>
        <w:rPr>
          <w:rFonts w:ascii="Arial Narrow" w:hAnsi="Arial Narrow" w:cs="Arial"/>
          <w:sz w:val="23"/>
          <w:szCs w:val="23"/>
        </w:rPr>
      </w:pPr>
      <w:r>
        <w:rPr>
          <w:rFonts w:ascii="Arial Narrow" w:hAnsi="Arial Narrow" w:cs="Arial"/>
          <w:sz w:val="23"/>
          <w:szCs w:val="23"/>
        </w:rPr>
        <w:lastRenderedPageBreak/>
        <w:t>E</w:t>
      </w:r>
      <w:r w:rsidR="00194266">
        <w:rPr>
          <w:rFonts w:ascii="Arial Narrow" w:hAnsi="Arial Narrow" w:cs="Arial"/>
          <w:sz w:val="23"/>
          <w:szCs w:val="23"/>
        </w:rPr>
        <w:t xml:space="preserve">n la mencionada ley se indicó </w:t>
      </w:r>
      <w:r w:rsidR="00410DA3">
        <w:rPr>
          <w:rFonts w:ascii="Arial Narrow" w:hAnsi="Arial Narrow" w:cs="Arial"/>
          <w:sz w:val="23"/>
          <w:szCs w:val="23"/>
        </w:rPr>
        <w:t xml:space="preserve">que </w:t>
      </w:r>
      <w:r w:rsidR="00194266">
        <w:rPr>
          <w:rFonts w:ascii="Arial Narrow" w:hAnsi="Arial Narrow" w:cs="Arial"/>
          <w:sz w:val="23"/>
          <w:szCs w:val="23"/>
        </w:rPr>
        <w:t>la fase en la cual se debe desarrollar el respectivo DAA</w:t>
      </w:r>
      <w:r w:rsidR="00431909">
        <w:rPr>
          <w:rFonts w:ascii="Arial Narrow" w:hAnsi="Arial Narrow" w:cs="Arial"/>
          <w:sz w:val="23"/>
          <w:szCs w:val="23"/>
        </w:rPr>
        <w:t xml:space="preserve"> </w:t>
      </w:r>
      <w:r w:rsidR="00194266">
        <w:rPr>
          <w:rFonts w:ascii="Arial Narrow" w:hAnsi="Arial Narrow" w:cs="Arial"/>
          <w:sz w:val="23"/>
          <w:szCs w:val="23"/>
        </w:rPr>
        <w:t>en fase de prefactibilidad.</w:t>
      </w:r>
    </w:p>
    <w:p w14:paraId="2B8C1F42" w14:textId="77777777" w:rsidR="00194266" w:rsidRPr="002B18C9" w:rsidRDefault="00194266" w:rsidP="00194266">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t xml:space="preserve">Por lo anterior, se consideró necesario modificar los términos de referencia, de manera que se ajusten a los cambios normativos que establecen las condiciones y lineamientos generales para la elaboración, presentación y evaluación del Diagnóstico Ambiental de Alternativas, de conformidad con lo establecido en el Decreto 1076 de 2015; por lo tanto, </w:t>
      </w:r>
      <w:r w:rsidR="00426A34">
        <w:rPr>
          <w:rFonts w:ascii="Arial Narrow" w:hAnsi="Arial Narrow" w:cs="ArialNarrow"/>
          <w:sz w:val="23"/>
          <w:szCs w:val="23"/>
        </w:rPr>
        <w:t>es</w:t>
      </w:r>
      <w:r w:rsidRPr="002B18C9">
        <w:rPr>
          <w:rFonts w:ascii="Arial Narrow" w:hAnsi="Arial Narrow" w:cs="ArialNarrow"/>
          <w:sz w:val="23"/>
          <w:szCs w:val="23"/>
        </w:rPr>
        <w:t xml:space="preserve"> técnicamente viable generar unos términos de referencia para cada sector, con el objetivo de incluir requerimientos específicos</w:t>
      </w:r>
      <w:r w:rsidR="00426A34">
        <w:rPr>
          <w:rFonts w:ascii="Arial Narrow" w:hAnsi="Arial Narrow" w:cs="ArialNarrow"/>
          <w:sz w:val="23"/>
          <w:szCs w:val="23"/>
        </w:rPr>
        <w:t xml:space="preserve"> debidos</w:t>
      </w:r>
      <w:r w:rsidRPr="002B18C9">
        <w:rPr>
          <w:rFonts w:ascii="Arial Narrow" w:hAnsi="Arial Narrow" w:cs="ArialNarrow"/>
          <w:sz w:val="23"/>
          <w:szCs w:val="23"/>
        </w:rPr>
        <w:t xml:space="preserve"> a las particularidades de cada proyecto; en este caso, para el sector de Infraestructura.</w:t>
      </w:r>
    </w:p>
    <w:p w14:paraId="3998035D" w14:textId="77777777" w:rsidR="00194266" w:rsidRPr="002B18C9" w:rsidRDefault="00194266" w:rsidP="00194266">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t>El proyecto normativo se elaboró con fundamento en lo establecido en el numeral 9 del artículo 19 del Decreto 3570 de 2011 que estipula como funciones de la Dirección de Asuntos Ambientales Sectorial y Urbana (DAASU), entre otras, la de: “Proponer y aplicar las metodologías y criterios técnicos para la evaluación de los estudios ambientales y para la expedición, seguimiento y monitoreo de las licencias y demás autorizaciones ambientales que se requieran de acuerdo con la ley, en coordinación con las respectivas dependencias del Ministerio”.</w:t>
      </w:r>
    </w:p>
    <w:p w14:paraId="17C5EAB4" w14:textId="1899CD4C" w:rsidR="00194266" w:rsidRDefault="00194266" w:rsidP="00194266">
      <w:pPr>
        <w:autoSpaceDE w:val="0"/>
        <w:autoSpaceDN w:val="0"/>
        <w:adjustRightInd w:val="0"/>
        <w:spacing w:line="240" w:lineRule="auto"/>
        <w:jc w:val="both"/>
        <w:rPr>
          <w:rFonts w:ascii="Arial Narrow" w:hAnsi="Arial Narrow" w:cs="ArialNarrow"/>
          <w:sz w:val="23"/>
          <w:szCs w:val="23"/>
        </w:rPr>
      </w:pPr>
      <w:r w:rsidRPr="002B18C9">
        <w:rPr>
          <w:rFonts w:ascii="Arial Narrow" w:hAnsi="Arial Narrow" w:cs="ArialNarrow"/>
          <w:sz w:val="23"/>
          <w:szCs w:val="23"/>
        </w:rPr>
        <w:t xml:space="preserve">En este sentido, se propone actualizar los términos de referencia adoptados mediante Resolución 1255 del 30 de junio de 2006, identificados con el código DA -TER-4-01, con el fin de determinar los </w:t>
      </w:r>
      <w:r w:rsidR="004C0A1C">
        <w:rPr>
          <w:rFonts w:ascii="Arial Narrow" w:hAnsi="Arial Narrow" w:cs="ArialNarrow"/>
          <w:sz w:val="23"/>
          <w:szCs w:val="23"/>
        </w:rPr>
        <w:t xml:space="preserve">requerimientos que deben cumplir </w:t>
      </w:r>
      <w:r w:rsidRPr="002B18C9">
        <w:rPr>
          <w:rFonts w:ascii="Arial Narrow" w:hAnsi="Arial Narrow" w:cs="ArialNarrow"/>
          <w:sz w:val="23"/>
          <w:szCs w:val="23"/>
        </w:rPr>
        <w:t>los usuarios para la generación, análisis y presentación de la información requerida por la autoridad ambiental para la toma de decisiones en relación con el Diagnóstico Ambiental de Alternativas para proyectos</w:t>
      </w:r>
      <w:r w:rsidRPr="001037B8">
        <w:rPr>
          <w:rFonts w:ascii="Arial Narrow" w:hAnsi="Arial Narrow" w:cs="ArialNarrow"/>
          <w:sz w:val="23"/>
          <w:szCs w:val="23"/>
        </w:rPr>
        <w:t xml:space="preserve"> puntuales de construcción y operación de infraestructura de transporte: puertos y aeropuertos</w:t>
      </w:r>
      <w:r>
        <w:rPr>
          <w:rFonts w:ascii="Arial Narrow" w:hAnsi="Arial Narrow" w:cs="ArialNarrow"/>
          <w:sz w:val="23"/>
          <w:szCs w:val="23"/>
        </w:rPr>
        <w:t>.</w:t>
      </w:r>
    </w:p>
    <w:p w14:paraId="5F65A883" w14:textId="1F1888C9" w:rsidR="00073D80" w:rsidRDefault="00073D80" w:rsidP="00194266">
      <w:pPr>
        <w:autoSpaceDE w:val="0"/>
        <w:autoSpaceDN w:val="0"/>
        <w:adjustRightInd w:val="0"/>
        <w:spacing w:line="240" w:lineRule="auto"/>
        <w:jc w:val="both"/>
        <w:rPr>
          <w:rFonts w:ascii="Arial Narrow" w:hAnsi="Arial Narrow" w:cs="ArialNarrow"/>
          <w:sz w:val="23"/>
          <w:szCs w:val="23"/>
        </w:rPr>
      </w:pPr>
      <w:r>
        <w:rPr>
          <w:rFonts w:ascii="Arial Narrow" w:hAnsi="Arial Narrow" w:cs="ArialNarrow"/>
          <w:sz w:val="23"/>
          <w:szCs w:val="23"/>
        </w:rPr>
        <w:t xml:space="preserve">En ese orden de ideas, adjunto al presente documento técnico se presentan los </w:t>
      </w:r>
      <w:r w:rsidRPr="00073D80">
        <w:rPr>
          <w:rFonts w:ascii="Arial Narrow" w:hAnsi="Arial Narrow" w:cs="ArialNarrow"/>
          <w:sz w:val="23"/>
          <w:szCs w:val="23"/>
        </w:rPr>
        <w:t>términos de referencia para la elaboración del diagnóstico ambiental de alternativas de proyectos puntuales de construcción y operación de infraestructura de transporte: puertos y aeropuertos</w:t>
      </w:r>
      <w:r>
        <w:rPr>
          <w:rFonts w:ascii="Arial Narrow" w:hAnsi="Arial Narrow" w:cs="ArialNarrow"/>
          <w:sz w:val="23"/>
          <w:szCs w:val="23"/>
        </w:rPr>
        <w:t>, actualizados conforme las directrices establecidas para la particularidad de este tipo de proyectos, el estudio que se pretende presentar y los lineamientos de la Metodología General para la elaboración y presentación de estudios ambientales, en un documento de 46 folios, el cual será sometido a consulta pública.</w:t>
      </w:r>
    </w:p>
    <w:p w14:paraId="1EC9CA5E" w14:textId="77777777" w:rsidR="00000031" w:rsidRPr="00000031" w:rsidRDefault="00000031" w:rsidP="00000031">
      <w:pPr>
        <w:pStyle w:val="Prrafodelista"/>
        <w:numPr>
          <w:ilvl w:val="0"/>
          <w:numId w:val="10"/>
        </w:numPr>
        <w:spacing w:before="120" w:after="60"/>
        <w:ind w:left="284" w:hanging="284"/>
        <w:contextualSpacing w:val="0"/>
        <w:jc w:val="both"/>
        <w:rPr>
          <w:rFonts w:ascii="Arial Narrow" w:hAnsi="Arial Narrow" w:cs="Arial"/>
          <w:b/>
          <w:sz w:val="23"/>
          <w:szCs w:val="23"/>
        </w:rPr>
      </w:pPr>
      <w:r w:rsidRPr="00000031">
        <w:rPr>
          <w:rFonts w:ascii="Arial Narrow" w:hAnsi="Arial Narrow" w:cs="Arial"/>
          <w:b/>
          <w:sz w:val="23"/>
          <w:szCs w:val="23"/>
        </w:rPr>
        <w:t>ÁMBITO DE APLICACIÓN Y SUJETOS A LA QUE VA DIRIGIDA</w:t>
      </w:r>
    </w:p>
    <w:p w14:paraId="3E653CDC" w14:textId="77777777" w:rsidR="002B0AC5" w:rsidRDefault="002B0AC5" w:rsidP="00000031">
      <w:pPr>
        <w:pStyle w:val="Prrafodelista"/>
        <w:tabs>
          <w:tab w:val="right" w:pos="8789"/>
        </w:tabs>
        <w:ind w:left="0"/>
        <w:jc w:val="both"/>
        <w:rPr>
          <w:rFonts w:ascii="Arial Narrow" w:hAnsi="Arial Narrow" w:cs="Arial"/>
          <w:sz w:val="23"/>
          <w:szCs w:val="23"/>
        </w:rPr>
      </w:pPr>
    </w:p>
    <w:p w14:paraId="4CDC8D0D" w14:textId="77777777" w:rsidR="002B0AC5" w:rsidRDefault="00D76517" w:rsidP="00000031">
      <w:pPr>
        <w:pStyle w:val="Prrafodelista"/>
        <w:tabs>
          <w:tab w:val="right" w:pos="8789"/>
        </w:tabs>
        <w:ind w:left="0"/>
        <w:jc w:val="both"/>
        <w:rPr>
          <w:rFonts w:ascii="Arial Narrow" w:hAnsi="Arial Narrow" w:cs="Arial"/>
          <w:sz w:val="23"/>
          <w:szCs w:val="23"/>
        </w:rPr>
      </w:pPr>
      <w:r w:rsidRPr="00D76517">
        <w:rPr>
          <w:rFonts w:ascii="Arial Narrow" w:hAnsi="Arial Narrow" w:cs="Arial"/>
          <w:sz w:val="23"/>
          <w:szCs w:val="23"/>
        </w:rPr>
        <w:t>Los sujetos procesales son todas las autoridades ambientales y l</w:t>
      </w:r>
      <w:r w:rsidR="00196A77">
        <w:rPr>
          <w:rFonts w:ascii="Arial Narrow" w:hAnsi="Arial Narrow" w:cs="Arial"/>
          <w:sz w:val="23"/>
          <w:szCs w:val="23"/>
        </w:rPr>
        <w:t>os usuarios que deban presentar el Diagnóstico Ambiental de Alternativas</w:t>
      </w:r>
      <w:r w:rsidRPr="00D76517">
        <w:rPr>
          <w:rFonts w:ascii="Arial Narrow" w:hAnsi="Arial Narrow" w:cs="Arial"/>
          <w:sz w:val="23"/>
          <w:szCs w:val="23"/>
        </w:rPr>
        <w:t xml:space="preserve">, </w:t>
      </w:r>
      <w:r w:rsidR="00C7431B">
        <w:rPr>
          <w:rFonts w:ascii="Arial Narrow" w:hAnsi="Arial Narrow" w:cs="Arial"/>
          <w:sz w:val="23"/>
          <w:szCs w:val="23"/>
        </w:rPr>
        <w:t>de conformidad con lo establecido en el Decreto 1076 de 2015.</w:t>
      </w:r>
    </w:p>
    <w:p w14:paraId="441C105A" w14:textId="77777777" w:rsidR="00D76517" w:rsidRPr="00000031" w:rsidRDefault="00D76517" w:rsidP="00000031">
      <w:pPr>
        <w:pStyle w:val="Prrafodelista"/>
        <w:tabs>
          <w:tab w:val="right" w:pos="8789"/>
        </w:tabs>
        <w:ind w:left="0"/>
        <w:jc w:val="both"/>
        <w:rPr>
          <w:rFonts w:ascii="Arial Narrow" w:hAnsi="Arial Narrow" w:cs="Arial Narrow"/>
          <w:sz w:val="23"/>
          <w:szCs w:val="23"/>
        </w:rPr>
      </w:pPr>
    </w:p>
    <w:p w14:paraId="03AC245E" w14:textId="77777777" w:rsidR="00000031" w:rsidRDefault="00000031" w:rsidP="00000031">
      <w:pPr>
        <w:pStyle w:val="Prrafodelista"/>
        <w:numPr>
          <w:ilvl w:val="1"/>
          <w:numId w:val="10"/>
        </w:numPr>
        <w:autoSpaceDE w:val="0"/>
        <w:spacing w:before="120" w:after="60"/>
        <w:ind w:left="567"/>
        <w:jc w:val="both"/>
        <w:rPr>
          <w:rFonts w:ascii="Arial Narrow" w:hAnsi="Arial Narrow" w:cs="Arial"/>
          <w:b/>
          <w:sz w:val="23"/>
          <w:szCs w:val="23"/>
        </w:rPr>
      </w:pPr>
      <w:r w:rsidRPr="00000031">
        <w:rPr>
          <w:rFonts w:ascii="Arial Narrow" w:hAnsi="Arial Narrow" w:cs="Arial"/>
          <w:b/>
          <w:sz w:val="23"/>
          <w:szCs w:val="23"/>
        </w:rPr>
        <w:t>La vigencia de la Ley o norma reglamentada o desarrollada.</w:t>
      </w:r>
    </w:p>
    <w:p w14:paraId="7DFBCB30" w14:textId="77777777" w:rsidR="00FE2F68" w:rsidRPr="00FE2F68" w:rsidRDefault="00FE2F68" w:rsidP="002C1491">
      <w:pPr>
        <w:autoSpaceDE w:val="0"/>
        <w:spacing w:after="0"/>
        <w:ind w:left="207"/>
        <w:jc w:val="both"/>
        <w:rPr>
          <w:rFonts w:ascii="Arial Narrow" w:hAnsi="Arial Narrow" w:cs="Arial"/>
          <w:b/>
          <w:sz w:val="23"/>
          <w:szCs w:val="23"/>
        </w:rPr>
      </w:pPr>
    </w:p>
    <w:p w14:paraId="3FAEF49D" w14:textId="77777777" w:rsidR="003B277E" w:rsidRDefault="003B277E" w:rsidP="002C1491">
      <w:pPr>
        <w:autoSpaceDE w:val="0"/>
        <w:spacing w:after="0" w:line="240" w:lineRule="auto"/>
        <w:jc w:val="both"/>
        <w:rPr>
          <w:rFonts w:ascii="Arial Narrow" w:hAnsi="Arial Narrow" w:cs="Arial"/>
          <w:sz w:val="23"/>
          <w:szCs w:val="23"/>
        </w:rPr>
      </w:pPr>
      <w:r>
        <w:rPr>
          <w:rFonts w:ascii="Arial Narrow" w:hAnsi="Arial Narrow" w:cs="Arial"/>
          <w:sz w:val="23"/>
          <w:szCs w:val="23"/>
        </w:rPr>
        <w:t>La actualización de los términos de referencia para la elaboración del Diagnóstico Ambiental de Alternativas</w:t>
      </w:r>
      <w:r w:rsidR="00FE2F68">
        <w:rPr>
          <w:rFonts w:ascii="Arial Narrow" w:hAnsi="Arial Narrow" w:cs="Arial"/>
          <w:sz w:val="23"/>
          <w:szCs w:val="23"/>
        </w:rPr>
        <w:t xml:space="preserve"> se desarrolla con fundamento en la normativa que a continuación se relaciona.</w:t>
      </w:r>
    </w:p>
    <w:p w14:paraId="35EAEE66" w14:textId="77777777" w:rsidR="00FE2F68" w:rsidRPr="003B277E" w:rsidRDefault="00FE2F68" w:rsidP="002C1491">
      <w:pPr>
        <w:autoSpaceDE w:val="0"/>
        <w:spacing w:after="0" w:line="240" w:lineRule="auto"/>
        <w:jc w:val="both"/>
        <w:rPr>
          <w:rFonts w:ascii="Arial Narrow" w:hAnsi="Arial Narrow" w:cs="Arial"/>
          <w:sz w:val="23"/>
          <w:szCs w:val="23"/>
        </w:rPr>
      </w:pPr>
    </w:p>
    <w:tbl>
      <w:tblPr>
        <w:tblStyle w:val="Tablaconcuadrcula"/>
        <w:tblW w:w="0" w:type="auto"/>
        <w:tblInd w:w="-5" w:type="dxa"/>
        <w:tblLook w:val="04A0" w:firstRow="1" w:lastRow="0" w:firstColumn="1" w:lastColumn="0" w:noHBand="0" w:noVBand="1"/>
      </w:tblPr>
      <w:tblGrid>
        <w:gridCol w:w="6926"/>
        <w:gridCol w:w="1907"/>
      </w:tblGrid>
      <w:tr w:rsidR="00000031" w:rsidRPr="00E85E52" w14:paraId="26C55726" w14:textId="77777777" w:rsidTr="006F5F29">
        <w:trPr>
          <w:trHeight w:val="75"/>
          <w:tblHeader/>
        </w:trPr>
        <w:tc>
          <w:tcPr>
            <w:tcW w:w="6926" w:type="dxa"/>
            <w:vAlign w:val="bottom"/>
          </w:tcPr>
          <w:p w14:paraId="10C87DD9" w14:textId="77777777" w:rsidR="00000031" w:rsidRPr="00E85E52" w:rsidRDefault="00000031" w:rsidP="001D6694">
            <w:pPr>
              <w:pStyle w:val="Prrafodelista"/>
              <w:autoSpaceDE w:val="0"/>
              <w:spacing w:before="120" w:after="60"/>
              <w:ind w:left="0"/>
              <w:jc w:val="center"/>
              <w:rPr>
                <w:rFonts w:ascii="Arial Narrow" w:hAnsi="Arial Narrow" w:cs="Arial"/>
                <w:b/>
                <w:sz w:val="20"/>
                <w:szCs w:val="20"/>
              </w:rPr>
            </w:pPr>
            <w:r w:rsidRPr="00E85E52">
              <w:rPr>
                <w:rFonts w:ascii="Arial Narrow" w:hAnsi="Arial Narrow" w:cs="Arial"/>
                <w:b/>
                <w:sz w:val="20"/>
                <w:szCs w:val="20"/>
              </w:rPr>
              <w:lastRenderedPageBreak/>
              <w:t>Norma</w:t>
            </w:r>
          </w:p>
        </w:tc>
        <w:tc>
          <w:tcPr>
            <w:tcW w:w="1907" w:type="dxa"/>
            <w:vAlign w:val="bottom"/>
          </w:tcPr>
          <w:p w14:paraId="7690A98C" w14:textId="77777777" w:rsidR="00000031" w:rsidRPr="00E85E52" w:rsidRDefault="00000031" w:rsidP="00434CC6">
            <w:pPr>
              <w:pStyle w:val="Prrafodelista"/>
              <w:autoSpaceDE w:val="0"/>
              <w:spacing w:before="120" w:after="60"/>
              <w:ind w:left="0"/>
              <w:jc w:val="center"/>
              <w:rPr>
                <w:rFonts w:ascii="Arial Narrow" w:hAnsi="Arial Narrow" w:cs="Arial"/>
                <w:b/>
                <w:sz w:val="20"/>
                <w:szCs w:val="20"/>
              </w:rPr>
            </w:pPr>
            <w:r w:rsidRPr="00E85E52">
              <w:rPr>
                <w:rFonts w:ascii="Arial Narrow" w:hAnsi="Arial Narrow" w:cs="Arial"/>
                <w:b/>
                <w:sz w:val="20"/>
                <w:szCs w:val="20"/>
              </w:rPr>
              <w:t>Estado de vigencia</w:t>
            </w:r>
          </w:p>
        </w:tc>
      </w:tr>
      <w:tr w:rsidR="00000031" w:rsidRPr="00E85E52" w14:paraId="2FCB53EF" w14:textId="77777777" w:rsidTr="006F5F29">
        <w:tc>
          <w:tcPr>
            <w:tcW w:w="6926" w:type="dxa"/>
            <w:vAlign w:val="center"/>
          </w:tcPr>
          <w:p w14:paraId="7BAD06DF" w14:textId="77777777" w:rsidR="00000031" w:rsidRPr="00E85E52" w:rsidRDefault="00000031" w:rsidP="00434CC6">
            <w:pPr>
              <w:pStyle w:val="Prrafodelista"/>
              <w:autoSpaceDE w:val="0"/>
              <w:spacing w:before="120" w:after="60"/>
              <w:ind w:left="0"/>
              <w:jc w:val="both"/>
              <w:rPr>
                <w:rFonts w:ascii="Arial Narrow" w:hAnsi="Arial Narrow" w:cs="Arial"/>
                <w:sz w:val="20"/>
                <w:szCs w:val="20"/>
              </w:rPr>
            </w:pPr>
            <w:r w:rsidRPr="00E85E52">
              <w:rPr>
                <w:rFonts w:ascii="Arial Narrow" w:hAnsi="Arial Narrow" w:cs="Arial"/>
                <w:sz w:val="20"/>
                <w:szCs w:val="20"/>
              </w:rPr>
              <w:t>Ley 99 de 1993 – “Por la cual se crea el Ministerio del Medio Ambiente, se reordena el Sector Público encargado de la gestión y conservación del medio ambiente y los recursos naturales renovables, se organiza el Sistema Nacional Ambiental, SINA…</w:t>
            </w:r>
            <w:r w:rsidRPr="00E85E52">
              <w:rPr>
                <w:rFonts w:ascii="Arial Narrow" w:hAnsi="Arial Narrow" w:cs="Arial"/>
                <w:i/>
                <w:sz w:val="20"/>
                <w:szCs w:val="20"/>
              </w:rPr>
              <w:t>”</w:t>
            </w:r>
          </w:p>
        </w:tc>
        <w:tc>
          <w:tcPr>
            <w:tcW w:w="1907" w:type="dxa"/>
            <w:vAlign w:val="center"/>
          </w:tcPr>
          <w:p w14:paraId="37ED9073" w14:textId="77777777" w:rsidR="00000031" w:rsidRPr="00E85E52" w:rsidRDefault="00000031" w:rsidP="00434CC6">
            <w:pPr>
              <w:pStyle w:val="Prrafodelista"/>
              <w:autoSpaceDE w:val="0"/>
              <w:spacing w:before="120" w:after="60"/>
              <w:ind w:left="0"/>
              <w:jc w:val="center"/>
              <w:rPr>
                <w:rFonts w:ascii="Arial Narrow" w:hAnsi="Arial Narrow" w:cs="Arial"/>
                <w:sz w:val="20"/>
                <w:szCs w:val="20"/>
              </w:rPr>
            </w:pPr>
            <w:r w:rsidRPr="00E85E52">
              <w:rPr>
                <w:rFonts w:ascii="Arial Narrow" w:hAnsi="Arial Narrow" w:cs="Arial"/>
                <w:sz w:val="20"/>
                <w:szCs w:val="20"/>
              </w:rPr>
              <w:t>Vigente</w:t>
            </w:r>
          </w:p>
        </w:tc>
      </w:tr>
      <w:tr w:rsidR="006F5F29" w:rsidRPr="00E85E52" w14:paraId="4B69B7D5" w14:textId="77777777" w:rsidTr="006F5F29">
        <w:tc>
          <w:tcPr>
            <w:tcW w:w="6926" w:type="dxa"/>
          </w:tcPr>
          <w:p w14:paraId="265FCE98" w14:textId="77777777" w:rsidR="00000031" w:rsidRPr="00E85E52" w:rsidRDefault="00000031" w:rsidP="00434CC6">
            <w:pPr>
              <w:pStyle w:val="Prrafodelista"/>
              <w:autoSpaceDE w:val="0"/>
              <w:spacing w:before="120" w:after="60"/>
              <w:ind w:left="0"/>
              <w:jc w:val="both"/>
              <w:rPr>
                <w:rFonts w:ascii="Arial Narrow" w:hAnsi="Arial Narrow" w:cs="Arial"/>
                <w:sz w:val="20"/>
                <w:szCs w:val="20"/>
              </w:rPr>
            </w:pPr>
            <w:r w:rsidRPr="00E85E52">
              <w:rPr>
                <w:rFonts w:ascii="Arial Narrow" w:hAnsi="Arial Narrow" w:cs="Arial"/>
                <w:sz w:val="20"/>
                <w:szCs w:val="20"/>
              </w:rPr>
              <w:t>Decreto 1076 de 2015 – “Por medio del cual se expide el Decreto Único del Sector Ambiente y Desarrollo Sostenible – disposiciones relativas al licenciamiento ambiental…”</w:t>
            </w:r>
          </w:p>
        </w:tc>
        <w:tc>
          <w:tcPr>
            <w:tcW w:w="1907" w:type="dxa"/>
            <w:vAlign w:val="center"/>
          </w:tcPr>
          <w:p w14:paraId="44855DBB" w14:textId="77777777" w:rsidR="00000031" w:rsidRPr="00E85E52" w:rsidRDefault="00000031" w:rsidP="00434CC6">
            <w:pPr>
              <w:pStyle w:val="Prrafodelista"/>
              <w:autoSpaceDE w:val="0"/>
              <w:spacing w:before="120" w:after="60"/>
              <w:ind w:left="0"/>
              <w:jc w:val="center"/>
              <w:rPr>
                <w:rFonts w:ascii="Arial Narrow" w:hAnsi="Arial Narrow" w:cs="Arial"/>
                <w:sz w:val="20"/>
                <w:szCs w:val="20"/>
              </w:rPr>
            </w:pPr>
            <w:r w:rsidRPr="00E85E52">
              <w:rPr>
                <w:rFonts w:ascii="Arial Narrow" w:hAnsi="Arial Narrow" w:cs="Arial"/>
                <w:sz w:val="20"/>
                <w:szCs w:val="20"/>
              </w:rPr>
              <w:t>Vigente</w:t>
            </w:r>
          </w:p>
        </w:tc>
      </w:tr>
      <w:tr w:rsidR="006F5F29" w:rsidRPr="00E85E52" w14:paraId="55353039" w14:textId="77777777" w:rsidTr="006F5F29">
        <w:tc>
          <w:tcPr>
            <w:tcW w:w="6926" w:type="dxa"/>
          </w:tcPr>
          <w:p w14:paraId="31BE4B9C" w14:textId="77777777" w:rsidR="00000031" w:rsidRPr="00E85E52" w:rsidRDefault="00000031" w:rsidP="00434CC6">
            <w:pPr>
              <w:pStyle w:val="Prrafodelista"/>
              <w:autoSpaceDE w:val="0"/>
              <w:spacing w:before="120" w:after="60"/>
              <w:ind w:left="0"/>
              <w:jc w:val="both"/>
              <w:rPr>
                <w:rFonts w:ascii="Arial Narrow" w:hAnsi="Arial Narrow" w:cs="Arial"/>
                <w:sz w:val="20"/>
                <w:szCs w:val="20"/>
              </w:rPr>
            </w:pPr>
            <w:r w:rsidRPr="00E85E52">
              <w:rPr>
                <w:rFonts w:ascii="Arial Narrow" w:hAnsi="Arial Narrow" w:cs="Arial"/>
                <w:sz w:val="20"/>
                <w:szCs w:val="20"/>
              </w:rPr>
              <w:t xml:space="preserve">Decreto 3570 de 2001 - </w:t>
            </w:r>
            <w:r w:rsidRPr="00E85E52">
              <w:rPr>
                <w:sz w:val="20"/>
              </w:rPr>
              <w:t>"</w:t>
            </w:r>
            <w:r w:rsidRPr="00E85E52">
              <w:rPr>
                <w:rFonts w:ascii="Arial Narrow" w:hAnsi="Arial Narrow" w:cs="Arial"/>
                <w:sz w:val="20"/>
                <w:szCs w:val="20"/>
              </w:rPr>
              <w:t>Por el cual se modifican los objetivos y la estructura del Ministerio de Ambiente y Desarrollo Sostenible y se integra el Sector Administrativo de Ambiente y Desarrollo Sostenible...”</w:t>
            </w:r>
          </w:p>
        </w:tc>
        <w:tc>
          <w:tcPr>
            <w:tcW w:w="1907" w:type="dxa"/>
            <w:vAlign w:val="center"/>
          </w:tcPr>
          <w:p w14:paraId="6C67625B" w14:textId="77777777" w:rsidR="00000031" w:rsidRPr="00E85E52" w:rsidRDefault="00000031" w:rsidP="00434CC6">
            <w:pPr>
              <w:pStyle w:val="Prrafodelista"/>
              <w:autoSpaceDE w:val="0"/>
              <w:spacing w:before="120" w:after="60"/>
              <w:ind w:left="0"/>
              <w:jc w:val="center"/>
              <w:rPr>
                <w:rFonts w:ascii="Arial Narrow" w:hAnsi="Arial Narrow" w:cs="Arial"/>
                <w:sz w:val="20"/>
                <w:szCs w:val="20"/>
              </w:rPr>
            </w:pPr>
            <w:r w:rsidRPr="00E85E52">
              <w:rPr>
                <w:rFonts w:ascii="Arial Narrow" w:hAnsi="Arial Narrow" w:cs="Arial"/>
                <w:sz w:val="20"/>
                <w:szCs w:val="20"/>
              </w:rPr>
              <w:t>Vigente</w:t>
            </w:r>
          </w:p>
        </w:tc>
      </w:tr>
      <w:tr w:rsidR="006F5F29" w:rsidRPr="00E85E52" w14:paraId="6AB4AC84" w14:textId="77777777" w:rsidTr="006F5F29">
        <w:tc>
          <w:tcPr>
            <w:tcW w:w="6926" w:type="dxa"/>
          </w:tcPr>
          <w:p w14:paraId="7487DB96" w14:textId="77777777" w:rsidR="00000031" w:rsidRPr="00E85E52" w:rsidRDefault="00000031" w:rsidP="00434CC6">
            <w:pPr>
              <w:pStyle w:val="Prrafodelista"/>
              <w:autoSpaceDE w:val="0"/>
              <w:spacing w:before="120" w:after="60"/>
              <w:ind w:left="0"/>
              <w:jc w:val="both"/>
              <w:rPr>
                <w:rFonts w:ascii="Arial Narrow" w:hAnsi="Arial Narrow" w:cs="Arial"/>
                <w:sz w:val="20"/>
                <w:szCs w:val="20"/>
              </w:rPr>
            </w:pPr>
            <w:r w:rsidRPr="00E85E52">
              <w:rPr>
                <w:rFonts w:ascii="Arial Narrow" w:hAnsi="Arial Narrow" w:cs="Arial"/>
                <w:sz w:val="20"/>
                <w:szCs w:val="20"/>
              </w:rPr>
              <w:t>Decreto 3573 de 2011 – “Por el cual se crea' la Autoridad Nacional de Licencias Ambientales -ANLA-…”</w:t>
            </w:r>
          </w:p>
        </w:tc>
        <w:tc>
          <w:tcPr>
            <w:tcW w:w="1907" w:type="dxa"/>
            <w:vAlign w:val="center"/>
          </w:tcPr>
          <w:p w14:paraId="1B000461" w14:textId="77777777" w:rsidR="00000031" w:rsidRPr="00E85E52" w:rsidRDefault="00000031" w:rsidP="00434CC6">
            <w:pPr>
              <w:pStyle w:val="Prrafodelista"/>
              <w:autoSpaceDE w:val="0"/>
              <w:spacing w:before="120" w:after="60"/>
              <w:ind w:left="0"/>
              <w:jc w:val="center"/>
              <w:rPr>
                <w:rFonts w:ascii="Arial Narrow" w:hAnsi="Arial Narrow" w:cs="Arial"/>
                <w:sz w:val="20"/>
                <w:szCs w:val="20"/>
              </w:rPr>
            </w:pPr>
            <w:r w:rsidRPr="00E85E52">
              <w:rPr>
                <w:rFonts w:ascii="Arial Narrow" w:hAnsi="Arial Narrow" w:cs="Arial"/>
                <w:sz w:val="20"/>
                <w:szCs w:val="20"/>
              </w:rPr>
              <w:t>Vigente</w:t>
            </w:r>
          </w:p>
        </w:tc>
      </w:tr>
      <w:tr w:rsidR="00E2642F" w:rsidRPr="00E85E52" w14:paraId="17E71BD2" w14:textId="77777777" w:rsidTr="006F5F29">
        <w:tc>
          <w:tcPr>
            <w:tcW w:w="6926" w:type="dxa"/>
          </w:tcPr>
          <w:p w14:paraId="304B3565" w14:textId="77777777" w:rsidR="00E2642F" w:rsidRPr="00E85E52" w:rsidRDefault="00E2642F" w:rsidP="00434CC6">
            <w:pPr>
              <w:pStyle w:val="Prrafodelista"/>
              <w:autoSpaceDE w:val="0"/>
              <w:spacing w:before="120" w:after="60"/>
              <w:ind w:left="0"/>
              <w:jc w:val="both"/>
              <w:rPr>
                <w:rFonts w:ascii="Arial Narrow" w:hAnsi="Arial Narrow" w:cs="Arial"/>
                <w:sz w:val="20"/>
                <w:szCs w:val="20"/>
              </w:rPr>
            </w:pPr>
            <w:r w:rsidRPr="00E2642F">
              <w:rPr>
                <w:rFonts w:ascii="Arial Narrow" w:hAnsi="Arial Narrow" w:cs="Arial"/>
                <w:sz w:val="20"/>
                <w:szCs w:val="20"/>
              </w:rPr>
              <w:t>Ley 1682 de 2013 Por la cual se adoptan medidas y disposiciones para los proyectos de infraestructura de transporte y se conceden facultades extraordinarias</w:t>
            </w:r>
            <w:r>
              <w:rPr>
                <w:rFonts w:ascii="Arial Narrow" w:hAnsi="Arial Narrow" w:cs="Arial"/>
                <w:sz w:val="20"/>
                <w:szCs w:val="20"/>
              </w:rPr>
              <w:t>.</w:t>
            </w:r>
          </w:p>
        </w:tc>
        <w:tc>
          <w:tcPr>
            <w:tcW w:w="1907" w:type="dxa"/>
            <w:vAlign w:val="center"/>
          </w:tcPr>
          <w:p w14:paraId="504C3DAE" w14:textId="77777777" w:rsidR="00E2642F" w:rsidRPr="00E85E52" w:rsidRDefault="00E2642F" w:rsidP="00434CC6">
            <w:pPr>
              <w:pStyle w:val="Prrafodelista"/>
              <w:autoSpaceDE w:val="0"/>
              <w:spacing w:before="120" w:after="60"/>
              <w:ind w:left="0"/>
              <w:jc w:val="center"/>
              <w:rPr>
                <w:rFonts w:ascii="Arial Narrow" w:hAnsi="Arial Narrow" w:cs="Arial"/>
                <w:sz w:val="20"/>
                <w:szCs w:val="20"/>
              </w:rPr>
            </w:pPr>
            <w:r>
              <w:rPr>
                <w:rFonts w:ascii="Arial Narrow" w:hAnsi="Arial Narrow" w:cs="Arial"/>
                <w:sz w:val="20"/>
                <w:szCs w:val="20"/>
              </w:rPr>
              <w:t>Vigente</w:t>
            </w:r>
          </w:p>
        </w:tc>
      </w:tr>
      <w:tr w:rsidR="00000031" w:rsidRPr="00E85E52" w14:paraId="1D95F178" w14:textId="77777777" w:rsidTr="006F5F29">
        <w:tc>
          <w:tcPr>
            <w:tcW w:w="6926" w:type="dxa"/>
          </w:tcPr>
          <w:p w14:paraId="18231870" w14:textId="1CC162DA" w:rsidR="00000031" w:rsidRPr="00E85E52" w:rsidRDefault="00000031" w:rsidP="00434CC6">
            <w:pPr>
              <w:pStyle w:val="Prrafodelista"/>
              <w:autoSpaceDE w:val="0"/>
              <w:spacing w:before="120" w:after="60"/>
              <w:ind w:left="0"/>
              <w:jc w:val="both"/>
              <w:rPr>
                <w:rFonts w:ascii="Arial Narrow" w:hAnsi="Arial Narrow" w:cs="Arial"/>
                <w:sz w:val="20"/>
                <w:szCs w:val="20"/>
              </w:rPr>
            </w:pPr>
            <w:r w:rsidRPr="00E85E52">
              <w:rPr>
                <w:rFonts w:ascii="Arial Narrow" w:hAnsi="Arial Narrow" w:cs="Arial"/>
                <w:sz w:val="20"/>
                <w:szCs w:val="20"/>
              </w:rPr>
              <w:t>Resolución 1402 de 2018 – “Por la cual se adopta la Metodología General para la Elaboración y Presentación de Estudios Ambientales y se adoptan otras disposiciones”</w:t>
            </w:r>
            <w:r w:rsidR="002B0AC5">
              <w:rPr>
                <w:rFonts w:ascii="Arial Narrow" w:hAnsi="Arial Narrow" w:cs="Arial"/>
                <w:sz w:val="20"/>
                <w:szCs w:val="20"/>
              </w:rPr>
              <w:t>, modificada por la Resolución 114 de enero de 2019</w:t>
            </w:r>
            <w:r w:rsidR="004C1CC3">
              <w:rPr>
                <w:rFonts w:ascii="Arial Narrow" w:hAnsi="Arial Narrow" w:cs="Arial"/>
                <w:sz w:val="20"/>
                <w:szCs w:val="20"/>
              </w:rPr>
              <w:t xml:space="preserve"> y a su vez modificada por la Resolución 1107 del 01 de agosto 2019.</w:t>
            </w:r>
          </w:p>
        </w:tc>
        <w:tc>
          <w:tcPr>
            <w:tcW w:w="1907" w:type="dxa"/>
            <w:vAlign w:val="center"/>
          </w:tcPr>
          <w:p w14:paraId="156D4FAA" w14:textId="2EFDA0C5" w:rsidR="00000031" w:rsidRPr="00E85E52" w:rsidRDefault="002B0AC5" w:rsidP="00434CC6">
            <w:pPr>
              <w:pStyle w:val="Prrafodelista"/>
              <w:autoSpaceDE w:val="0"/>
              <w:spacing w:before="120" w:after="60"/>
              <w:ind w:left="0"/>
              <w:jc w:val="center"/>
              <w:rPr>
                <w:rFonts w:ascii="Arial Narrow" w:hAnsi="Arial Narrow" w:cs="Arial"/>
                <w:sz w:val="20"/>
                <w:szCs w:val="20"/>
              </w:rPr>
            </w:pPr>
            <w:r>
              <w:rPr>
                <w:rFonts w:ascii="Arial Narrow" w:hAnsi="Arial Narrow" w:cs="Arial"/>
                <w:sz w:val="20"/>
                <w:szCs w:val="20"/>
              </w:rPr>
              <w:t>Vigencia a partir del 2 de agosto de 20</w:t>
            </w:r>
            <w:r w:rsidR="004C1CC3">
              <w:rPr>
                <w:rFonts w:ascii="Arial Narrow" w:hAnsi="Arial Narrow" w:cs="Arial"/>
                <w:sz w:val="20"/>
                <w:szCs w:val="20"/>
              </w:rPr>
              <w:t>20</w:t>
            </w:r>
          </w:p>
        </w:tc>
      </w:tr>
    </w:tbl>
    <w:p w14:paraId="1C5D51BA" w14:textId="77777777" w:rsidR="00000031" w:rsidRPr="00656668" w:rsidRDefault="00000031" w:rsidP="00000031">
      <w:pPr>
        <w:autoSpaceDE w:val="0"/>
        <w:ind w:left="709" w:hanging="425"/>
        <w:jc w:val="both"/>
        <w:rPr>
          <w:rFonts w:ascii="Arial Narrow" w:hAnsi="Arial Narrow" w:cs="Arial"/>
          <w:szCs w:val="20"/>
        </w:rPr>
      </w:pPr>
    </w:p>
    <w:p w14:paraId="43150AD6" w14:textId="77777777" w:rsidR="00000031" w:rsidRPr="002B0AC5" w:rsidRDefault="00000031" w:rsidP="00000031">
      <w:pPr>
        <w:pStyle w:val="Prrafodelista"/>
        <w:numPr>
          <w:ilvl w:val="1"/>
          <w:numId w:val="10"/>
        </w:numPr>
        <w:autoSpaceDE w:val="0"/>
        <w:ind w:left="567"/>
        <w:jc w:val="both"/>
        <w:rPr>
          <w:sz w:val="23"/>
          <w:szCs w:val="23"/>
        </w:rPr>
      </w:pPr>
      <w:r w:rsidRPr="00000031">
        <w:rPr>
          <w:rFonts w:ascii="Arial Narrow" w:hAnsi="Arial Narrow" w:cs="Arial"/>
          <w:b/>
          <w:sz w:val="23"/>
          <w:szCs w:val="23"/>
        </w:rPr>
        <w:t>Las disposiciones derogadas, subrogadas, modificadas, adicionadas o sustituidas con la expedición de la resolución</w:t>
      </w:r>
      <w:r w:rsidRPr="00000031">
        <w:rPr>
          <w:sz w:val="23"/>
          <w:szCs w:val="23"/>
        </w:rPr>
        <w:t>.</w:t>
      </w:r>
      <w:r w:rsidRPr="00000031">
        <w:rPr>
          <w:b/>
          <w:sz w:val="23"/>
          <w:szCs w:val="23"/>
        </w:rPr>
        <w:t> </w:t>
      </w:r>
    </w:p>
    <w:p w14:paraId="194D8B69" w14:textId="77777777" w:rsidR="002B0AC5" w:rsidRPr="00000031" w:rsidRDefault="002B0AC5" w:rsidP="002B0AC5">
      <w:pPr>
        <w:pStyle w:val="Prrafodelista"/>
        <w:autoSpaceDE w:val="0"/>
        <w:ind w:left="567"/>
        <w:jc w:val="both"/>
        <w:rPr>
          <w:sz w:val="23"/>
          <w:szCs w:val="23"/>
        </w:rPr>
      </w:pPr>
    </w:p>
    <w:p w14:paraId="4EEA028D" w14:textId="77777777" w:rsidR="00000031" w:rsidRPr="00000031" w:rsidRDefault="00000031" w:rsidP="00000031">
      <w:pPr>
        <w:pStyle w:val="Prrafodelista"/>
        <w:autoSpaceDE w:val="0"/>
        <w:ind w:left="0"/>
        <w:jc w:val="both"/>
        <w:rPr>
          <w:rFonts w:ascii="Arial Narrow" w:hAnsi="Arial Narrow" w:cs="Arial"/>
          <w:sz w:val="23"/>
          <w:szCs w:val="23"/>
        </w:rPr>
      </w:pPr>
      <w:r w:rsidRPr="00000031">
        <w:rPr>
          <w:rFonts w:ascii="Arial Narrow" w:hAnsi="Arial Narrow" w:cs="Arial"/>
          <w:sz w:val="23"/>
          <w:szCs w:val="23"/>
        </w:rPr>
        <w:t xml:space="preserve">La resolución que se </w:t>
      </w:r>
      <w:r w:rsidR="00D76517" w:rsidRPr="00000031">
        <w:rPr>
          <w:rFonts w:ascii="Arial Narrow" w:hAnsi="Arial Narrow" w:cs="Arial"/>
          <w:sz w:val="23"/>
          <w:szCs w:val="23"/>
        </w:rPr>
        <w:t>propone</w:t>
      </w:r>
      <w:r w:rsidRPr="00000031">
        <w:rPr>
          <w:rFonts w:ascii="Arial Narrow" w:hAnsi="Arial Narrow" w:cs="Arial"/>
          <w:sz w:val="23"/>
          <w:szCs w:val="23"/>
        </w:rPr>
        <w:t xml:space="preserve"> </w:t>
      </w:r>
      <w:r w:rsidR="002B0AC5" w:rsidRPr="002B0AC5">
        <w:rPr>
          <w:rFonts w:ascii="Arial Narrow" w:hAnsi="Arial Narrow" w:cs="Arial"/>
          <w:sz w:val="23"/>
          <w:szCs w:val="23"/>
        </w:rPr>
        <w:t>modifica parcialmente la Resolución 1255 de 2006</w:t>
      </w:r>
      <w:r w:rsidR="004340D0">
        <w:rPr>
          <w:rStyle w:val="Refdenotaalpie"/>
          <w:rFonts w:ascii="Arial Narrow" w:hAnsi="Arial Narrow" w:cs="Arial"/>
          <w:szCs w:val="23"/>
        </w:rPr>
        <w:footnoteReference w:id="1"/>
      </w:r>
      <w:r w:rsidR="002B0AC5" w:rsidRPr="002B0AC5">
        <w:rPr>
          <w:rFonts w:ascii="Arial Narrow" w:hAnsi="Arial Narrow" w:cs="Arial"/>
          <w:sz w:val="23"/>
          <w:szCs w:val="23"/>
        </w:rPr>
        <w:t xml:space="preserve"> respecto de los proyectos puntuales de infraestructura de transporte y rige a partir de su publicación en el Diario Oficial.</w:t>
      </w:r>
    </w:p>
    <w:p w14:paraId="0270B909" w14:textId="77777777" w:rsidR="00000031" w:rsidRPr="00000031" w:rsidRDefault="00000031" w:rsidP="00000031">
      <w:pPr>
        <w:pStyle w:val="Prrafodelista"/>
        <w:autoSpaceDE w:val="0"/>
        <w:ind w:left="0"/>
        <w:jc w:val="both"/>
        <w:rPr>
          <w:rFonts w:ascii="Arial Narrow" w:hAnsi="Arial Narrow" w:cs="Arial"/>
          <w:sz w:val="23"/>
          <w:szCs w:val="23"/>
        </w:rPr>
      </w:pPr>
    </w:p>
    <w:p w14:paraId="397751A1" w14:textId="77777777" w:rsidR="00000031" w:rsidRDefault="00000031" w:rsidP="002C1491">
      <w:pPr>
        <w:pStyle w:val="Prrafodelista"/>
        <w:autoSpaceDE w:val="0"/>
        <w:ind w:left="0"/>
        <w:jc w:val="both"/>
        <w:rPr>
          <w:rFonts w:ascii="Arial Narrow" w:hAnsi="Arial Narrow" w:cs="Arial"/>
          <w:sz w:val="23"/>
          <w:szCs w:val="23"/>
        </w:rPr>
      </w:pPr>
      <w:r w:rsidRPr="00000031">
        <w:rPr>
          <w:rFonts w:ascii="Arial Narrow" w:hAnsi="Arial Narrow" w:cs="Arial"/>
          <w:sz w:val="23"/>
          <w:szCs w:val="23"/>
        </w:rPr>
        <w:t xml:space="preserve">Conforme con lo anterior, la entrada en vigencia de la Resolución </w:t>
      </w:r>
      <w:r w:rsidR="002B0AC5">
        <w:rPr>
          <w:rFonts w:ascii="Arial Narrow" w:hAnsi="Arial Narrow" w:cs="Arial"/>
          <w:sz w:val="23"/>
          <w:szCs w:val="23"/>
        </w:rPr>
        <w:t xml:space="preserve">propuesta tendría el </w:t>
      </w:r>
      <w:r w:rsidR="00D76517">
        <w:rPr>
          <w:rFonts w:ascii="Arial Narrow" w:hAnsi="Arial Narrow" w:cs="Arial"/>
          <w:sz w:val="23"/>
          <w:szCs w:val="23"/>
        </w:rPr>
        <w:t>siguiente régimen de transición:</w:t>
      </w:r>
    </w:p>
    <w:p w14:paraId="318372A5" w14:textId="77777777" w:rsidR="00D76517" w:rsidRDefault="00D76517" w:rsidP="002C1491">
      <w:pPr>
        <w:pStyle w:val="Prrafodelista"/>
        <w:autoSpaceDE w:val="0"/>
        <w:ind w:left="0"/>
        <w:jc w:val="both"/>
        <w:rPr>
          <w:rFonts w:ascii="Arial Narrow" w:hAnsi="Arial Narrow" w:cs="Arial"/>
          <w:sz w:val="23"/>
          <w:szCs w:val="23"/>
        </w:rPr>
      </w:pPr>
    </w:p>
    <w:p w14:paraId="1AD1F6AA" w14:textId="77777777" w:rsidR="00D76517" w:rsidRPr="00D76517" w:rsidRDefault="00D76517" w:rsidP="002C1491">
      <w:pPr>
        <w:autoSpaceDE w:val="0"/>
        <w:spacing w:line="240" w:lineRule="auto"/>
        <w:ind w:left="708"/>
        <w:jc w:val="both"/>
        <w:rPr>
          <w:rFonts w:ascii="Arial Narrow" w:hAnsi="Arial Narrow" w:cs="Arial"/>
          <w:sz w:val="23"/>
          <w:szCs w:val="23"/>
        </w:rPr>
      </w:pPr>
      <w:r w:rsidRPr="00D76517">
        <w:rPr>
          <w:rFonts w:ascii="Arial Narrow" w:hAnsi="Arial Narrow" w:cs="Arial"/>
          <w:sz w:val="23"/>
          <w:szCs w:val="23"/>
        </w:rPr>
        <w:t>Los proyectos puntuales de</w:t>
      </w:r>
      <w:r>
        <w:rPr>
          <w:rFonts w:ascii="Arial Narrow" w:hAnsi="Arial Narrow" w:cs="Arial"/>
          <w:sz w:val="23"/>
          <w:szCs w:val="23"/>
        </w:rPr>
        <w:t xml:space="preserve"> construcción y operación de</w:t>
      </w:r>
      <w:r w:rsidRPr="00D76517">
        <w:rPr>
          <w:rFonts w:ascii="Arial Narrow" w:hAnsi="Arial Narrow" w:cs="Arial"/>
          <w:sz w:val="23"/>
          <w:szCs w:val="23"/>
        </w:rPr>
        <w:t xml:space="preserve"> infraestructura de transporte</w:t>
      </w:r>
      <w:r>
        <w:rPr>
          <w:rFonts w:ascii="Arial Narrow" w:hAnsi="Arial Narrow" w:cs="Arial"/>
          <w:sz w:val="23"/>
          <w:szCs w:val="23"/>
        </w:rPr>
        <w:t xml:space="preserve">: </w:t>
      </w:r>
      <w:r w:rsidRPr="00D76517">
        <w:rPr>
          <w:rFonts w:ascii="Arial Narrow" w:hAnsi="Arial Narrow" w:cs="Arial"/>
          <w:sz w:val="23"/>
          <w:szCs w:val="23"/>
        </w:rPr>
        <w:t>puertos y aeropuertos, que, a la fecha de entrada en vigencia de la resolución, hayan presentado el respectivo Diagnóstico Ambiental de Alternativas – DAA, con base en los términos de referencia existentes, continuarán su trámite y deberán ser evaluados de conformidad con los mismos.</w:t>
      </w:r>
    </w:p>
    <w:p w14:paraId="03F09F9E" w14:textId="77777777" w:rsidR="00D76517" w:rsidRPr="00D76517" w:rsidRDefault="00D76517" w:rsidP="002C1491">
      <w:pPr>
        <w:autoSpaceDE w:val="0"/>
        <w:spacing w:line="240" w:lineRule="auto"/>
        <w:ind w:left="708"/>
        <w:jc w:val="both"/>
        <w:rPr>
          <w:rFonts w:ascii="Arial Narrow" w:hAnsi="Arial Narrow" w:cs="Arial"/>
          <w:sz w:val="23"/>
          <w:szCs w:val="23"/>
        </w:rPr>
      </w:pPr>
      <w:r w:rsidRPr="00D76517">
        <w:rPr>
          <w:rFonts w:ascii="Arial Narrow" w:hAnsi="Arial Narrow" w:cs="Arial"/>
          <w:sz w:val="23"/>
          <w:szCs w:val="23"/>
        </w:rPr>
        <w:t>Los Diagnósticos Ambientales de Alternativas para los proyectos puntuales de</w:t>
      </w:r>
      <w:r>
        <w:rPr>
          <w:rFonts w:ascii="Arial Narrow" w:hAnsi="Arial Narrow" w:cs="Arial"/>
          <w:sz w:val="23"/>
          <w:szCs w:val="23"/>
        </w:rPr>
        <w:t xml:space="preserve"> construcción y operación de</w:t>
      </w:r>
      <w:r w:rsidRPr="00D76517">
        <w:rPr>
          <w:rFonts w:ascii="Arial Narrow" w:hAnsi="Arial Narrow" w:cs="Arial"/>
          <w:sz w:val="23"/>
          <w:szCs w:val="23"/>
        </w:rPr>
        <w:t xml:space="preserve"> infraestructura de transporte</w:t>
      </w:r>
      <w:r>
        <w:rPr>
          <w:rFonts w:ascii="Arial Narrow" w:hAnsi="Arial Narrow" w:cs="Arial"/>
          <w:sz w:val="23"/>
          <w:szCs w:val="23"/>
        </w:rPr>
        <w:t xml:space="preserve">: </w:t>
      </w:r>
      <w:r w:rsidRPr="00D76517">
        <w:rPr>
          <w:rFonts w:ascii="Arial Narrow" w:hAnsi="Arial Narrow" w:cs="Arial"/>
          <w:sz w:val="23"/>
          <w:szCs w:val="23"/>
        </w:rPr>
        <w:t xml:space="preserve">puertos y aeropuertos, elaborados según los términos de referencia adoptados mediante la Resolución 1255 de 2006 y que no hayan sido presentados, no se regirán por </w:t>
      </w:r>
      <w:r>
        <w:rPr>
          <w:rFonts w:ascii="Arial Narrow" w:hAnsi="Arial Narrow" w:cs="Arial"/>
          <w:sz w:val="23"/>
          <w:szCs w:val="23"/>
        </w:rPr>
        <w:t>la resolución propuesta</w:t>
      </w:r>
      <w:r w:rsidRPr="00D76517">
        <w:rPr>
          <w:rFonts w:ascii="Arial Narrow" w:hAnsi="Arial Narrow" w:cs="Arial"/>
          <w:sz w:val="23"/>
          <w:szCs w:val="23"/>
        </w:rPr>
        <w:t xml:space="preserve">, siempre y cuando estos estudios sean radicados en un </w:t>
      </w:r>
      <w:r w:rsidRPr="00D76517">
        <w:rPr>
          <w:rFonts w:ascii="Arial Narrow" w:hAnsi="Arial Narrow" w:cs="Arial"/>
          <w:sz w:val="23"/>
          <w:szCs w:val="23"/>
        </w:rPr>
        <w:lastRenderedPageBreak/>
        <w:t>término máximo de seis (6) meses contados a partir de la entrada en vigencia del presente acto administrativo.</w:t>
      </w:r>
    </w:p>
    <w:p w14:paraId="184D714E" w14:textId="43E884DB" w:rsidR="004C1CC3" w:rsidRDefault="00D76517" w:rsidP="00073D80">
      <w:pPr>
        <w:pStyle w:val="Prrafodelista"/>
        <w:autoSpaceDE w:val="0"/>
        <w:ind w:left="708"/>
        <w:jc w:val="both"/>
        <w:rPr>
          <w:rFonts w:ascii="Arial Narrow" w:hAnsi="Arial Narrow" w:cs="Arial"/>
          <w:sz w:val="23"/>
          <w:szCs w:val="23"/>
        </w:rPr>
      </w:pPr>
      <w:r w:rsidRPr="00D76517">
        <w:rPr>
          <w:rFonts w:ascii="Arial Narrow" w:hAnsi="Arial Narrow" w:cs="Arial"/>
          <w:sz w:val="23"/>
          <w:szCs w:val="23"/>
        </w:rPr>
        <w:t>Los Diagnósticos Ambientales de Alternativas para proyectos puntuales del sector de Hidrocarburos, y otros en los que tengan aplicación este tipo de estudios, se regirán por lo dispuesto en la Resolución 1255 del 30 de junio de 2006, o aquella (s) norma(s) que la modifique(n), sustituya(n) o derogue(n), y deben ser evaluados de conformidad con dicho acto administrativo.</w:t>
      </w:r>
    </w:p>
    <w:p w14:paraId="4A3DA518" w14:textId="77777777" w:rsidR="00073D80" w:rsidRDefault="00073D80" w:rsidP="00073D80">
      <w:pPr>
        <w:pStyle w:val="Prrafodelista"/>
        <w:autoSpaceDE w:val="0"/>
        <w:ind w:left="708"/>
        <w:jc w:val="both"/>
        <w:rPr>
          <w:rFonts w:ascii="Arial Narrow" w:hAnsi="Arial Narrow" w:cs="Arial"/>
          <w:sz w:val="23"/>
          <w:szCs w:val="23"/>
        </w:rPr>
      </w:pPr>
    </w:p>
    <w:p w14:paraId="6A300AEC" w14:textId="77777777" w:rsidR="00000031" w:rsidRPr="00000031" w:rsidRDefault="00000031" w:rsidP="00000031">
      <w:pPr>
        <w:pStyle w:val="NormalWeb"/>
        <w:numPr>
          <w:ilvl w:val="0"/>
          <w:numId w:val="10"/>
        </w:numPr>
        <w:shd w:val="clear" w:color="auto" w:fill="FFFFFF"/>
        <w:spacing w:before="0" w:beforeAutospacing="0" w:after="0" w:afterAutospacing="0"/>
        <w:jc w:val="both"/>
        <w:rPr>
          <w:rFonts w:ascii="Arial Narrow" w:hAnsi="Arial Narrow" w:cs="Arial"/>
          <w:color w:val="000000"/>
          <w:sz w:val="23"/>
          <w:szCs w:val="23"/>
        </w:rPr>
      </w:pPr>
      <w:r w:rsidRPr="00000031">
        <w:rPr>
          <w:rFonts w:ascii="Arial Narrow" w:hAnsi="Arial Narrow" w:cs="Arial"/>
          <w:b/>
          <w:color w:val="000000"/>
          <w:sz w:val="23"/>
          <w:szCs w:val="23"/>
        </w:rPr>
        <w:t>IMPACTO ECONÓMICO.</w:t>
      </w:r>
    </w:p>
    <w:p w14:paraId="501FF30C" w14:textId="77777777" w:rsidR="00000031" w:rsidRPr="00000031" w:rsidRDefault="00000031" w:rsidP="00000031">
      <w:pPr>
        <w:pStyle w:val="NormalWeb"/>
        <w:shd w:val="clear" w:color="auto" w:fill="FFFFFF"/>
        <w:spacing w:before="0" w:beforeAutospacing="0" w:after="0" w:afterAutospacing="0"/>
        <w:ind w:left="360"/>
        <w:jc w:val="both"/>
        <w:rPr>
          <w:rFonts w:ascii="Arial Narrow" w:hAnsi="Arial Narrow" w:cs="Arial"/>
          <w:color w:val="000000"/>
          <w:sz w:val="23"/>
          <w:szCs w:val="23"/>
        </w:rPr>
      </w:pPr>
    </w:p>
    <w:p w14:paraId="74BC021A" w14:textId="77777777" w:rsidR="00D76517" w:rsidRPr="00D76517" w:rsidRDefault="00D9690D" w:rsidP="00D76517">
      <w:pPr>
        <w:autoSpaceDE w:val="0"/>
        <w:autoSpaceDN w:val="0"/>
        <w:adjustRightInd w:val="0"/>
        <w:spacing w:after="0" w:line="240" w:lineRule="auto"/>
        <w:jc w:val="both"/>
        <w:rPr>
          <w:rFonts w:ascii="Arial Narrow" w:hAnsi="Arial Narrow" w:cs="Arial"/>
          <w:sz w:val="23"/>
          <w:szCs w:val="23"/>
        </w:rPr>
      </w:pPr>
      <w:r>
        <w:rPr>
          <w:rFonts w:ascii="Arial Narrow" w:hAnsi="Arial Narrow" w:cs="Arial"/>
          <w:sz w:val="23"/>
          <w:szCs w:val="23"/>
        </w:rPr>
        <w:t>L</w:t>
      </w:r>
      <w:r w:rsidR="00D76517" w:rsidRPr="00D76517">
        <w:rPr>
          <w:rFonts w:ascii="Arial Narrow" w:hAnsi="Arial Narrow" w:cs="Arial"/>
          <w:sz w:val="23"/>
          <w:szCs w:val="23"/>
        </w:rPr>
        <w:t xml:space="preserve">os términos de referencia </w:t>
      </w:r>
      <w:r w:rsidR="00653B51">
        <w:rPr>
          <w:rFonts w:ascii="Arial Narrow" w:hAnsi="Arial Narrow" w:cs="Arial"/>
          <w:sz w:val="23"/>
          <w:szCs w:val="23"/>
        </w:rPr>
        <w:t>para la elaboración del d</w:t>
      </w:r>
      <w:r w:rsidR="00D76517" w:rsidRPr="00D76517">
        <w:rPr>
          <w:rFonts w:ascii="Arial Narrow" w:hAnsi="Arial Narrow" w:cs="Arial"/>
          <w:sz w:val="23"/>
          <w:szCs w:val="23"/>
        </w:rPr>
        <w:t xml:space="preserve">iagnóstico ambiental de alternativas de proyectos </w:t>
      </w:r>
      <w:r w:rsidR="00D76517">
        <w:rPr>
          <w:rFonts w:ascii="Arial Narrow" w:hAnsi="Arial Narrow" w:cs="Arial"/>
          <w:sz w:val="23"/>
          <w:szCs w:val="23"/>
        </w:rPr>
        <w:t xml:space="preserve">puntuales de construcción y operación </w:t>
      </w:r>
      <w:r w:rsidR="00D76517" w:rsidRPr="00D76517">
        <w:rPr>
          <w:rFonts w:ascii="Arial Narrow" w:hAnsi="Arial Narrow" w:cs="Arial"/>
          <w:sz w:val="23"/>
          <w:szCs w:val="23"/>
        </w:rPr>
        <w:t>de infraestructura de transporte</w:t>
      </w:r>
      <w:r w:rsidR="00D76517">
        <w:rPr>
          <w:rFonts w:ascii="Arial Narrow" w:hAnsi="Arial Narrow" w:cs="Arial"/>
          <w:sz w:val="23"/>
          <w:szCs w:val="23"/>
        </w:rPr>
        <w:t>: puertos y aeropuertos,</w:t>
      </w:r>
      <w:r w:rsidR="00D76517" w:rsidRPr="00D76517">
        <w:rPr>
          <w:rFonts w:ascii="Arial Narrow" w:hAnsi="Arial Narrow" w:cs="Arial"/>
          <w:sz w:val="23"/>
          <w:szCs w:val="23"/>
        </w:rPr>
        <w:t xml:space="preserve"> que se actualizan con el presente instrumento normativo, incorpora</w:t>
      </w:r>
      <w:r>
        <w:rPr>
          <w:rFonts w:ascii="Arial Narrow" w:hAnsi="Arial Narrow" w:cs="Arial"/>
          <w:sz w:val="23"/>
          <w:szCs w:val="23"/>
        </w:rPr>
        <w:t>n</w:t>
      </w:r>
      <w:r w:rsidR="00D76517" w:rsidRPr="00D76517">
        <w:rPr>
          <w:rFonts w:ascii="Arial Narrow" w:hAnsi="Arial Narrow" w:cs="Arial"/>
          <w:sz w:val="23"/>
          <w:szCs w:val="23"/>
        </w:rPr>
        <w:t xml:space="preserve"> nuevos lineamientos relacionados con temas relevantes para la toma de decisiones por parte de las Autoridades Ambientales, tales como aspectos </w:t>
      </w:r>
      <w:r w:rsidR="00D76517">
        <w:rPr>
          <w:rFonts w:ascii="Arial Narrow" w:hAnsi="Arial Narrow" w:cs="Arial"/>
          <w:sz w:val="23"/>
          <w:szCs w:val="23"/>
        </w:rPr>
        <w:t>oceanográficos, hidrológicos, ecosistemas marinos, g</w:t>
      </w:r>
      <w:r w:rsidR="00D76517" w:rsidRPr="00D76517">
        <w:rPr>
          <w:rFonts w:ascii="Arial Narrow" w:hAnsi="Arial Narrow" w:cs="Arial"/>
          <w:sz w:val="23"/>
          <w:szCs w:val="23"/>
        </w:rPr>
        <w:t>eológicos, geotécnicos</w:t>
      </w:r>
      <w:r w:rsidR="00D76517">
        <w:rPr>
          <w:rFonts w:ascii="Arial Narrow" w:hAnsi="Arial Narrow" w:cs="Arial"/>
          <w:sz w:val="23"/>
          <w:szCs w:val="23"/>
        </w:rPr>
        <w:t xml:space="preserve">, </w:t>
      </w:r>
      <w:r w:rsidR="00D76517" w:rsidRPr="00D76517">
        <w:rPr>
          <w:rFonts w:ascii="Arial Narrow" w:hAnsi="Arial Narrow" w:cs="Arial"/>
          <w:sz w:val="23"/>
          <w:szCs w:val="23"/>
        </w:rPr>
        <w:t>en relación con las alternativas de</w:t>
      </w:r>
      <w:r w:rsidR="00D76517">
        <w:rPr>
          <w:rFonts w:ascii="Arial Narrow" w:hAnsi="Arial Narrow" w:cs="Arial"/>
          <w:sz w:val="23"/>
          <w:szCs w:val="23"/>
        </w:rPr>
        <w:t xml:space="preserve"> proyectos puntales de infraestructura de transporte</w:t>
      </w:r>
      <w:r w:rsidR="00D76517" w:rsidRPr="00D76517">
        <w:rPr>
          <w:rFonts w:ascii="Arial Narrow" w:hAnsi="Arial Narrow" w:cs="Arial"/>
          <w:sz w:val="23"/>
          <w:szCs w:val="23"/>
        </w:rPr>
        <w:t>, así como aspectos relevantes en cuanto a calidad de aire y ruido</w:t>
      </w:r>
      <w:r w:rsidR="00D76517">
        <w:rPr>
          <w:rFonts w:ascii="Arial Narrow" w:hAnsi="Arial Narrow" w:cs="Arial"/>
          <w:sz w:val="23"/>
          <w:szCs w:val="23"/>
        </w:rPr>
        <w:t>, aguas</w:t>
      </w:r>
      <w:r w:rsidR="00D76517" w:rsidRPr="00D76517">
        <w:rPr>
          <w:rFonts w:ascii="Arial Narrow" w:hAnsi="Arial Narrow" w:cs="Arial"/>
          <w:sz w:val="23"/>
          <w:szCs w:val="23"/>
        </w:rPr>
        <w:t>.</w:t>
      </w:r>
    </w:p>
    <w:p w14:paraId="6BA98B1D" w14:textId="77777777" w:rsidR="00D76517" w:rsidRPr="00D76517" w:rsidRDefault="00D76517" w:rsidP="00D76517">
      <w:pPr>
        <w:autoSpaceDE w:val="0"/>
        <w:autoSpaceDN w:val="0"/>
        <w:adjustRightInd w:val="0"/>
        <w:spacing w:after="0" w:line="240" w:lineRule="auto"/>
        <w:jc w:val="both"/>
        <w:rPr>
          <w:rFonts w:ascii="Arial Narrow" w:hAnsi="Arial Narrow" w:cs="Arial"/>
          <w:sz w:val="23"/>
          <w:szCs w:val="23"/>
        </w:rPr>
      </w:pPr>
    </w:p>
    <w:p w14:paraId="624AD87C" w14:textId="77777777" w:rsidR="00412543" w:rsidRDefault="00D76517" w:rsidP="00D76517">
      <w:pPr>
        <w:autoSpaceDE w:val="0"/>
        <w:autoSpaceDN w:val="0"/>
        <w:adjustRightInd w:val="0"/>
        <w:spacing w:after="0" w:line="240" w:lineRule="auto"/>
        <w:jc w:val="both"/>
        <w:rPr>
          <w:rFonts w:ascii="Arial Narrow" w:hAnsi="Arial Narrow" w:cs="Arial"/>
          <w:sz w:val="23"/>
          <w:szCs w:val="23"/>
        </w:rPr>
      </w:pPr>
      <w:r w:rsidRPr="00D76517">
        <w:rPr>
          <w:rFonts w:ascii="Arial Narrow" w:hAnsi="Arial Narrow" w:cs="Arial"/>
          <w:sz w:val="23"/>
          <w:szCs w:val="23"/>
        </w:rPr>
        <w:t xml:space="preserve">Teniendo en cuenta lo anterior, </w:t>
      </w:r>
      <w:r w:rsidR="00731942">
        <w:rPr>
          <w:rFonts w:ascii="Arial Narrow" w:hAnsi="Arial Narrow" w:cs="Arial"/>
          <w:sz w:val="23"/>
          <w:szCs w:val="23"/>
        </w:rPr>
        <w:t>los</w:t>
      </w:r>
      <w:r w:rsidRPr="00D76517">
        <w:rPr>
          <w:rFonts w:ascii="Arial Narrow" w:hAnsi="Arial Narrow" w:cs="Arial"/>
          <w:sz w:val="23"/>
          <w:szCs w:val="23"/>
        </w:rPr>
        <w:t xml:space="preserve"> requerimientos </w:t>
      </w:r>
      <w:r w:rsidR="00D03197">
        <w:rPr>
          <w:rFonts w:ascii="Arial Narrow" w:hAnsi="Arial Narrow" w:cs="Arial"/>
          <w:sz w:val="23"/>
          <w:szCs w:val="23"/>
        </w:rPr>
        <w:t xml:space="preserve">que demanda la autoridad para pronunciarse, que han sido incorporados </w:t>
      </w:r>
      <w:r w:rsidR="00ED5CC8">
        <w:rPr>
          <w:rFonts w:ascii="Arial Narrow" w:hAnsi="Arial Narrow" w:cs="Arial"/>
          <w:sz w:val="23"/>
          <w:szCs w:val="23"/>
        </w:rPr>
        <w:t xml:space="preserve">en la propuesta de actualización de los términos de referencia en comento, </w:t>
      </w:r>
      <w:r w:rsidRPr="00D76517">
        <w:rPr>
          <w:rFonts w:ascii="Arial Narrow" w:hAnsi="Arial Narrow" w:cs="Arial"/>
          <w:sz w:val="23"/>
          <w:szCs w:val="23"/>
        </w:rPr>
        <w:t>generarán inversiones a los usuarios</w:t>
      </w:r>
      <w:r w:rsidR="00517B8D">
        <w:rPr>
          <w:rFonts w:ascii="Arial Narrow" w:hAnsi="Arial Narrow" w:cs="Arial"/>
          <w:sz w:val="23"/>
          <w:szCs w:val="23"/>
        </w:rPr>
        <w:t xml:space="preserve"> </w:t>
      </w:r>
      <w:r w:rsidR="00DB7379">
        <w:rPr>
          <w:rFonts w:ascii="Arial Narrow" w:hAnsi="Arial Narrow" w:cs="Arial"/>
          <w:sz w:val="23"/>
          <w:szCs w:val="23"/>
        </w:rPr>
        <w:t>cuyo monto varía en función de las características de los diferentes proyectos puntuales de infraestructura de transporte</w:t>
      </w:r>
      <w:r w:rsidR="00C80024">
        <w:rPr>
          <w:rFonts w:ascii="Arial Narrow" w:hAnsi="Arial Narrow" w:cs="Arial"/>
          <w:sz w:val="23"/>
          <w:szCs w:val="23"/>
        </w:rPr>
        <w:t>.</w:t>
      </w:r>
    </w:p>
    <w:p w14:paraId="6C5FFE1C" w14:textId="77777777" w:rsidR="00D76517" w:rsidRPr="00D76517" w:rsidRDefault="00D76517" w:rsidP="00D76517">
      <w:pPr>
        <w:autoSpaceDE w:val="0"/>
        <w:autoSpaceDN w:val="0"/>
        <w:adjustRightInd w:val="0"/>
        <w:spacing w:after="0" w:line="240" w:lineRule="auto"/>
        <w:jc w:val="both"/>
        <w:rPr>
          <w:rFonts w:ascii="Arial Narrow" w:hAnsi="Arial Narrow" w:cs="Arial"/>
          <w:sz w:val="23"/>
          <w:szCs w:val="23"/>
        </w:rPr>
      </w:pPr>
    </w:p>
    <w:p w14:paraId="39A47C0C" w14:textId="77777777" w:rsidR="00D76517" w:rsidRPr="00D76517" w:rsidRDefault="00D76517" w:rsidP="00D76517">
      <w:pPr>
        <w:autoSpaceDE w:val="0"/>
        <w:autoSpaceDN w:val="0"/>
        <w:adjustRightInd w:val="0"/>
        <w:spacing w:after="0" w:line="240" w:lineRule="auto"/>
        <w:jc w:val="both"/>
        <w:rPr>
          <w:rFonts w:ascii="Arial Narrow" w:hAnsi="Arial Narrow" w:cs="Arial"/>
          <w:sz w:val="23"/>
          <w:szCs w:val="23"/>
        </w:rPr>
      </w:pPr>
      <w:r w:rsidRPr="00D76517">
        <w:rPr>
          <w:rFonts w:ascii="Arial Narrow" w:hAnsi="Arial Narrow" w:cs="Arial"/>
          <w:sz w:val="23"/>
          <w:szCs w:val="23"/>
        </w:rPr>
        <w:t xml:space="preserve">De otra parte, el acto administrativo señala un régimen de transición </w:t>
      </w:r>
      <w:r w:rsidR="00906FFA">
        <w:rPr>
          <w:rFonts w:ascii="Arial Narrow" w:hAnsi="Arial Narrow" w:cs="Arial"/>
          <w:sz w:val="23"/>
          <w:szCs w:val="23"/>
        </w:rPr>
        <w:t xml:space="preserve">a fin de que </w:t>
      </w:r>
      <w:r w:rsidR="00E46BB6">
        <w:rPr>
          <w:rFonts w:ascii="Arial Narrow" w:hAnsi="Arial Narrow" w:cs="Arial"/>
          <w:sz w:val="23"/>
          <w:szCs w:val="23"/>
        </w:rPr>
        <w:t xml:space="preserve">los estudios </w:t>
      </w:r>
      <w:r w:rsidR="00906FFA">
        <w:rPr>
          <w:rFonts w:ascii="Arial Narrow" w:hAnsi="Arial Narrow" w:cs="Arial"/>
          <w:sz w:val="23"/>
          <w:szCs w:val="23"/>
        </w:rPr>
        <w:t>se</w:t>
      </w:r>
      <w:r w:rsidRPr="00D76517">
        <w:rPr>
          <w:rFonts w:ascii="Arial Narrow" w:hAnsi="Arial Narrow" w:cs="Arial"/>
          <w:sz w:val="23"/>
          <w:szCs w:val="23"/>
        </w:rPr>
        <w:t xml:space="preserve"> ajust</w:t>
      </w:r>
      <w:r w:rsidR="00906FFA">
        <w:rPr>
          <w:rFonts w:ascii="Arial Narrow" w:hAnsi="Arial Narrow" w:cs="Arial"/>
          <w:sz w:val="23"/>
          <w:szCs w:val="23"/>
        </w:rPr>
        <w:t>en</w:t>
      </w:r>
      <w:r w:rsidRPr="00D76517">
        <w:rPr>
          <w:rFonts w:ascii="Arial Narrow" w:hAnsi="Arial Narrow" w:cs="Arial"/>
          <w:sz w:val="23"/>
          <w:szCs w:val="23"/>
        </w:rPr>
        <w:t xml:space="preserve"> </w:t>
      </w:r>
      <w:r w:rsidR="00E46BB6">
        <w:rPr>
          <w:rFonts w:ascii="Arial Narrow" w:hAnsi="Arial Narrow" w:cs="Arial"/>
          <w:sz w:val="23"/>
          <w:szCs w:val="23"/>
        </w:rPr>
        <w:t>para ser presentados conforme con las especificaciones contenidas en los términos de referencia en mención</w:t>
      </w:r>
      <w:r w:rsidRPr="00D76517">
        <w:rPr>
          <w:rFonts w:ascii="Arial Narrow" w:hAnsi="Arial Narrow" w:cs="Arial"/>
          <w:sz w:val="23"/>
          <w:szCs w:val="23"/>
        </w:rPr>
        <w:t>.</w:t>
      </w:r>
    </w:p>
    <w:p w14:paraId="7637A635" w14:textId="77777777" w:rsidR="00D76517" w:rsidRPr="00D76517" w:rsidRDefault="00D76517" w:rsidP="00D76517">
      <w:pPr>
        <w:autoSpaceDE w:val="0"/>
        <w:autoSpaceDN w:val="0"/>
        <w:adjustRightInd w:val="0"/>
        <w:spacing w:after="0" w:line="240" w:lineRule="auto"/>
        <w:jc w:val="both"/>
        <w:rPr>
          <w:rFonts w:ascii="Arial Narrow" w:hAnsi="Arial Narrow" w:cs="Arial"/>
          <w:sz w:val="23"/>
          <w:szCs w:val="23"/>
        </w:rPr>
      </w:pPr>
    </w:p>
    <w:p w14:paraId="4FF034E4" w14:textId="77777777" w:rsidR="00000031" w:rsidRDefault="00D76517" w:rsidP="00D76517">
      <w:pPr>
        <w:autoSpaceDE w:val="0"/>
        <w:autoSpaceDN w:val="0"/>
        <w:adjustRightInd w:val="0"/>
        <w:spacing w:after="0" w:line="240" w:lineRule="auto"/>
        <w:jc w:val="both"/>
        <w:rPr>
          <w:rFonts w:ascii="Arial Narrow" w:hAnsi="Arial Narrow" w:cs="Arial"/>
          <w:sz w:val="23"/>
          <w:szCs w:val="23"/>
        </w:rPr>
      </w:pPr>
      <w:r w:rsidRPr="00D76517">
        <w:rPr>
          <w:rFonts w:ascii="Arial Narrow" w:hAnsi="Arial Narrow" w:cs="Arial"/>
          <w:sz w:val="23"/>
          <w:szCs w:val="23"/>
        </w:rPr>
        <w:t xml:space="preserve">Las Corporaciones Autónomas Regionales no se verán impactadas con la medida, teniendo en cuenta que </w:t>
      </w:r>
      <w:r w:rsidR="0038774A">
        <w:rPr>
          <w:rFonts w:ascii="Arial Narrow" w:hAnsi="Arial Narrow" w:cs="Arial"/>
          <w:sz w:val="23"/>
          <w:szCs w:val="23"/>
        </w:rPr>
        <w:t xml:space="preserve">la </w:t>
      </w:r>
      <w:r w:rsidRPr="00D76517">
        <w:rPr>
          <w:rFonts w:ascii="Arial Narrow" w:hAnsi="Arial Narrow" w:cs="Arial"/>
          <w:sz w:val="23"/>
          <w:szCs w:val="23"/>
        </w:rPr>
        <w:t>expedición de los términos de referencia para el ejercicio de la función de evaluación y seguimiento, no implica la adquisición de nuevas tecnologías ni de recursos humanos adicionales a los establecidos en su presupuesto.</w:t>
      </w:r>
    </w:p>
    <w:p w14:paraId="4D29EF8F" w14:textId="77777777" w:rsidR="00D76517" w:rsidRPr="00000031" w:rsidRDefault="00D76517" w:rsidP="00D76517">
      <w:pPr>
        <w:autoSpaceDE w:val="0"/>
        <w:autoSpaceDN w:val="0"/>
        <w:adjustRightInd w:val="0"/>
        <w:spacing w:after="0" w:line="240" w:lineRule="auto"/>
        <w:jc w:val="both"/>
        <w:rPr>
          <w:rFonts w:ascii="Arial Narrow" w:hAnsi="Arial Narrow" w:cs="ArialNarrow"/>
          <w:sz w:val="23"/>
          <w:szCs w:val="23"/>
        </w:rPr>
      </w:pPr>
    </w:p>
    <w:p w14:paraId="5CD82DE5" w14:textId="77777777" w:rsidR="00000031" w:rsidRPr="00000031" w:rsidRDefault="00000031" w:rsidP="00000031">
      <w:pPr>
        <w:pStyle w:val="NormalWeb"/>
        <w:numPr>
          <w:ilvl w:val="0"/>
          <w:numId w:val="10"/>
        </w:numPr>
        <w:shd w:val="clear" w:color="auto" w:fill="FFFFFF"/>
        <w:spacing w:before="0" w:beforeAutospacing="0" w:after="0" w:afterAutospacing="0"/>
        <w:ind w:left="284" w:hanging="284"/>
        <w:jc w:val="both"/>
        <w:rPr>
          <w:rFonts w:ascii="Arial Narrow" w:hAnsi="Arial Narrow" w:cs="Arial"/>
          <w:b/>
          <w:color w:val="000000"/>
          <w:sz w:val="23"/>
          <w:szCs w:val="23"/>
        </w:rPr>
      </w:pPr>
      <w:r w:rsidRPr="00000031">
        <w:rPr>
          <w:rFonts w:ascii="Arial Narrow" w:hAnsi="Arial Narrow" w:cs="Arial"/>
          <w:b/>
          <w:color w:val="000000"/>
          <w:sz w:val="23"/>
          <w:szCs w:val="23"/>
        </w:rPr>
        <w:t>IMPACTO MEDIOAMBIENTAL O SOBRE EL PATRIMONIO CULTURAL DE LA NACIÓN.</w:t>
      </w:r>
    </w:p>
    <w:p w14:paraId="6C658813" w14:textId="77777777" w:rsidR="00000031" w:rsidRPr="00000031" w:rsidRDefault="00000031" w:rsidP="00000031">
      <w:pPr>
        <w:pStyle w:val="NormalWeb"/>
        <w:shd w:val="clear" w:color="auto" w:fill="FFFFFF"/>
        <w:spacing w:before="0" w:beforeAutospacing="0" w:after="0" w:afterAutospacing="0"/>
        <w:jc w:val="both"/>
        <w:rPr>
          <w:rFonts w:ascii="Arial Narrow" w:hAnsi="Arial Narrow" w:cs="Arial"/>
          <w:color w:val="000000"/>
          <w:sz w:val="23"/>
          <w:szCs w:val="23"/>
        </w:rPr>
      </w:pPr>
    </w:p>
    <w:p w14:paraId="0E223199" w14:textId="77777777" w:rsidR="00000031" w:rsidRPr="00000031" w:rsidRDefault="00000031" w:rsidP="00000031">
      <w:pPr>
        <w:pStyle w:val="NormalWeb"/>
        <w:shd w:val="clear" w:color="auto" w:fill="FFFFFF"/>
        <w:spacing w:before="0" w:beforeAutospacing="0" w:after="0" w:afterAutospacing="0"/>
        <w:jc w:val="both"/>
        <w:rPr>
          <w:rFonts w:ascii="Arial Narrow" w:hAnsi="Arial Narrow" w:cs="Arial"/>
          <w:color w:val="000000"/>
          <w:sz w:val="23"/>
          <w:szCs w:val="23"/>
        </w:rPr>
      </w:pPr>
      <w:r w:rsidRPr="00000031">
        <w:rPr>
          <w:rFonts w:ascii="Arial Narrow" w:hAnsi="Arial Narrow" w:cs="Arial"/>
          <w:color w:val="000000"/>
          <w:sz w:val="23"/>
          <w:szCs w:val="23"/>
        </w:rPr>
        <w:t xml:space="preserve">La </w:t>
      </w:r>
      <w:r w:rsidR="00D76517">
        <w:rPr>
          <w:rFonts w:ascii="Arial Narrow" w:hAnsi="Arial Narrow" w:cs="Arial"/>
          <w:color w:val="000000"/>
          <w:sz w:val="23"/>
          <w:szCs w:val="23"/>
        </w:rPr>
        <w:t xml:space="preserve">actualización de los términos de referencia </w:t>
      </w:r>
      <w:r w:rsidR="00E2642F">
        <w:rPr>
          <w:rFonts w:ascii="Arial Narrow" w:hAnsi="Arial Narrow" w:cs="Arial"/>
          <w:color w:val="000000"/>
          <w:sz w:val="23"/>
          <w:szCs w:val="23"/>
        </w:rPr>
        <w:t xml:space="preserve">para la elaboración </w:t>
      </w:r>
      <w:r w:rsidR="00D76517">
        <w:rPr>
          <w:rFonts w:ascii="Arial Narrow" w:hAnsi="Arial Narrow" w:cs="Arial"/>
          <w:color w:val="000000"/>
          <w:sz w:val="23"/>
          <w:szCs w:val="23"/>
        </w:rPr>
        <w:t>de</w:t>
      </w:r>
      <w:r w:rsidR="00E2642F">
        <w:rPr>
          <w:rFonts w:ascii="Arial Narrow" w:hAnsi="Arial Narrow" w:cs="Arial"/>
          <w:color w:val="000000"/>
          <w:sz w:val="23"/>
          <w:szCs w:val="23"/>
        </w:rPr>
        <w:t>l</w:t>
      </w:r>
      <w:r w:rsidR="00D76517" w:rsidRPr="00D76517">
        <w:rPr>
          <w:rFonts w:ascii="Arial Narrow" w:hAnsi="Arial Narrow" w:cs="Arial"/>
          <w:sz w:val="23"/>
          <w:szCs w:val="23"/>
        </w:rPr>
        <w:t xml:space="preserve"> diagnóstico ambiental </w:t>
      </w:r>
      <w:r w:rsidR="00E2642F" w:rsidRPr="00D76517">
        <w:rPr>
          <w:rFonts w:ascii="Arial Narrow" w:hAnsi="Arial Narrow" w:cs="Arial"/>
          <w:sz w:val="23"/>
          <w:szCs w:val="23"/>
        </w:rPr>
        <w:t>de alternativas</w:t>
      </w:r>
      <w:r w:rsidR="00D76517" w:rsidRPr="00D76517">
        <w:rPr>
          <w:rFonts w:ascii="Arial Narrow" w:hAnsi="Arial Narrow" w:cs="Arial"/>
          <w:sz w:val="23"/>
          <w:szCs w:val="23"/>
        </w:rPr>
        <w:t xml:space="preserve"> de proyectos </w:t>
      </w:r>
      <w:r w:rsidR="00D76517">
        <w:rPr>
          <w:rFonts w:ascii="Arial Narrow" w:hAnsi="Arial Narrow" w:cs="Arial"/>
          <w:sz w:val="23"/>
          <w:szCs w:val="23"/>
        </w:rPr>
        <w:t xml:space="preserve">puntuales de construcción y operación </w:t>
      </w:r>
      <w:r w:rsidR="00D76517" w:rsidRPr="00D76517">
        <w:rPr>
          <w:rFonts w:ascii="Arial Narrow" w:hAnsi="Arial Narrow" w:cs="Arial"/>
          <w:sz w:val="23"/>
          <w:szCs w:val="23"/>
        </w:rPr>
        <w:t>de infraestructura de transporte</w:t>
      </w:r>
      <w:r w:rsidR="00D76517">
        <w:rPr>
          <w:rFonts w:ascii="Arial Narrow" w:hAnsi="Arial Narrow" w:cs="Arial"/>
          <w:sz w:val="23"/>
          <w:szCs w:val="23"/>
        </w:rPr>
        <w:t>: puertos y aeropuertos,</w:t>
      </w:r>
      <w:r w:rsidR="00D76517">
        <w:rPr>
          <w:rFonts w:ascii="Arial Narrow" w:hAnsi="Arial Narrow" w:cs="Arial"/>
          <w:color w:val="000000"/>
          <w:sz w:val="23"/>
          <w:szCs w:val="23"/>
        </w:rPr>
        <w:t xml:space="preserve"> </w:t>
      </w:r>
      <w:r w:rsidR="00D76517" w:rsidRPr="00000031">
        <w:rPr>
          <w:rFonts w:ascii="Arial Narrow" w:hAnsi="Arial Narrow" w:cs="Arial"/>
          <w:color w:val="000000"/>
          <w:sz w:val="23"/>
          <w:szCs w:val="23"/>
        </w:rPr>
        <w:t>no</w:t>
      </w:r>
      <w:r w:rsidRPr="00000031">
        <w:rPr>
          <w:rFonts w:ascii="Arial Narrow" w:hAnsi="Arial Narrow" w:cs="Arial"/>
          <w:color w:val="000000"/>
          <w:sz w:val="23"/>
          <w:szCs w:val="23"/>
        </w:rPr>
        <w:t xml:space="preserve"> genera impacto ambiental o sobre el patrimonio cultural de la nación</w:t>
      </w:r>
      <w:r w:rsidR="00D76517">
        <w:rPr>
          <w:rFonts w:ascii="Arial Narrow" w:hAnsi="Arial Narrow" w:cs="Arial"/>
          <w:color w:val="000000"/>
          <w:sz w:val="23"/>
          <w:szCs w:val="23"/>
        </w:rPr>
        <w:t>.</w:t>
      </w:r>
    </w:p>
    <w:p w14:paraId="50D57540" w14:textId="2F456B04" w:rsidR="00000031" w:rsidRDefault="00000031" w:rsidP="00000031">
      <w:pPr>
        <w:pStyle w:val="Prrafodelista"/>
        <w:tabs>
          <w:tab w:val="right" w:pos="8789"/>
        </w:tabs>
        <w:ind w:left="0"/>
        <w:jc w:val="both"/>
        <w:rPr>
          <w:rFonts w:ascii="Arial Narrow" w:hAnsi="Arial Narrow" w:cs="Arial Narrow"/>
          <w:sz w:val="23"/>
          <w:szCs w:val="23"/>
          <w:lang w:val="es-CO"/>
        </w:rPr>
      </w:pPr>
    </w:p>
    <w:p w14:paraId="15274B54" w14:textId="1F8184F3" w:rsidR="00073D80" w:rsidRDefault="00073D80" w:rsidP="00000031">
      <w:pPr>
        <w:pStyle w:val="Prrafodelista"/>
        <w:tabs>
          <w:tab w:val="right" w:pos="8789"/>
        </w:tabs>
        <w:ind w:left="0"/>
        <w:jc w:val="both"/>
        <w:rPr>
          <w:rFonts w:ascii="Arial Narrow" w:hAnsi="Arial Narrow" w:cs="Arial Narrow"/>
          <w:sz w:val="23"/>
          <w:szCs w:val="23"/>
          <w:lang w:val="es-CO"/>
        </w:rPr>
      </w:pPr>
    </w:p>
    <w:p w14:paraId="46D610EE" w14:textId="77777777" w:rsidR="00073D80" w:rsidRDefault="00073D80" w:rsidP="00000031">
      <w:pPr>
        <w:pStyle w:val="Prrafodelista"/>
        <w:tabs>
          <w:tab w:val="right" w:pos="8789"/>
        </w:tabs>
        <w:ind w:left="0"/>
        <w:jc w:val="both"/>
        <w:rPr>
          <w:rFonts w:ascii="Arial Narrow" w:hAnsi="Arial Narrow" w:cs="Arial Narrow"/>
          <w:sz w:val="23"/>
          <w:szCs w:val="23"/>
          <w:lang w:val="es-CO"/>
        </w:rPr>
      </w:pPr>
    </w:p>
    <w:p w14:paraId="23A57F27" w14:textId="488DE88F" w:rsidR="00801DCA" w:rsidRPr="00801DCA" w:rsidRDefault="00801DCA" w:rsidP="00801DCA">
      <w:pPr>
        <w:tabs>
          <w:tab w:val="right" w:pos="8789"/>
        </w:tabs>
        <w:spacing w:after="0" w:line="240" w:lineRule="auto"/>
        <w:jc w:val="both"/>
        <w:rPr>
          <w:rFonts w:ascii="Arial Narrow" w:hAnsi="Arial Narrow" w:cs="Arial Narrow"/>
          <w:b/>
          <w:bCs/>
          <w:sz w:val="23"/>
          <w:szCs w:val="23"/>
        </w:rPr>
      </w:pPr>
      <w:r w:rsidRPr="00801DCA">
        <w:rPr>
          <w:rFonts w:ascii="Arial Narrow" w:hAnsi="Arial Narrow" w:cs="Arial Narrow"/>
          <w:b/>
          <w:bCs/>
          <w:sz w:val="23"/>
          <w:szCs w:val="23"/>
        </w:rPr>
        <w:t>ALEX JOSÉ SAER SAKER</w:t>
      </w:r>
    </w:p>
    <w:p w14:paraId="6EFFA7B6" w14:textId="45FC6D9D" w:rsidR="00725AB1" w:rsidRPr="00725AB1" w:rsidRDefault="00801DCA" w:rsidP="00073D80">
      <w:pPr>
        <w:pStyle w:val="Prrafodelista"/>
        <w:tabs>
          <w:tab w:val="right" w:pos="8789"/>
        </w:tabs>
        <w:ind w:left="0"/>
        <w:jc w:val="both"/>
        <w:rPr>
          <w:rStyle w:val="st1"/>
          <w:rFonts w:ascii="Arial" w:hAnsi="Arial" w:cs="Arial"/>
          <w:color w:val="0D0D0D"/>
          <w:sz w:val="23"/>
          <w:szCs w:val="23"/>
        </w:rPr>
      </w:pPr>
      <w:r w:rsidRPr="00801DCA">
        <w:rPr>
          <w:rFonts w:ascii="Arial Narrow" w:hAnsi="Arial Narrow" w:cs="Arial Narrow"/>
          <w:sz w:val="23"/>
          <w:szCs w:val="23"/>
          <w:lang w:val="es-CO"/>
        </w:rPr>
        <w:t>Director de Asuntos Ambientales Sectorial y Urbana</w:t>
      </w:r>
    </w:p>
    <w:sectPr w:rsidR="00725AB1" w:rsidRPr="00725AB1" w:rsidSect="00CD7195">
      <w:headerReference w:type="default" r:id="rId8"/>
      <w:footerReference w:type="default" r:id="rId9"/>
      <w:pgSz w:w="12240" w:h="15840"/>
      <w:pgMar w:top="253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B5B33" w14:textId="77777777" w:rsidR="00E049A3" w:rsidRDefault="00E049A3" w:rsidP="00CD6908">
      <w:pPr>
        <w:spacing w:after="0" w:line="240" w:lineRule="auto"/>
      </w:pPr>
      <w:r>
        <w:separator/>
      </w:r>
    </w:p>
  </w:endnote>
  <w:endnote w:type="continuationSeparator" w:id="0">
    <w:p w14:paraId="5D64D934" w14:textId="77777777" w:rsidR="00E049A3" w:rsidRDefault="00E049A3" w:rsidP="00CD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Narrow">
    <w:altName w:val="Arial"/>
    <w:panose1 w:val="00000000000000000000"/>
    <w:charset w:val="00"/>
    <w:family w:val="swiss"/>
    <w:notTrueType/>
    <w:pitch w:val="default"/>
    <w:sig w:usb0="00000003" w:usb1="00000000" w:usb2="00000000" w:usb3="00000000" w:csb0="00000001" w:csb1="00000000"/>
  </w:font>
  <w:font w:name="ArialNarrow-Italic">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5B474" w14:textId="77777777" w:rsidR="006810D0" w:rsidRDefault="006810D0" w:rsidP="006810D0">
    <w:pPr>
      <w:pStyle w:val="Piedepgina"/>
      <w:jc w:val="center"/>
      <w:rPr>
        <w:rFonts w:ascii="Verdana" w:hAnsi="Verdana"/>
        <w:sz w:val="18"/>
        <w:szCs w:val="18"/>
      </w:rPr>
    </w:pPr>
    <w:r w:rsidRPr="004E0067">
      <w:rPr>
        <w:rFonts w:ascii="Verdana" w:hAnsi="Verdana"/>
        <w:color w:val="BFBFBF"/>
        <w:sz w:val="18"/>
        <w:szCs w:val="18"/>
      </w:rPr>
      <w:t>F-E-SIG-26-V</w:t>
    </w:r>
    <w:r>
      <w:rPr>
        <w:rFonts w:ascii="Verdana" w:hAnsi="Verdana"/>
        <w:color w:val="BFBFBF"/>
        <w:sz w:val="18"/>
        <w:szCs w:val="18"/>
      </w:rPr>
      <w:t>3</w:t>
    </w:r>
    <w:r w:rsidRPr="004E0067">
      <w:rPr>
        <w:rFonts w:ascii="Verdana" w:hAnsi="Verdana"/>
        <w:color w:val="BFBFBF"/>
        <w:sz w:val="18"/>
        <w:szCs w:val="18"/>
      </w:rPr>
      <w:t xml:space="preserve">. Vigencia </w:t>
    </w:r>
    <w:r>
      <w:rPr>
        <w:rFonts w:ascii="Verdana" w:hAnsi="Verdana"/>
        <w:color w:val="BFBFBF"/>
        <w:sz w:val="18"/>
        <w:szCs w:val="18"/>
      </w:rPr>
      <w:t>18</w:t>
    </w:r>
    <w:r w:rsidRPr="004E0067">
      <w:rPr>
        <w:rFonts w:ascii="Verdana" w:hAnsi="Verdana"/>
        <w:color w:val="BFBFBF"/>
        <w:sz w:val="18"/>
        <w:szCs w:val="18"/>
      </w:rPr>
      <w:t>/</w:t>
    </w:r>
    <w:r>
      <w:rPr>
        <w:rFonts w:ascii="Verdana" w:hAnsi="Verdana"/>
        <w:color w:val="BFBFBF"/>
        <w:sz w:val="18"/>
        <w:szCs w:val="18"/>
      </w:rPr>
      <w:t>12</w:t>
    </w:r>
    <w:r w:rsidRPr="004E0067">
      <w:rPr>
        <w:rFonts w:ascii="Verdana" w:hAnsi="Verdana"/>
        <w:color w:val="BFBFBF"/>
        <w:sz w:val="18"/>
        <w:szCs w:val="18"/>
      </w:rPr>
      <w:t>/201</w:t>
    </w:r>
    <w:r>
      <w:rPr>
        <w:rFonts w:ascii="Verdana" w:hAnsi="Verdana"/>
        <w:color w:val="BFBFBF"/>
        <w:sz w:val="18"/>
        <w:szCs w:val="18"/>
      </w:rPr>
      <w:t>8</w:t>
    </w:r>
    <w:r w:rsidRPr="004E0067">
      <w:rPr>
        <w:rFonts w:ascii="Verdana" w:hAnsi="Verdana"/>
        <w:color w:val="BFBFBF"/>
        <w:sz w:val="18"/>
        <w:szCs w:val="18"/>
      </w:rPr>
      <w:t xml:space="preserve">                                     </w:t>
    </w:r>
    <w:r w:rsidRPr="00854ED8">
      <w:rPr>
        <w:rFonts w:ascii="Verdana" w:hAnsi="Verdana"/>
        <w:sz w:val="18"/>
        <w:szCs w:val="18"/>
      </w:rPr>
      <w:t xml:space="preserve">Calle 37 No. 8 </w:t>
    </w:r>
    <w:r>
      <w:rPr>
        <w:rFonts w:ascii="Verdana" w:hAnsi="Verdana"/>
        <w:sz w:val="18"/>
        <w:szCs w:val="18"/>
      </w:rPr>
      <w:t>–</w:t>
    </w:r>
    <w:r w:rsidRPr="00854ED8">
      <w:rPr>
        <w:rFonts w:ascii="Verdana" w:hAnsi="Verdana"/>
        <w:sz w:val="18"/>
        <w:szCs w:val="18"/>
      </w:rPr>
      <w:t xml:space="preserve"> 40</w:t>
    </w:r>
    <w:r>
      <w:rPr>
        <w:rFonts w:ascii="Verdana" w:hAnsi="Verdana"/>
        <w:sz w:val="18"/>
        <w:szCs w:val="18"/>
      </w:rPr>
      <w:t xml:space="preserve"> – Bogotá D.C.</w:t>
    </w:r>
  </w:p>
  <w:p w14:paraId="6BF8A2F9" w14:textId="77777777" w:rsidR="006810D0" w:rsidRPr="00854ED8" w:rsidRDefault="006810D0" w:rsidP="006810D0">
    <w:pPr>
      <w:pStyle w:val="Piedepgina"/>
      <w:jc w:val="right"/>
      <w:rPr>
        <w:rFonts w:ascii="Verdana" w:hAnsi="Verdana"/>
        <w:sz w:val="18"/>
        <w:szCs w:val="18"/>
      </w:rPr>
    </w:pPr>
    <w:r w:rsidRPr="00854ED8">
      <w:rPr>
        <w:rFonts w:ascii="Verdana" w:hAnsi="Verdana"/>
        <w:sz w:val="18"/>
        <w:szCs w:val="18"/>
      </w:rPr>
      <w:t>Conmutador (571) 3323400</w:t>
    </w:r>
  </w:p>
  <w:p w14:paraId="3C912CAF" w14:textId="77777777" w:rsidR="006810D0" w:rsidRDefault="006810D0" w:rsidP="006810D0">
    <w:pPr>
      <w:pStyle w:val="Piedepgina"/>
      <w:rPr>
        <w:rFonts w:ascii="Verdana" w:hAnsi="Verdana"/>
        <w:sz w:val="18"/>
        <w:szCs w:val="18"/>
      </w:rPr>
    </w:pPr>
    <w:r>
      <w:rPr>
        <w:rFonts w:ascii="Verdana" w:hAnsi="Verdana"/>
        <w:sz w:val="18"/>
        <w:szCs w:val="18"/>
      </w:rPr>
      <w:tab/>
    </w:r>
    <w:r>
      <w:rPr>
        <w:rFonts w:ascii="Verdana" w:hAnsi="Verdana"/>
        <w:sz w:val="18"/>
        <w:szCs w:val="18"/>
      </w:rPr>
      <w:tab/>
    </w:r>
    <w:hyperlink r:id="rId1" w:history="1">
      <w:r w:rsidRPr="00621C79">
        <w:rPr>
          <w:rStyle w:val="Hipervnculo"/>
          <w:rFonts w:ascii="Verdana" w:hAnsi="Verdana"/>
          <w:sz w:val="18"/>
          <w:szCs w:val="18"/>
        </w:rPr>
        <w:t>www.minambiente.gov.co</w:t>
      </w:r>
    </w:hyperlink>
    <w:r w:rsidRPr="00854ED8">
      <w:rPr>
        <w:rFonts w:ascii="Verdana" w:hAnsi="Verdana"/>
        <w:sz w:val="18"/>
        <w:szCs w:val="18"/>
      </w:rPr>
      <w:t xml:space="preserve"> </w:t>
    </w:r>
  </w:p>
  <w:p w14:paraId="286C03BA" w14:textId="77777777" w:rsidR="00A745BA" w:rsidRPr="006810D0" w:rsidRDefault="00A745BA" w:rsidP="006810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EC432" w14:textId="77777777" w:rsidR="00E049A3" w:rsidRDefault="00E049A3" w:rsidP="00CD6908">
      <w:pPr>
        <w:spacing w:after="0" w:line="240" w:lineRule="auto"/>
      </w:pPr>
      <w:r>
        <w:separator/>
      </w:r>
    </w:p>
  </w:footnote>
  <w:footnote w:type="continuationSeparator" w:id="0">
    <w:p w14:paraId="5133C272" w14:textId="77777777" w:rsidR="00E049A3" w:rsidRDefault="00E049A3" w:rsidP="00CD6908">
      <w:pPr>
        <w:spacing w:after="0" w:line="240" w:lineRule="auto"/>
      </w:pPr>
      <w:r>
        <w:continuationSeparator/>
      </w:r>
    </w:p>
  </w:footnote>
  <w:footnote w:id="1">
    <w:p w14:paraId="6A734CBB" w14:textId="77777777" w:rsidR="004340D0" w:rsidRPr="004340D0" w:rsidRDefault="004340D0" w:rsidP="00C85600">
      <w:pPr>
        <w:pStyle w:val="Textonotapie"/>
        <w:jc w:val="both"/>
        <w:rPr>
          <w:lang w:val="es-CO"/>
        </w:rPr>
      </w:pPr>
      <w:r>
        <w:rPr>
          <w:rStyle w:val="Refdenotaalpie"/>
        </w:rPr>
        <w:footnoteRef/>
      </w:r>
      <w:r>
        <w:t xml:space="preserve"> </w:t>
      </w:r>
      <w:r w:rsidR="00FB5050" w:rsidRPr="00C85600">
        <w:rPr>
          <w:rFonts w:ascii="Arial Narrow" w:hAnsi="Arial Narrow"/>
          <w:lang w:val="es-CO"/>
        </w:rPr>
        <w:t xml:space="preserve">La propuesta normativa para actualización de los términos de referencia para la elaboración del Diagnóstico Ambiental de Alternativas para proyectos puntuales de construcción y operación de infraestructura de transporte: puertos y aeropuertos, no modifica ninguna disposición </w:t>
      </w:r>
      <w:r w:rsidR="00507FE0" w:rsidRPr="00C85600">
        <w:rPr>
          <w:rFonts w:ascii="Arial Narrow" w:hAnsi="Arial Narrow"/>
          <w:lang w:val="es-CO"/>
        </w:rPr>
        <w:t>contenida en la Resolución 1255 de 2006 en relación con proyectos, obras o actividades puntuales, diferentes a los</w:t>
      </w:r>
      <w:r w:rsidR="00C85600" w:rsidRPr="00C85600">
        <w:rPr>
          <w:rFonts w:ascii="Arial Narrow" w:hAnsi="Arial Narrow"/>
          <w:lang w:val="es-CO"/>
        </w:rPr>
        <w:t xml:space="preserve"> reglamentados por la presente propuesta normativa.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4E604" w14:textId="77777777" w:rsidR="00A745BA" w:rsidRPr="005E2C5E" w:rsidRDefault="006810D0" w:rsidP="0077490D">
    <w:pPr>
      <w:pStyle w:val="Encabezado"/>
      <w:jc w:val="right"/>
      <w:rPr>
        <w:rFonts w:ascii="Verdana" w:hAnsi="Verdana"/>
      </w:rPr>
    </w:pPr>
    <w:r>
      <w:rPr>
        <w:rFonts w:ascii="Verdana" w:hAnsi="Verdana"/>
        <w:noProof/>
        <w:lang w:eastAsia="es-CO"/>
      </w:rPr>
      <w:drawing>
        <wp:inline distT="0" distB="0" distL="0" distR="0" wp14:anchorId="3631790A" wp14:editId="22FD4CAD">
          <wp:extent cx="3124835" cy="612140"/>
          <wp:effectExtent l="0" t="0" r="0" b="0"/>
          <wp:docPr id="2" name="Imagen 2"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inambien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835"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E314B"/>
    <w:multiLevelType w:val="multilevel"/>
    <w:tmpl w:val="A544B0CE"/>
    <w:lvl w:ilvl="0">
      <w:start w:val="1"/>
      <w:numFmt w:val="decimal"/>
      <w:lvlText w:val="%1."/>
      <w:lvlJc w:val="left"/>
      <w:pPr>
        <w:ind w:left="360" w:hanging="360"/>
      </w:pPr>
      <w:rPr>
        <w:rFonts w:hint="default"/>
        <w:b/>
      </w:rPr>
    </w:lvl>
    <w:lvl w:ilvl="1">
      <w:start w:val="1"/>
      <w:numFmt w:val="decimal"/>
      <w:lvlText w:val="%1.%2."/>
      <w:lvlJc w:val="left"/>
      <w:pPr>
        <w:ind w:left="1800" w:hanging="360"/>
      </w:pPr>
      <w:rPr>
        <w:rFonts w:ascii="Arial Narrow" w:hAnsi="Arial Narrow" w:hint="default"/>
        <w:b/>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12BE3047"/>
    <w:multiLevelType w:val="hybridMultilevel"/>
    <w:tmpl w:val="78086B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3C158E"/>
    <w:multiLevelType w:val="hybridMultilevel"/>
    <w:tmpl w:val="1E9CD1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5947905"/>
    <w:multiLevelType w:val="hybridMultilevel"/>
    <w:tmpl w:val="155CE5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E8A3F72"/>
    <w:multiLevelType w:val="hybridMultilevel"/>
    <w:tmpl w:val="5AFA7BB4"/>
    <w:lvl w:ilvl="0" w:tplc="94BEB16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843585C"/>
    <w:multiLevelType w:val="hybridMultilevel"/>
    <w:tmpl w:val="6CB60828"/>
    <w:lvl w:ilvl="0" w:tplc="DB04CAE6">
      <w:numFmt w:val="bullet"/>
      <w:lvlText w:val="-"/>
      <w:lvlJc w:val="left"/>
      <w:pPr>
        <w:ind w:left="720" w:hanging="360"/>
      </w:pPr>
      <w:rPr>
        <w:rFonts w:ascii="Arial Narrow" w:eastAsia="Calibri"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C7E2C22"/>
    <w:multiLevelType w:val="hybridMultilevel"/>
    <w:tmpl w:val="7E04D5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961335B"/>
    <w:multiLevelType w:val="hybridMultilevel"/>
    <w:tmpl w:val="BE2AEC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C1E76BA"/>
    <w:multiLevelType w:val="hybridMultilevel"/>
    <w:tmpl w:val="FE7C91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E8D7289"/>
    <w:multiLevelType w:val="hybridMultilevel"/>
    <w:tmpl w:val="B0D69F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3"/>
  </w:num>
  <w:num w:numId="3">
    <w:abstractNumId w:val="10"/>
  </w:num>
  <w:num w:numId="4">
    <w:abstractNumId w:val="2"/>
  </w:num>
  <w:num w:numId="5">
    <w:abstractNumId w:val="6"/>
  </w:num>
  <w:num w:numId="6">
    <w:abstractNumId w:val="8"/>
  </w:num>
  <w:num w:numId="7">
    <w:abstractNumId w:val="1"/>
  </w:num>
  <w:num w:numId="8">
    <w:abstractNumId w:val="5"/>
  </w:num>
  <w:num w:numId="9">
    <w:abstractNumId w:val="7"/>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908"/>
    <w:rsid w:val="00000031"/>
    <w:rsid w:val="00004AA9"/>
    <w:rsid w:val="000111BB"/>
    <w:rsid w:val="00014165"/>
    <w:rsid w:val="00037078"/>
    <w:rsid w:val="00044163"/>
    <w:rsid w:val="0004486C"/>
    <w:rsid w:val="00044A23"/>
    <w:rsid w:val="00067D84"/>
    <w:rsid w:val="000718CD"/>
    <w:rsid w:val="000723FD"/>
    <w:rsid w:val="00073D80"/>
    <w:rsid w:val="000744C4"/>
    <w:rsid w:val="00075361"/>
    <w:rsid w:val="00075B82"/>
    <w:rsid w:val="0008055A"/>
    <w:rsid w:val="00093467"/>
    <w:rsid w:val="0009786D"/>
    <w:rsid w:val="000A4959"/>
    <w:rsid w:val="000D6AE9"/>
    <w:rsid w:val="000E5C89"/>
    <w:rsid w:val="000F3767"/>
    <w:rsid w:val="00102516"/>
    <w:rsid w:val="001037B8"/>
    <w:rsid w:val="001200A2"/>
    <w:rsid w:val="0013083E"/>
    <w:rsid w:val="0013367E"/>
    <w:rsid w:val="001437DC"/>
    <w:rsid w:val="0014790B"/>
    <w:rsid w:val="001553CD"/>
    <w:rsid w:val="00161C79"/>
    <w:rsid w:val="001756B5"/>
    <w:rsid w:val="00181BCD"/>
    <w:rsid w:val="00190CC7"/>
    <w:rsid w:val="001925B6"/>
    <w:rsid w:val="0019260E"/>
    <w:rsid w:val="00194266"/>
    <w:rsid w:val="00194987"/>
    <w:rsid w:val="00196A77"/>
    <w:rsid w:val="00196F99"/>
    <w:rsid w:val="001A55A3"/>
    <w:rsid w:val="001C1488"/>
    <w:rsid w:val="001C4066"/>
    <w:rsid w:val="001D6694"/>
    <w:rsid w:val="001E6A54"/>
    <w:rsid w:val="001E754E"/>
    <w:rsid w:val="001F7EAD"/>
    <w:rsid w:val="0020123D"/>
    <w:rsid w:val="00202195"/>
    <w:rsid w:val="002050FC"/>
    <w:rsid w:val="00211678"/>
    <w:rsid w:val="00212F13"/>
    <w:rsid w:val="00221BA7"/>
    <w:rsid w:val="002248DC"/>
    <w:rsid w:val="00243C12"/>
    <w:rsid w:val="002449DA"/>
    <w:rsid w:val="002633D0"/>
    <w:rsid w:val="0026437C"/>
    <w:rsid w:val="002744CD"/>
    <w:rsid w:val="00284CAB"/>
    <w:rsid w:val="00285381"/>
    <w:rsid w:val="002A2C06"/>
    <w:rsid w:val="002A654A"/>
    <w:rsid w:val="002B00EC"/>
    <w:rsid w:val="002B0AC5"/>
    <w:rsid w:val="002B18C9"/>
    <w:rsid w:val="002B447E"/>
    <w:rsid w:val="002C1491"/>
    <w:rsid w:val="002C25C6"/>
    <w:rsid w:val="002C55F3"/>
    <w:rsid w:val="002D2C7E"/>
    <w:rsid w:val="002D3429"/>
    <w:rsid w:val="002D7F5E"/>
    <w:rsid w:val="002E0453"/>
    <w:rsid w:val="002E212D"/>
    <w:rsid w:val="002E4D0F"/>
    <w:rsid w:val="002F1964"/>
    <w:rsid w:val="00305258"/>
    <w:rsid w:val="0031227C"/>
    <w:rsid w:val="003148DF"/>
    <w:rsid w:val="0031698D"/>
    <w:rsid w:val="0032450B"/>
    <w:rsid w:val="0032717E"/>
    <w:rsid w:val="0033028A"/>
    <w:rsid w:val="00332C28"/>
    <w:rsid w:val="003349E9"/>
    <w:rsid w:val="00342152"/>
    <w:rsid w:val="0034793C"/>
    <w:rsid w:val="003500F6"/>
    <w:rsid w:val="0035136B"/>
    <w:rsid w:val="00370FD8"/>
    <w:rsid w:val="0038053C"/>
    <w:rsid w:val="00383BC9"/>
    <w:rsid w:val="0038774A"/>
    <w:rsid w:val="00391097"/>
    <w:rsid w:val="003B277E"/>
    <w:rsid w:val="003B53E4"/>
    <w:rsid w:val="003C502D"/>
    <w:rsid w:val="003D1187"/>
    <w:rsid w:val="003D48EF"/>
    <w:rsid w:val="003E0365"/>
    <w:rsid w:val="003F5145"/>
    <w:rsid w:val="00410DA3"/>
    <w:rsid w:val="00412543"/>
    <w:rsid w:val="0041420D"/>
    <w:rsid w:val="00426A34"/>
    <w:rsid w:val="00431909"/>
    <w:rsid w:val="004340D0"/>
    <w:rsid w:val="00446CC7"/>
    <w:rsid w:val="00452803"/>
    <w:rsid w:val="004530AE"/>
    <w:rsid w:val="00470101"/>
    <w:rsid w:val="00472A1C"/>
    <w:rsid w:val="004914F3"/>
    <w:rsid w:val="004C0A1C"/>
    <w:rsid w:val="004C1CC3"/>
    <w:rsid w:val="004D0CB1"/>
    <w:rsid w:val="004D47F4"/>
    <w:rsid w:val="004F49AF"/>
    <w:rsid w:val="005011C6"/>
    <w:rsid w:val="00507FE0"/>
    <w:rsid w:val="00516858"/>
    <w:rsid w:val="00517B8D"/>
    <w:rsid w:val="005245DC"/>
    <w:rsid w:val="00526DF0"/>
    <w:rsid w:val="00526ED1"/>
    <w:rsid w:val="00530453"/>
    <w:rsid w:val="005328AD"/>
    <w:rsid w:val="0056443F"/>
    <w:rsid w:val="00571AE4"/>
    <w:rsid w:val="00590D1A"/>
    <w:rsid w:val="005964FF"/>
    <w:rsid w:val="005A1E87"/>
    <w:rsid w:val="005B1E88"/>
    <w:rsid w:val="005B7E5F"/>
    <w:rsid w:val="005C3D13"/>
    <w:rsid w:val="005D0BFC"/>
    <w:rsid w:val="005D223F"/>
    <w:rsid w:val="005D5050"/>
    <w:rsid w:val="005E2C5E"/>
    <w:rsid w:val="005F4937"/>
    <w:rsid w:val="00624158"/>
    <w:rsid w:val="006277CB"/>
    <w:rsid w:val="006307EC"/>
    <w:rsid w:val="006348D9"/>
    <w:rsid w:val="00646427"/>
    <w:rsid w:val="00647706"/>
    <w:rsid w:val="00653B51"/>
    <w:rsid w:val="00667479"/>
    <w:rsid w:val="00676DE7"/>
    <w:rsid w:val="006810D0"/>
    <w:rsid w:val="0068355F"/>
    <w:rsid w:val="006845EB"/>
    <w:rsid w:val="0069598C"/>
    <w:rsid w:val="006A382C"/>
    <w:rsid w:val="006A4747"/>
    <w:rsid w:val="006C503C"/>
    <w:rsid w:val="006F1DA0"/>
    <w:rsid w:val="006F2FCE"/>
    <w:rsid w:val="006F562B"/>
    <w:rsid w:val="006F5F29"/>
    <w:rsid w:val="006F6230"/>
    <w:rsid w:val="006F6466"/>
    <w:rsid w:val="00717F2B"/>
    <w:rsid w:val="00725AB1"/>
    <w:rsid w:val="00726FD5"/>
    <w:rsid w:val="00731942"/>
    <w:rsid w:val="007337F2"/>
    <w:rsid w:val="00741B71"/>
    <w:rsid w:val="00747C41"/>
    <w:rsid w:val="0075473F"/>
    <w:rsid w:val="0076318C"/>
    <w:rsid w:val="0077406F"/>
    <w:rsid w:val="00774170"/>
    <w:rsid w:val="0077490D"/>
    <w:rsid w:val="00793FED"/>
    <w:rsid w:val="007A0797"/>
    <w:rsid w:val="007A121D"/>
    <w:rsid w:val="007A5310"/>
    <w:rsid w:val="007A7082"/>
    <w:rsid w:val="007A7CC5"/>
    <w:rsid w:val="007B2605"/>
    <w:rsid w:val="007C0D7D"/>
    <w:rsid w:val="007D4381"/>
    <w:rsid w:val="007E393A"/>
    <w:rsid w:val="007F4896"/>
    <w:rsid w:val="00801DCA"/>
    <w:rsid w:val="00806898"/>
    <w:rsid w:val="00810405"/>
    <w:rsid w:val="00822586"/>
    <w:rsid w:val="008314F0"/>
    <w:rsid w:val="008472D6"/>
    <w:rsid w:val="00854ED8"/>
    <w:rsid w:val="00866AE9"/>
    <w:rsid w:val="008718D3"/>
    <w:rsid w:val="008753A0"/>
    <w:rsid w:val="008A2F0A"/>
    <w:rsid w:val="008A3AF0"/>
    <w:rsid w:val="008A70A0"/>
    <w:rsid w:val="008C63C2"/>
    <w:rsid w:val="008C7ABE"/>
    <w:rsid w:val="008D105E"/>
    <w:rsid w:val="008D63E0"/>
    <w:rsid w:val="008E4F21"/>
    <w:rsid w:val="008F1335"/>
    <w:rsid w:val="00900547"/>
    <w:rsid w:val="00903794"/>
    <w:rsid w:val="0090561B"/>
    <w:rsid w:val="00906DA7"/>
    <w:rsid w:val="00906FFA"/>
    <w:rsid w:val="0092017D"/>
    <w:rsid w:val="00922212"/>
    <w:rsid w:val="00922584"/>
    <w:rsid w:val="009371A3"/>
    <w:rsid w:val="00942EA7"/>
    <w:rsid w:val="00943749"/>
    <w:rsid w:val="00951EDF"/>
    <w:rsid w:val="00955B93"/>
    <w:rsid w:val="009755EE"/>
    <w:rsid w:val="009771BB"/>
    <w:rsid w:val="00991EDD"/>
    <w:rsid w:val="009A154E"/>
    <w:rsid w:val="009A5629"/>
    <w:rsid w:val="009D34C4"/>
    <w:rsid w:val="009F3927"/>
    <w:rsid w:val="00A0340B"/>
    <w:rsid w:val="00A06B50"/>
    <w:rsid w:val="00A2409F"/>
    <w:rsid w:val="00A25BE7"/>
    <w:rsid w:val="00A355AA"/>
    <w:rsid w:val="00A46C13"/>
    <w:rsid w:val="00A52375"/>
    <w:rsid w:val="00A745BA"/>
    <w:rsid w:val="00A773A8"/>
    <w:rsid w:val="00A861B7"/>
    <w:rsid w:val="00A87534"/>
    <w:rsid w:val="00AD0C6E"/>
    <w:rsid w:val="00AF4903"/>
    <w:rsid w:val="00B136FC"/>
    <w:rsid w:val="00B16E06"/>
    <w:rsid w:val="00B31E15"/>
    <w:rsid w:val="00B50661"/>
    <w:rsid w:val="00B62877"/>
    <w:rsid w:val="00B82BDB"/>
    <w:rsid w:val="00B95B3D"/>
    <w:rsid w:val="00BA0E9B"/>
    <w:rsid w:val="00BA4CD8"/>
    <w:rsid w:val="00BA534F"/>
    <w:rsid w:val="00BB75A0"/>
    <w:rsid w:val="00BC346F"/>
    <w:rsid w:val="00BC4698"/>
    <w:rsid w:val="00C14673"/>
    <w:rsid w:val="00C155BB"/>
    <w:rsid w:val="00C2783E"/>
    <w:rsid w:val="00C34748"/>
    <w:rsid w:val="00C405AF"/>
    <w:rsid w:val="00C4277D"/>
    <w:rsid w:val="00C50A49"/>
    <w:rsid w:val="00C52DEE"/>
    <w:rsid w:val="00C5304E"/>
    <w:rsid w:val="00C62DAC"/>
    <w:rsid w:val="00C7431B"/>
    <w:rsid w:val="00C80024"/>
    <w:rsid w:val="00C82E25"/>
    <w:rsid w:val="00C85600"/>
    <w:rsid w:val="00C91E28"/>
    <w:rsid w:val="00CA3CA3"/>
    <w:rsid w:val="00CA4E80"/>
    <w:rsid w:val="00CB0FBB"/>
    <w:rsid w:val="00CB5C00"/>
    <w:rsid w:val="00CB7FD8"/>
    <w:rsid w:val="00CD6908"/>
    <w:rsid w:val="00CD7195"/>
    <w:rsid w:val="00CE14B9"/>
    <w:rsid w:val="00CF1473"/>
    <w:rsid w:val="00D03197"/>
    <w:rsid w:val="00D14BCF"/>
    <w:rsid w:val="00D21A0B"/>
    <w:rsid w:val="00D232E1"/>
    <w:rsid w:val="00D326DB"/>
    <w:rsid w:val="00D41D70"/>
    <w:rsid w:val="00D460AB"/>
    <w:rsid w:val="00D51C9C"/>
    <w:rsid w:val="00D52D6E"/>
    <w:rsid w:val="00D76517"/>
    <w:rsid w:val="00D9690D"/>
    <w:rsid w:val="00DA424A"/>
    <w:rsid w:val="00DB7379"/>
    <w:rsid w:val="00DC575A"/>
    <w:rsid w:val="00DD1A9F"/>
    <w:rsid w:val="00DD3058"/>
    <w:rsid w:val="00DE2CEC"/>
    <w:rsid w:val="00E0454C"/>
    <w:rsid w:val="00E049A3"/>
    <w:rsid w:val="00E06136"/>
    <w:rsid w:val="00E259C2"/>
    <w:rsid w:val="00E2642F"/>
    <w:rsid w:val="00E36BD6"/>
    <w:rsid w:val="00E40B97"/>
    <w:rsid w:val="00E41296"/>
    <w:rsid w:val="00E433F1"/>
    <w:rsid w:val="00E46BB6"/>
    <w:rsid w:val="00E64F9D"/>
    <w:rsid w:val="00E75A11"/>
    <w:rsid w:val="00EA3F9B"/>
    <w:rsid w:val="00EA7B56"/>
    <w:rsid w:val="00EB290D"/>
    <w:rsid w:val="00EB2AD2"/>
    <w:rsid w:val="00EB2F32"/>
    <w:rsid w:val="00EB4A93"/>
    <w:rsid w:val="00EC6648"/>
    <w:rsid w:val="00ED245E"/>
    <w:rsid w:val="00ED5CC8"/>
    <w:rsid w:val="00EE3891"/>
    <w:rsid w:val="00F120AD"/>
    <w:rsid w:val="00F15BFE"/>
    <w:rsid w:val="00F21F38"/>
    <w:rsid w:val="00F22B54"/>
    <w:rsid w:val="00F25BA4"/>
    <w:rsid w:val="00F45A60"/>
    <w:rsid w:val="00F568B8"/>
    <w:rsid w:val="00F672E3"/>
    <w:rsid w:val="00F77BBB"/>
    <w:rsid w:val="00F95918"/>
    <w:rsid w:val="00F96A0D"/>
    <w:rsid w:val="00FA08E4"/>
    <w:rsid w:val="00FB46FE"/>
    <w:rsid w:val="00FB5050"/>
    <w:rsid w:val="00FE2F68"/>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FDDA0"/>
  <w15:docId w15:val="{13E224D8-96A7-4E60-A032-92E68157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D6908"/>
    <w:pPr>
      <w:tabs>
        <w:tab w:val="center" w:pos="4419"/>
        <w:tab w:val="right" w:pos="8838"/>
      </w:tabs>
      <w:spacing w:after="0" w:line="240" w:lineRule="auto"/>
    </w:pPr>
  </w:style>
  <w:style w:type="character" w:customStyle="1" w:styleId="EncabezadoCar">
    <w:name w:val="Encabezado Car"/>
    <w:basedOn w:val="Fuentedeprrafopredeter"/>
    <w:link w:val="Encabezado"/>
    <w:rsid w:val="00CD6908"/>
  </w:style>
  <w:style w:type="paragraph" w:styleId="Piedepgina">
    <w:name w:val="footer"/>
    <w:basedOn w:val="Normal"/>
    <w:link w:val="PiedepginaCar"/>
    <w:uiPriority w:val="99"/>
    <w:unhideWhenUsed/>
    <w:rsid w:val="00CD69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line="240" w:lineRule="auto"/>
    </w:pPr>
    <w:rPr>
      <w:rFonts w:ascii="Times New Roman" w:eastAsia="Times New Roman" w:hAnsi="Times New Roman"/>
      <w:sz w:val="24"/>
      <w:szCs w:val="24"/>
      <w:lang w:eastAsia="es-CO"/>
    </w:rPr>
  </w:style>
  <w:style w:type="paragraph" w:styleId="Textodeglobo">
    <w:name w:val="Balloon Text"/>
    <w:basedOn w:val="Normal"/>
    <w:link w:val="TextodegloboCar"/>
    <w:uiPriority w:val="99"/>
    <w:semiHidden/>
    <w:unhideWhenUsed/>
    <w:rsid w:val="008718D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8718D3"/>
    <w:rPr>
      <w:rFonts w:ascii="Tahoma" w:hAnsi="Tahoma" w:cs="Tahoma"/>
      <w:sz w:val="16"/>
      <w:szCs w:val="16"/>
    </w:rPr>
  </w:style>
  <w:style w:type="character" w:styleId="Hipervnculo">
    <w:name w:val="Hyperlink"/>
    <w:uiPriority w:val="99"/>
    <w:unhideWhenUsed/>
    <w:rsid w:val="008753A0"/>
    <w:rPr>
      <w:color w:val="0563C1"/>
      <w:u w:val="single"/>
    </w:rPr>
  </w:style>
  <w:style w:type="paragraph" w:customStyle="1" w:styleId="WW-Textoindependiente3">
    <w:name w:val="WW-Texto independiente 3"/>
    <w:basedOn w:val="Normal"/>
    <w:rsid w:val="00014165"/>
    <w:pPr>
      <w:suppressAutoHyphens/>
      <w:overflowPunct w:val="0"/>
      <w:autoSpaceDE w:val="0"/>
      <w:autoSpaceDN w:val="0"/>
      <w:adjustRightInd w:val="0"/>
      <w:spacing w:after="0" w:line="240" w:lineRule="auto"/>
      <w:jc w:val="both"/>
      <w:textAlignment w:val="baseline"/>
    </w:pPr>
    <w:rPr>
      <w:rFonts w:ascii="Times New Roman" w:eastAsia="Times New Roman" w:hAnsi="Times New Roman"/>
      <w:noProof/>
      <w:sz w:val="24"/>
      <w:szCs w:val="20"/>
      <w:lang w:val="es-ES_tradnl" w:eastAsia="es-MX"/>
    </w:rPr>
  </w:style>
  <w:style w:type="character" w:customStyle="1" w:styleId="st1">
    <w:name w:val="st1"/>
    <w:rsid w:val="007C0D7D"/>
  </w:style>
  <w:style w:type="character" w:styleId="Refdenotaalpie">
    <w:name w:val="footnote reference"/>
    <w:semiHidden/>
    <w:rsid w:val="007C0D7D"/>
    <w:rPr>
      <w:sz w:val="20"/>
      <w:vertAlign w:val="superscript"/>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fn,footnote text"/>
    <w:basedOn w:val="Normal"/>
    <w:link w:val="TextonotapieCar"/>
    <w:qFormat/>
    <w:rsid w:val="007C0D7D"/>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fn Car,footnote text Car"/>
    <w:link w:val="Textonotapie"/>
    <w:rsid w:val="007C0D7D"/>
    <w:rPr>
      <w:rFonts w:ascii="Times New Roman" w:eastAsia="Times New Roman" w:hAnsi="Times New Roman"/>
      <w:lang w:val="es-ES" w:eastAsia="es-ES"/>
    </w:rPr>
  </w:style>
  <w:style w:type="paragraph" w:customStyle="1" w:styleId="Default">
    <w:name w:val="Default"/>
    <w:rsid w:val="007C0D7D"/>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semiHidden/>
    <w:unhideWhenUsed/>
    <w:rsid w:val="007C0D7D"/>
    <w:pPr>
      <w:spacing w:after="120" w:line="240" w:lineRule="auto"/>
    </w:pPr>
    <w:rPr>
      <w:rFonts w:ascii="Cambria" w:eastAsia="Times New Roman" w:hAnsi="Cambria"/>
      <w:sz w:val="24"/>
      <w:szCs w:val="24"/>
      <w:lang w:val="es-ES_tradnl" w:eastAsia="es-ES"/>
    </w:rPr>
  </w:style>
  <w:style w:type="character" w:customStyle="1" w:styleId="TextoindependienteCar">
    <w:name w:val="Texto independiente Car"/>
    <w:link w:val="Textoindependiente"/>
    <w:uiPriority w:val="99"/>
    <w:semiHidden/>
    <w:rsid w:val="007C0D7D"/>
    <w:rPr>
      <w:rFonts w:ascii="Cambria" w:eastAsia="Times New Roman" w:hAnsi="Cambria"/>
      <w:sz w:val="24"/>
      <w:szCs w:val="24"/>
      <w:lang w:val="es-ES_tradnl" w:eastAsia="es-ES"/>
    </w:rPr>
  </w:style>
  <w:style w:type="paragraph" w:styleId="Prrafodelista">
    <w:name w:val="List Paragraph"/>
    <w:aliases w:val="HOJA,Lista vistosa - Énfasis 11,Bolita"/>
    <w:basedOn w:val="Normal"/>
    <w:link w:val="PrrafodelistaCar"/>
    <w:uiPriority w:val="34"/>
    <w:qFormat/>
    <w:rsid w:val="007C0D7D"/>
    <w:pPr>
      <w:spacing w:after="0" w:line="240" w:lineRule="auto"/>
      <w:ind w:left="720"/>
      <w:contextualSpacing/>
    </w:pPr>
    <w:rPr>
      <w:rFonts w:ascii="Cambria" w:eastAsia="Times New Roman" w:hAnsi="Cambria"/>
      <w:sz w:val="24"/>
      <w:szCs w:val="24"/>
      <w:lang w:val="es-ES_tradnl" w:eastAsia="es-ES"/>
    </w:rPr>
  </w:style>
  <w:style w:type="character" w:customStyle="1" w:styleId="hps">
    <w:name w:val="hps"/>
    <w:rsid w:val="00C52DEE"/>
  </w:style>
  <w:style w:type="table" w:styleId="Tablaconcuadrcula">
    <w:name w:val="Table Grid"/>
    <w:basedOn w:val="Tablanormal"/>
    <w:uiPriority w:val="59"/>
    <w:rsid w:val="00C2783E"/>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2">
    <w:name w:val="Body Text 2"/>
    <w:basedOn w:val="Normal"/>
    <w:link w:val="Textoindependiente2Car"/>
    <w:uiPriority w:val="99"/>
    <w:semiHidden/>
    <w:unhideWhenUsed/>
    <w:rsid w:val="00C2783E"/>
    <w:pPr>
      <w:spacing w:after="120" w:line="480" w:lineRule="auto"/>
    </w:pPr>
  </w:style>
  <w:style w:type="character" w:customStyle="1" w:styleId="Textoindependiente2Car">
    <w:name w:val="Texto independiente 2 Car"/>
    <w:link w:val="Textoindependiente2"/>
    <w:uiPriority w:val="99"/>
    <w:semiHidden/>
    <w:rsid w:val="00C2783E"/>
    <w:rPr>
      <w:sz w:val="22"/>
      <w:szCs w:val="22"/>
      <w:lang w:eastAsia="en-US"/>
    </w:rPr>
  </w:style>
  <w:style w:type="character" w:styleId="Refdecomentario">
    <w:name w:val="annotation reference"/>
    <w:basedOn w:val="Fuentedeprrafopredeter"/>
    <w:uiPriority w:val="99"/>
    <w:semiHidden/>
    <w:unhideWhenUsed/>
    <w:rsid w:val="00196F99"/>
    <w:rPr>
      <w:sz w:val="16"/>
      <w:szCs w:val="16"/>
    </w:rPr>
  </w:style>
  <w:style w:type="paragraph" w:styleId="Textocomentario">
    <w:name w:val="annotation text"/>
    <w:basedOn w:val="Normal"/>
    <w:link w:val="TextocomentarioCar"/>
    <w:uiPriority w:val="99"/>
    <w:semiHidden/>
    <w:unhideWhenUsed/>
    <w:rsid w:val="00196F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6F99"/>
    <w:rPr>
      <w:lang w:eastAsia="en-US"/>
    </w:rPr>
  </w:style>
  <w:style w:type="paragraph" w:styleId="Asuntodelcomentario">
    <w:name w:val="annotation subject"/>
    <w:basedOn w:val="Textocomentario"/>
    <w:next w:val="Textocomentario"/>
    <w:link w:val="AsuntodelcomentarioCar"/>
    <w:uiPriority w:val="99"/>
    <w:semiHidden/>
    <w:unhideWhenUsed/>
    <w:rsid w:val="00196F99"/>
    <w:rPr>
      <w:b/>
      <w:bCs/>
    </w:rPr>
  </w:style>
  <w:style w:type="character" w:customStyle="1" w:styleId="AsuntodelcomentarioCar">
    <w:name w:val="Asunto del comentario Car"/>
    <w:basedOn w:val="TextocomentarioCar"/>
    <w:link w:val="Asuntodelcomentario"/>
    <w:uiPriority w:val="99"/>
    <w:semiHidden/>
    <w:rsid w:val="00196F99"/>
    <w:rPr>
      <w:b/>
      <w:bCs/>
      <w:lang w:eastAsia="en-US"/>
    </w:rPr>
  </w:style>
  <w:style w:type="character" w:customStyle="1" w:styleId="PrrafodelistaCar">
    <w:name w:val="Párrafo de lista Car"/>
    <w:aliases w:val="HOJA Car,Lista vistosa - Énfasis 11 Car,Bolita Car"/>
    <w:link w:val="Prrafodelista"/>
    <w:uiPriority w:val="34"/>
    <w:rsid w:val="00B50661"/>
    <w:rPr>
      <w:rFonts w:ascii="Cambria" w:eastAsia="Times New Roman" w:hAnsi="Cambria"/>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6178">
      <w:bodyDiv w:val="1"/>
      <w:marLeft w:val="0"/>
      <w:marRight w:val="0"/>
      <w:marTop w:val="0"/>
      <w:marBottom w:val="0"/>
      <w:divBdr>
        <w:top w:val="none" w:sz="0" w:space="0" w:color="auto"/>
        <w:left w:val="none" w:sz="0" w:space="0" w:color="auto"/>
        <w:bottom w:val="none" w:sz="0" w:space="0" w:color="auto"/>
        <w:right w:val="none" w:sz="0" w:space="0" w:color="auto"/>
      </w:divBdr>
    </w:div>
    <w:div w:id="205802202">
      <w:bodyDiv w:val="1"/>
      <w:marLeft w:val="0"/>
      <w:marRight w:val="0"/>
      <w:marTop w:val="0"/>
      <w:marBottom w:val="0"/>
      <w:divBdr>
        <w:top w:val="none" w:sz="0" w:space="0" w:color="auto"/>
        <w:left w:val="none" w:sz="0" w:space="0" w:color="auto"/>
        <w:bottom w:val="none" w:sz="0" w:space="0" w:color="auto"/>
        <w:right w:val="none" w:sz="0" w:space="0" w:color="auto"/>
      </w:divBdr>
    </w:div>
    <w:div w:id="365250922">
      <w:bodyDiv w:val="1"/>
      <w:marLeft w:val="0"/>
      <w:marRight w:val="0"/>
      <w:marTop w:val="0"/>
      <w:marBottom w:val="0"/>
      <w:divBdr>
        <w:top w:val="none" w:sz="0" w:space="0" w:color="auto"/>
        <w:left w:val="none" w:sz="0" w:space="0" w:color="auto"/>
        <w:bottom w:val="none" w:sz="0" w:space="0" w:color="auto"/>
        <w:right w:val="none" w:sz="0" w:space="0" w:color="auto"/>
      </w:divBdr>
    </w:div>
    <w:div w:id="1419473871">
      <w:bodyDiv w:val="1"/>
      <w:marLeft w:val="0"/>
      <w:marRight w:val="0"/>
      <w:marTop w:val="0"/>
      <w:marBottom w:val="0"/>
      <w:divBdr>
        <w:top w:val="none" w:sz="0" w:space="0" w:color="auto"/>
        <w:left w:val="none" w:sz="0" w:space="0" w:color="auto"/>
        <w:bottom w:val="none" w:sz="0" w:space="0" w:color="auto"/>
        <w:right w:val="none" w:sz="0" w:space="0" w:color="auto"/>
      </w:divBdr>
    </w:div>
    <w:div w:id="156822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EC9E1-D464-4BC8-97CC-AF0008D7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2086</Words>
  <Characters>11478</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Andrés Felipe Carvajal Díaz</cp:lastModifiedBy>
  <cp:revision>4</cp:revision>
  <cp:lastPrinted>2019-01-29T13:50:00Z</cp:lastPrinted>
  <dcterms:created xsi:type="dcterms:W3CDTF">2019-06-13T20:29:00Z</dcterms:created>
  <dcterms:modified xsi:type="dcterms:W3CDTF">2019-08-13T16:00:00Z</dcterms:modified>
</cp:coreProperties>
</file>