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F05" w:rsidRDefault="00C76F05" w:rsidP="00426580">
      <w:pPr>
        <w:pStyle w:val="Textoindependiente"/>
        <w:widowControl w:val="0"/>
        <w:tabs>
          <w:tab w:val="left" w:pos="7797"/>
        </w:tabs>
        <w:jc w:val="center"/>
        <w:rPr>
          <w:rFonts w:ascii="Arial Narrow" w:hAnsi="Arial Narrow" w:cs="Arial"/>
          <w:b/>
          <w:sz w:val="24"/>
          <w:szCs w:val="24"/>
          <w:u w:val="single"/>
        </w:rPr>
      </w:pPr>
    </w:p>
    <w:p w:rsidR="00426580" w:rsidRPr="001E18F0" w:rsidRDefault="003525CC" w:rsidP="00D95E5D">
      <w:pPr>
        <w:pStyle w:val="Textoindependiente"/>
        <w:widowControl w:val="0"/>
        <w:tabs>
          <w:tab w:val="left" w:pos="7797"/>
        </w:tabs>
        <w:ind w:left="360"/>
        <w:jc w:val="center"/>
        <w:rPr>
          <w:rFonts w:ascii="Arial Narrow" w:hAnsi="Arial Narrow" w:cs="Arial"/>
          <w:b/>
          <w:sz w:val="24"/>
          <w:szCs w:val="24"/>
          <w:u w:val="single"/>
        </w:rPr>
      </w:pPr>
      <w:r w:rsidRPr="001E18F0">
        <w:rPr>
          <w:rFonts w:ascii="Arial Narrow" w:hAnsi="Arial Narrow" w:cs="Arial"/>
          <w:b/>
          <w:sz w:val="24"/>
          <w:szCs w:val="24"/>
          <w:u w:val="single"/>
        </w:rPr>
        <w:t>DOCUMENTO TÉCNICO DE SOPORTE PARA</w:t>
      </w:r>
      <w:r w:rsidR="00140F50" w:rsidRPr="001E18F0">
        <w:rPr>
          <w:rFonts w:ascii="Arial Narrow" w:hAnsi="Arial Narrow" w:cs="Arial"/>
          <w:b/>
          <w:sz w:val="24"/>
          <w:szCs w:val="24"/>
          <w:u w:val="single"/>
        </w:rPr>
        <w:t xml:space="preserve"> </w:t>
      </w:r>
      <w:r w:rsidR="00D43F2D" w:rsidRPr="001E18F0">
        <w:rPr>
          <w:rFonts w:ascii="Arial Narrow" w:hAnsi="Arial Narrow" w:cs="Arial"/>
          <w:b/>
          <w:sz w:val="24"/>
          <w:szCs w:val="24"/>
          <w:u w:val="single"/>
        </w:rPr>
        <w:t>PRORROGAR</w:t>
      </w:r>
      <w:r w:rsidR="00E457C8" w:rsidRPr="001E18F0">
        <w:rPr>
          <w:rFonts w:ascii="Arial Narrow" w:hAnsi="Arial Narrow" w:cs="Arial"/>
          <w:b/>
          <w:sz w:val="24"/>
          <w:szCs w:val="24"/>
          <w:u w:val="single"/>
        </w:rPr>
        <w:t xml:space="preserve"> UNA MEDIDA DE PRECAUCION QUE PROTEJA TEMPORALMENTE LOS SITIOS EN LOS CUALES SE ADELANTAN PROCESOS DE DECLARATORIA DE AREAS PROTEGIDAS</w:t>
      </w:r>
      <w:r w:rsidR="005D4DF3" w:rsidRPr="001E18F0">
        <w:rPr>
          <w:rFonts w:ascii="Arial Narrow" w:hAnsi="Arial Narrow" w:cs="Arial"/>
          <w:b/>
          <w:sz w:val="24"/>
          <w:szCs w:val="24"/>
          <w:u w:val="single"/>
        </w:rPr>
        <w:t xml:space="preserve"> REGIONALES</w:t>
      </w:r>
      <w:r w:rsidR="00D43F2D" w:rsidRPr="001E18F0">
        <w:rPr>
          <w:rFonts w:ascii="Arial Narrow" w:hAnsi="Arial Narrow" w:cs="Arial"/>
          <w:b/>
          <w:sz w:val="24"/>
          <w:szCs w:val="24"/>
          <w:u w:val="single"/>
        </w:rPr>
        <w:t xml:space="preserve">, AMPARADAS BAJO LA RESOLUCION </w:t>
      </w:r>
      <w:r w:rsidR="00D95E5D" w:rsidRPr="001E18F0">
        <w:rPr>
          <w:rFonts w:ascii="Arial Narrow" w:hAnsi="Arial Narrow" w:cs="Arial"/>
          <w:b/>
          <w:sz w:val="24"/>
          <w:szCs w:val="24"/>
          <w:u w:val="single"/>
        </w:rPr>
        <w:t>2157</w:t>
      </w:r>
      <w:r w:rsidR="00D43F2D" w:rsidRPr="001E18F0">
        <w:rPr>
          <w:rFonts w:ascii="Arial Narrow" w:hAnsi="Arial Narrow" w:cs="Arial"/>
          <w:b/>
          <w:sz w:val="24"/>
          <w:szCs w:val="24"/>
          <w:u w:val="single"/>
        </w:rPr>
        <w:t xml:space="preserve"> DE 201</w:t>
      </w:r>
      <w:r w:rsidR="00D95E5D" w:rsidRPr="001E18F0">
        <w:rPr>
          <w:rFonts w:ascii="Arial Narrow" w:hAnsi="Arial Narrow" w:cs="Arial"/>
          <w:b/>
          <w:sz w:val="24"/>
          <w:szCs w:val="24"/>
          <w:u w:val="single"/>
        </w:rPr>
        <w:t>7</w:t>
      </w:r>
      <w:r w:rsidR="00D43F2D" w:rsidRPr="001E18F0">
        <w:rPr>
          <w:rFonts w:ascii="Arial Narrow" w:hAnsi="Arial Narrow" w:cs="Arial"/>
          <w:b/>
          <w:sz w:val="24"/>
          <w:szCs w:val="24"/>
          <w:u w:val="single"/>
        </w:rPr>
        <w:t>.</w:t>
      </w:r>
    </w:p>
    <w:p w:rsidR="00426580" w:rsidRPr="001E18F0" w:rsidRDefault="00426580" w:rsidP="00426580">
      <w:pPr>
        <w:jc w:val="both"/>
        <w:rPr>
          <w:rFonts w:ascii="Arial Narrow" w:hAnsi="Arial Narrow" w:cs="Arial"/>
          <w:lang w:val="es-ES"/>
        </w:rPr>
      </w:pPr>
    </w:p>
    <w:p w:rsidR="00426580" w:rsidRPr="001E18F0" w:rsidRDefault="00426580" w:rsidP="00426580">
      <w:pPr>
        <w:pStyle w:val="Prrafodelista"/>
        <w:numPr>
          <w:ilvl w:val="0"/>
          <w:numId w:val="1"/>
        </w:numPr>
        <w:autoSpaceDE w:val="0"/>
        <w:jc w:val="both"/>
        <w:rPr>
          <w:rFonts w:ascii="Arial Narrow" w:hAnsi="Arial Narrow" w:cs="Arial"/>
          <w:b/>
        </w:rPr>
      </w:pPr>
      <w:r w:rsidRPr="001E18F0">
        <w:rPr>
          <w:rFonts w:ascii="Arial Narrow" w:hAnsi="Arial Narrow" w:cs="Arial"/>
          <w:b/>
        </w:rPr>
        <w:t>Antecedentes técnicos</w:t>
      </w:r>
    </w:p>
    <w:p w:rsidR="00426580" w:rsidRPr="001E18F0" w:rsidRDefault="00426580" w:rsidP="00426580">
      <w:pPr>
        <w:pStyle w:val="CuerpoA"/>
        <w:contextualSpacing/>
        <w:jc w:val="both"/>
        <w:rPr>
          <w:rFonts w:ascii="Arial Narrow" w:hAnsi="Arial Narrow"/>
          <w:color w:val="auto"/>
          <w:bdr w:val="none" w:sz="0" w:space="0" w:color="auto"/>
        </w:rPr>
      </w:pPr>
    </w:p>
    <w:p w:rsidR="00C76F05" w:rsidRPr="001E18F0" w:rsidRDefault="00C76F05" w:rsidP="009D7EA0">
      <w:pPr>
        <w:pStyle w:val="CuerpoA"/>
        <w:contextualSpacing/>
        <w:jc w:val="both"/>
        <w:rPr>
          <w:rFonts w:ascii="Arial Narrow" w:hAnsi="Arial Narrow"/>
          <w:color w:val="auto"/>
          <w:bdr w:val="none" w:sz="0" w:space="0" w:color="auto"/>
        </w:rPr>
      </w:pPr>
    </w:p>
    <w:p w:rsidR="009D7EA0" w:rsidRPr="001E18F0" w:rsidRDefault="009D7EA0" w:rsidP="009D7EA0">
      <w:pPr>
        <w:pStyle w:val="CuerpoA"/>
        <w:contextualSpacing/>
        <w:jc w:val="both"/>
        <w:rPr>
          <w:rFonts w:ascii="Arial Narrow" w:hAnsi="Arial Narrow"/>
          <w:color w:val="auto"/>
          <w:bdr w:val="none" w:sz="0" w:space="0" w:color="auto"/>
        </w:rPr>
      </w:pPr>
      <w:r w:rsidRPr="001E18F0">
        <w:rPr>
          <w:rFonts w:ascii="Arial Narrow" w:hAnsi="Arial Narrow"/>
          <w:color w:val="auto"/>
          <w:bdr w:val="none" w:sz="0" w:space="0" w:color="auto"/>
        </w:rPr>
        <w:t xml:space="preserve">Colombia suscribió el convenio de Diversidad Biológica </w:t>
      </w:r>
      <w:r w:rsidR="00736EDE" w:rsidRPr="001E18F0">
        <w:rPr>
          <w:rFonts w:ascii="Arial Narrow" w:hAnsi="Arial Narrow"/>
          <w:color w:val="auto"/>
          <w:bdr w:val="none" w:sz="0" w:space="0" w:color="auto"/>
        </w:rPr>
        <w:t xml:space="preserve">(CDB) </w:t>
      </w:r>
      <w:r w:rsidRPr="001E18F0">
        <w:rPr>
          <w:rFonts w:ascii="Arial Narrow" w:hAnsi="Arial Narrow"/>
          <w:color w:val="auto"/>
          <w:bdr w:val="none" w:sz="0" w:space="0" w:color="auto"/>
        </w:rPr>
        <w:t>aprobado</w:t>
      </w:r>
      <w:r w:rsidRPr="001E18F0">
        <w:rPr>
          <w:rFonts w:ascii="Arial Narrow" w:eastAsiaTheme="minorEastAsia" w:hAnsi="Arial Narrow" w:cs="Arial"/>
          <w:color w:val="auto"/>
          <w:bdr w:val="none" w:sz="0" w:space="0" w:color="auto"/>
        </w:rPr>
        <w:t xml:space="preserve"> </w:t>
      </w:r>
      <w:r w:rsidRPr="001E18F0">
        <w:rPr>
          <w:rFonts w:ascii="Arial Narrow" w:hAnsi="Arial Narrow"/>
          <w:color w:val="auto"/>
          <w:bdr w:val="none" w:sz="0" w:space="0" w:color="auto"/>
        </w:rPr>
        <w:t xml:space="preserve">a través de la Ley 165 de 1994, con base en el cual se adquirió el compromiso de conformar y consolidar un Sistema Nacional de Áreas Protegidas – SINAP, integrado por el conjunto de áreas protegidas, actores sociales y estrategias e instrumentos de gestión que las articulan, para contribuir al cumplimiento de los objetivos de conservación del país. </w:t>
      </w:r>
    </w:p>
    <w:p w:rsidR="009D7EA0" w:rsidRPr="001E18F0" w:rsidRDefault="009D7EA0" w:rsidP="009D7EA0">
      <w:pPr>
        <w:pStyle w:val="CuerpoA"/>
        <w:contextualSpacing/>
        <w:jc w:val="both"/>
        <w:rPr>
          <w:rFonts w:ascii="Arial Narrow" w:hAnsi="Arial Narrow"/>
          <w:color w:val="auto"/>
          <w:bdr w:val="none" w:sz="0" w:space="0" w:color="auto"/>
        </w:rPr>
      </w:pPr>
    </w:p>
    <w:p w:rsidR="00736EDE" w:rsidRPr="001E18F0" w:rsidRDefault="00736EDE" w:rsidP="00736EDE">
      <w:pPr>
        <w:pStyle w:val="CuerpoA"/>
        <w:contextualSpacing/>
        <w:jc w:val="both"/>
        <w:rPr>
          <w:rFonts w:ascii="Arial Narrow" w:hAnsi="Arial Narrow"/>
          <w:color w:val="auto"/>
          <w:bdr w:val="none" w:sz="0" w:space="0" w:color="auto"/>
        </w:rPr>
      </w:pPr>
      <w:r w:rsidRPr="001E18F0">
        <w:rPr>
          <w:rFonts w:ascii="Arial Narrow" w:hAnsi="Arial Narrow"/>
          <w:color w:val="auto"/>
          <w:bdr w:val="none" w:sz="0" w:space="0" w:color="auto"/>
        </w:rPr>
        <w:t>El CDB tiene los siguientes tres objetivos: i) conservación de la biodiversidad, ii) la utilización sostenible de la biodiversidad, y iii) Participación justa y equitativa de los beneficios derivados del uso de la biodiversidad.</w:t>
      </w:r>
    </w:p>
    <w:p w:rsidR="00736EDE" w:rsidRPr="001E18F0" w:rsidRDefault="00736EDE" w:rsidP="00736EDE">
      <w:pPr>
        <w:pStyle w:val="CuerpoA"/>
        <w:contextualSpacing/>
        <w:jc w:val="both"/>
        <w:rPr>
          <w:rFonts w:ascii="Arial Narrow" w:hAnsi="Arial Narrow"/>
          <w:color w:val="auto"/>
          <w:bdr w:val="none" w:sz="0" w:space="0" w:color="auto"/>
        </w:rPr>
      </w:pPr>
    </w:p>
    <w:p w:rsidR="00736EDE" w:rsidRPr="001E18F0" w:rsidRDefault="00736EDE" w:rsidP="00736EDE">
      <w:pPr>
        <w:pStyle w:val="CuerpoA"/>
        <w:contextualSpacing/>
        <w:jc w:val="both"/>
        <w:rPr>
          <w:rFonts w:ascii="Arial Narrow" w:hAnsi="Arial Narrow"/>
          <w:color w:val="auto"/>
          <w:bdr w:val="none" w:sz="0" w:space="0" w:color="auto"/>
        </w:rPr>
      </w:pPr>
      <w:r w:rsidRPr="001E18F0">
        <w:rPr>
          <w:rFonts w:ascii="Arial Narrow" w:hAnsi="Arial Narrow"/>
          <w:color w:val="auto"/>
          <w:bdr w:val="none" w:sz="0" w:space="0" w:color="auto"/>
        </w:rPr>
        <w:t>En 2010, las Partes en el Convenio sobre la Diversidad Biológica (CDB) adoptaron el Plan Estratégico para la Diversidad Biológica 2011-2020, un marco de acción decenal para que todos los países e interesados salvaguarden la diversidad biológica y los beneficios que proporciona a las personas. Como parte del Plan Estratégico, se adoptaron 20 ambiciosas pero realistas metas, conocidas como las Metas de Aichi para la Diversidad Biológica</w:t>
      </w:r>
    </w:p>
    <w:p w:rsidR="00736EDE" w:rsidRPr="001E18F0" w:rsidRDefault="00736EDE" w:rsidP="009D7EA0">
      <w:pPr>
        <w:pStyle w:val="CuerpoA"/>
        <w:contextualSpacing/>
        <w:jc w:val="both"/>
        <w:rPr>
          <w:rFonts w:ascii="Arial Narrow" w:hAnsi="Arial Narrow"/>
          <w:color w:val="auto"/>
          <w:bdr w:val="none" w:sz="0" w:space="0" w:color="auto"/>
        </w:rPr>
      </w:pPr>
    </w:p>
    <w:p w:rsidR="009D7EA0" w:rsidRPr="001E18F0" w:rsidRDefault="009D7EA0" w:rsidP="009D7EA0">
      <w:pPr>
        <w:pStyle w:val="CuerpoA"/>
        <w:contextualSpacing/>
        <w:jc w:val="both"/>
        <w:rPr>
          <w:rFonts w:ascii="Arial Narrow" w:hAnsi="Arial Narrow"/>
          <w:color w:val="auto"/>
          <w:bdr w:val="none" w:sz="0" w:space="0" w:color="auto"/>
        </w:rPr>
      </w:pPr>
      <w:r w:rsidRPr="001E18F0">
        <w:rPr>
          <w:rFonts w:ascii="Arial Narrow" w:hAnsi="Arial Narrow"/>
          <w:color w:val="auto"/>
          <w:bdr w:val="none" w:sz="0" w:space="0" w:color="auto"/>
        </w:rPr>
        <w:t>Adicionalmente</w:t>
      </w:r>
      <w:r w:rsidRPr="001E18F0">
        <w:rPr>
          <w:rFonts w:ascii="Arial Narrow" w:eastAsiaTheme="minorEastAsia" w:hAnsi="Arial Narrow" w:cs="Arial"/>
          <w:color w:val="auto"/>
          <w:bdr w:val="none" w:sz="0" w:space="0" w:color="auto"/>
        </w:rPr>
        <w:t>,</w:t>
      </w:r>
      <w:r w:rsidRPr="001E18F0">
        <w:rPr>
          <w:rFonts w:ascii="Arial Narrow" w:hAnsi="Arial Narrow"/>
          <w:color w:val="auto"/>
          <w:bdr w:val="none" w:sz="0" w:space="0" w:color="auto"/>
        </w:rPr>
        <w:t xml:space="preserve"> con la adopción del Programa de Trabajo sobre Áreas Protegidas, </w:t>
      </w:r>
      <w:r w:rsidRPr="001E18F0">
        <w:rPr>
          <w:rFonts w:ascii="Arial Narrow" w:eastAsiaTheme="minorEastAsia" w:hAnsi="Arial Narrow" w:cs="Arial"/>
          <w:color w:val="auto"/>
          <w:bdr w:val="none" w:sz="0" w:space="0" w:color="auto"/>
        </w:rPr>
        <w:t xml:space="preserve">en el año 2004 </w:t>
      </w:r>
      <w:r w:rsidRPr="001E18F0">
        <w:rPr>
          <w:rFonts w:ascii="Arial Narrow" w:hAnsi="Arial Narrow"/>
          <w:color w:val="auto"/>
          <w:bdr w:val="none" w:sz="0" w:space="0" w:color="auto"/>
        </w:rPr>
        <w:t>y la emisión del documento CONPES 3680</w:t>
      </w:r>
      <w:r w:rsidRPr="001E18F0">
        <w:rPr>
          <w:rFonts w:ascii="Arial Narrow" w:eastAsiaTheme="minorEastAsia" w:hAnsi="Arial Narrow" w:cs="Arial"/>
          <w:color w:val="auto"/>
          <w:bdr w:val="none" w:sz="0" w:space="0" w:color="auto"/>
        </w:rPr>
        <w:t xml:space="preserve"> en el año 2010</w:t>
      </w:r>
      <w:r w:rsidRPr="001E18F0">
        <w:rPr>
          <w:rFonts w:ascii="Arial Narrow" w:hAnsi="Arial Narrow"/>
          <w:color w:val="auto"/>
          <w:bdr w:val="none" w:sz="0" w:space="0" w:color="auto"/>
        </w:rPr>
        <w:t xml:space="preserve">, Colombia se comprometió a establecer y mantener </w:t>
      </w:r>
      <w:r w:rsidRPr="001E18F0">
        <w:rPr>
          <w:rFonts w:ascii="Arial Narrow" w:eastAsiaTheme="minorEastAsia" w:hAnsi="Arial Narrow" w:cs="Arial"/>
          <w:color w:val="auto"/>
          <w:bdr w:val="none" w:sz="0" w:space="0" w:color="auto"/>
        </w:rPr>
        <w:t xml:space="preserve">el Sistema Nacional de Áreas Protegidas -SINAP- </w:t>
      </w:r>
      <w:r w:rsidRPr="001E18F0">
        <w:rPr>
          <w:rFonts w:ascii="Arial Narrow" w:hAnsi="Arial Narrow"/>
          <w:color w:val="auto"/>
          <w:bdr w:val="none" w:sz="0" w:space="0" w:color="auto"/>
        </w:rPr>
        <w:t>completo, eficazmente manejado y ecológicamente representativo, contribuyendo al logro de los objetivos del Convenio de Diversidad Biológica.</w:t>
      </w:r>
    </w:p>
    <w:p w:rsidR="009D7EA0" w:rsidRPr="001E18F0" w:rsidRDefault="009D7EA0" w:rsidP="009D7EA0">
      <w:pPr>
        <w:pStyle w:val="CuerpoA"/>
        <w:contextualSpacing/>
        <w:jc w:val="both"/>
        <w:rPr>
          <w:rFonts w:ascii="Arial Narrow" w:hAnsi="Arial Narrow"/>
          <w:color w:val="auto"/>
          <w:bdr w:val="none" w:sz="0" w:space="0" w:color="auto"/>
        </w:rPr>
      </w:pPr>
    </w:p>
    <w:p w:rsidR="00736EDE" w:rsidRPr="001E18F0" w:rsidRDefault="00736EDE" w:rsidP="00736EDE">
      <w:pPr>
        <w:autoSpaceDE w:val="0"/>
        <w:jc w:val="both"/>
        <w:rPr>
          <w:rFonts w:ascii="Arial Narrow" w:hAnsi="Arial Narrow" w:cs="Arial"/>
          <w:i/>
          <w:sz w:val="22"/>
          <w:szCs w:val="22"/>
          <w:shd w:val="clear" w:color="auto" w:fill="FFFFFF"/>
        </w:rPr>
      </w:pPr>
      <w:r w:rsidRPr="001E18F0">
        <w:rPr>
          <w:rFonts w:ascii="Arial Narrow" w:hAnsi="Arial Narrow" w:cs="Arial"/>
          <w:sz w:val="22"/>
          <w:szCs w:val="22"/>
          <w:shd w:val="clear" w:color="auto" w:fill="FFFFFF"/>
        </w:rPr>
        <w:t>Entre estas 20 ambiciosas metas se encuentra la Meta 11 que entre otros tiene como reto conservar la diversidad biológica y se define como: “</w:t>
      </w:r>
      <w:r w:rsidRPr="001E18F0">
        <w:rPr>
          <w:rFonts w:ascii="Arial Narrow" w:hAnsi="Arial Narrow" w:cs="Arial"/>
          <w:i/>
          <w:sz w:val="22"/>
          <w:szCs w:val="22"/>
          <w:shd w:val="clear" w:color="auto" w:fill="FFFFFF"/>
        </w:rPr>
        <w:t>Para 2020, al menos el 17 por ciento de las zonas terrestres y de aguas continentales y el 10 por ciento de las zonas marinas y costeras, especialmente aquellas de particular importancia para la diversidad biológica y los servicios de los ecosistemas,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w:t>
      </w:r>
    </w:p>
    <w:p w:rsidR="004E106F" w:rsidRPr="001E18F0" w:rsidRDefault="004E106F" w:rsidP="009D7EA0">
      <w:pPr>
        <w:pStyle w:val="CuerpoA"/>
        <w:contextualSpacing/>
        <w:jc w:val="both"/>
        <w:rPr>
          <w:rFonts w:ascii="Arial Narrow" w:hAnsi="Arial Narrow"/>
          <w:color w:val="auto"/>
          <w:bdr w:val="none" w:sz="0" w:space="0" w:color="auto"/>
        </w:rPr>
      </w:pPr>
    </w:p>
    <w:p w:rsidR="00736EDE" w:rsidRPr="001E18F0" w:rsidRDefault="004E106F" w:rsidP="009D7EA0">
      <w:pPr>
        <w:pStyle w:val="CuerpoA"/>
        <w:contextualSpacing/>
        <w:jc w:val="both"/>
        <w:rPr>
          <w:rFonts w:ascii="Arial Narrow" w:hAnsi="Arial Narrow"/>
          <w:color w:val="auto"/>
          <w:bdr w:val="none" w:sz="0" w:space="0" w:color="auto"/>
        </w:rPr>
      </w:pPr>
      <w:r w:rsidRPr="001E18F0">
        <w:rPr>
          <w:rFonts w:ascii="Arial Narrow" w:hAnsi="Arial Narrow"/>
          <w:color w:val="auto"/>
          <w:bdr w:val="none" w:sz="0" w:space="0" w:color="auto"/>
        </w:rPr>
        <w:t xml:space="preserve">Mediante el Decreto 2372 de 2010, hoy compilado en el Decreto 1076 de 2015 se reglamenta el Sistema Nacional de Áreas Protegidas, las categorías de manejo que lo conforman y los </w:t>
      </w:r>
      <w:r w:rsidRPr="001E18F0">
        <w:rPr>
          <w:rFonts w:ascii="Arial Narrow" w:hAnsi="Arial Narrow"/>
          <w:color w:val="auto"/>
          <w:bdr w:val="none" w:sz="0" w:space="0" w:color="auto"/>
        </w:rPr>
        <w:lastRenderedPageBreak/>
        <w:t xml:space="preserve">procedimientos </w:t>
      </w:r>
      <w:r w:rsidR="00024591" w:rsidRPr="001E18F0">
        <w:rPr>
          <w:rFonts w:ascii="Arial Narrow" w:hAnsi="Arial Narrow"/>
          <w:color w:val="auto"/>
          <w:bdr w:val="none" w:sz="0" w:space="0" w:color="auto"/>
        </w:rPr>
        <w:t>generales relacionados con este, en concordancia con lo dispuesto en el Decreto-ley 2811 de 1974, la Ley 99 de 1993, la Ley 165 de 1994 y el Decreto-ley 216 de 2003</w:t>
      </w:r>
      <w:r w:rsidR="00F46FFF" w:rsidRPr="001E18F0">
        <w:rPr>
          <w:rFonts w:ascii="Arial Narrow" w:hAnsi="Arial Narrow"/>
          <w:color w:val="auto"/>
          <w:bdr w:val="none" w:sz="0" w:space="0" w:color="auto"/>
        </w:rPr>
        <w:t>.</w:t>
      </w:r>
    </w:p>
    <w:p w:rsidR="004E106F" w:rsidRPr="001E18F0" w:rsidRDefault="004E106F" w:rsidP="009D7EA0">
      <w:pPr>
        <w:pStyle w:val="CuerpoA"/>
        <w:contextualSpacing/>
        <w:jc w:val="both"/>
        <w:rPr>
          <w:rFonts w:ascii="Arial Narrow" w:hAnsi="Arial Narrow"/>
          <w:color w:val="auto"/>
          <w:bdr w:val="none" w:sz="0" w:space="0" w:color="auto"/>
        </w:rPr>
      </w:pPr>
    </w:p>
    <w:p w:rsidR="009D7EA0" w:rsidRPr="001E18F0" w:rsidRDefault="009D7EA0" w:rsidP="009D7EA0">
      <w:pPr>
        <w:pStyle w:val="CuerpoA"/>
        <w:contextualSpacing/>
        <w:jc w:val="both"/>
        <w:rPr>
          <w:rFonts w:ascii="Arial Narrow" w:eastAsiaTheme="minorEastAsia" w:hAnsi="Arial Narrow" w:cs="Arial"/>
          <w:color w:val="auto"/>
          <w:bdr w:val="none" w:sz="0" w:space="0" w:color="auto"/>
        </w:rPr>
      </w:pPr>
      <w:r w:rsidRPr="001E18F0">
        <w:rPr>
          <w:rFonts w:ascii="Arial Narrow" w:hAnsi="Arial Narrow"/>
          <w:color w:val="auto"/>
          <w:bdr w:val="none" w:sz="0" w:space="0" w:color="auto"/>
        </w:rPr>
        <w:t xml:space="preserve">Dentro del SINAP se incluyen todas las áreas protegidas tanto públicas como privadas, </w:t>
      </w:r>
      <w:r w:rsidRPr="001E18F0">
        <w:rPr>
          <w:rFonts w:ascii="Arial Narrow" w:eastAsiaTheme="minorEastAsia" w:hAnsi="Arial Narrow" w:cs="Arial"/>
          <w:color w:val="auto"/>
          <w:bdr w:val="none" w:sz="0" w:space="0" w:color="auto"/>
        </w:rPr>
        <w:t xml:space="preserve">y </w:t>
      </w:r>
      <w:r w:rsidRPr="001E18F0">
        <w:rPr>
          <w:rFonts w:ascii="Arial Narrow" w:hAnsi="Arial Narrow"/>
          <w:color w:val="auto"/>
          <w:bdr w:val="none" w:sz="0" w:space="0" w:color="auto"/>
        </w:rPr>
        <w:t>del ámbito de gestión nacional y regional</w:t>
      </w:r>
      <w:r w:rsidRPr="001E18F0">
        <w:rPr>
          <w:rFonts w:ascii="Arial Narrow" w:eastAsiaTheme="minorEastAsia" w:hAnsi="Arial Narrow" w:cs="Arial"/>
          <w:color w:val="auto"/>
          <w:bdr w:val="none" w:sz="0" w:space="0" w:color="auto"/>
        </w:rPr>
        <w:t>. Es así, como se presentan</w:t>
      </w:r>
      <w:r w:rsidRPr="001E18F0">
        <w:rPr>
          <w:rFonts w:ascii="Arial Narrow" w:hAnsi="Arial Narrow"/>
          <w:color w:val="auto"/>
          <w:bdr w:val="none" w:sz="0" w:space="0" w:color="auto"/>
        </w:rPr>
        <w:t xml:space="preserve"> diferentes categorías de manejo, de acuerdo al nivel de biodiversidad que protegen, su estado de conservación, la escala de gestión y las actividades que en ellas se </w:t>
      </w:r>
      <w:r w:rsidRPr="001E18F0">
        <w:rPr>
          <w:rFonts w:ascii="Arial Narrow" w:eastAsiaTheme="minorEastAsia" w:hAnsi="Arial Narrow" w:cs="Arial"/>
          <w:color w:val="auto"/>
          <w:bdr w:val="none" w:sz="0" w:space="0" w:color="auto"/>
        </w:rPr>
        <w:t>permitan.</w:t>
      </w:r>
    </w:p>
    <w:p w:rsidR="009D7EA0" w:rsidRPr="001E18F0" w:rsidRDefault="009D7EA0" w:rsidP="009D7EA0">
      <w:pPr>
        <w:pStyle w:val="CuerpoA"/>
        <w:contextualSpacing/>
        <w:jc w:val="both"/>
        <w:rPr>
          <w:rFonts w:ascii="Arial Narrow" w:hAnsi="Arial Narrow"/>
          <w:color w:val="auto"/>
          <w:bdr w:val="none" w:sz="0" w:space="0" w:color="auto"/>
        </w:rPr>
      </w:pPr>
    </w:p>
    <w:p w:rsidR="009D7EA0" w:rsidRPr="001E18F0" w:rsidRDefault="009D7EA0" w:rsidP="009D7EA0">
      <w:pPr>
        <w:pStyle w:val="NormalWeb"/>
        <w:spacing w:before="0" w:beforeAutospacing="0" w:after="0" w:afterAutospacing="0"/>
        <w:contextualSpacing/>
        <w:jc w:val="both"/>
        <w:rPr>
          <w:rFonts w:ascii="Arial Narrow" w:hAnsi="Arial Narrow"/>
          <w:u w:color="000000"/>
          <w:bdr w:val="nil"/>
        </w:rPr>
      </w:pPr>
      <w:r w:rsidRPr="001E18F0">
        <w:rPr>
          <w:rFonts w:ascii="Arial Narrow" w:hAnsi="Arial Narrow"/>
          <w:u w:color="000000"/>
          <w:bdr w:val="nil"/>
        </w:rPr>
        <w:t xml:space="preserve">Las áreas protegidas </w:t>
      </w:r>
      <w:r w:rsidRPr="001E18F0">
        <w:rPr>
          <w:rFonts w:ascii="Arial Narrow" w:eastAsia="Cambria" w:hAnsi="Arial Narrow" w:cs="Arial"/>
          <w:u w:color="000000"/>
          <w:bdr w:val="nil"/>
        </w:rPr>
        <w:t xml:space="preserve">se definieron en el </w:t>
      </w:r>
      <w:r w:rsidRPr="001E18F0">
        <w:rPr>
          <w:rFonts w:ascii="Arial Narrow" w:eastAsia="Cambria" w:hAnsi="Arial Narrow" w:cs="Cambria"/>
          <w:u w:color="000000"/>
        </w:rPr>
        <w:t xml:space="preserve">artículo 2.2.2.1.1.2. </w:t>
      </w:r>
      <w:proofErr w:type="gramStart"/>
      <w:r w:rsidRPr="001E18F0">
        <w:rPr>
          <w:rFonts w:ascii="Arial Narrow" w:eastAsia="Cambria" w:hAnsi="Arial Narrow" w:cs="Cambria"/>
          <w:u w:color="000000"/>
        </w:rPr>
        <w:t>del</w:t>
      </w:r>
      <w:proofErr w:type="gramEnd"/>
      <w:r w:rsidRPr="001E18F0">
        <w:rPr>
          <w:rFonts w:ascii="Arial Narrow" w:eastAsia="Cambria" w:hAnsi="Arial Narrow" w:cs="Cambria"/>
          <w:u w:color="000000"/>
        </w:rPr>
        <w:t xml:space="preserve"> Decreto</w:t>
      </w:r>
      <w:r w:rsidRPr="001E18F0">
        <w:rPr>
          <w:rFonts w:ascii="Arial Narrow" w:eastAsia="Cambria" w:hAnsi="Arial Narrow" w:cs="Arial"/>
          <w:u w:color="000000"/>
          <w:bdr w:val="nil"/>
        </w:rPr>
        <w:t xml:space="preserve"> Único 1076 de 2015  como “</w:t>
      </w:r>
      <w:r w:rsidRPr="001E18F0">
        <w:rPr>
          <w:rFonts w:ascii="Arial Narrow" w:eastAsia="Cambria" w:hAnsi="Arial Narrow" w:cs="Arial"/>
          <w:i/>
          <w:u w:color="000000"/>
          <w:bdr w:val="nil"/>
        </w:rPr>
        <w:t>área definida</w:t>
      </w:r>
      <w:r w:rsidRPr="001E18F0">
        <w:rPr>
          <w:rFonts w:ascii="Arial Narrow" w:hAnsi="Arial Narrow"/>
          <w:i/>
          <w:u w:color="000000"/>
          <w:bdr w:val="nil"/>
        </w:rPr>
        <w:t xml:space="preserve"> geográficamente, </w:t>
      </w:r>
      <w:r w:rsidRPr="001E18F0">
        <w:rPr>
          <w:rFonts w:ascii="Arial Narrow" w:eastAsia="Cambria" w:hAnsi="Arial Narrow" w:cs="Arial"/>
          <w:i/>
          <w:u w:color="000000"/>
          <w:bdr w:val="nil"/>
        </w:rPr>
        <w:t>que haya</w:t>
      </w:r>
      <w:r w:rsidRPr="001E18F0">
        <w:rPr>
          <w:rFonts w:ascii="Arial Narrow" w:hAnsi="Arial Narrow"/>
          <w:i/>
          <w:u w:color="000000"/>
          <w:bdr w:val="nil"/>
        </w:rPr>
        <w:t xml:space="preserve"> sido designada</w:t>
      </w:r>
      <w:r w:rsidRPr="001E18F0">
        <w:rPr>
          <w:rFonts w:ascii="Arial Narrow" w:eastAsia="Cambria" w:hAnsi="Arial Narrow" w:cs="Arial"/>
          <w:i/>
          <w:u w:color="000000"/>
          <w:bdr w:val="nil"/>
        </w:rPr>
        <w:t>, regulada</w:t>
      </w:r>
      <w:r w:rsidRPr="001E18F0">
        <w:rPr>
          <w:rFonts w:ascii="Arial Narrow" w:hAnsi="Arial Narrow"/>
          <w:i/>
          <w:u w:color="000000"/>
          <w:bdr w:val="nil"/>
        </w:rPr>
        <w:t xml:space="preserve"> y administrada a fin de alcanzar objetivos específicos de conservación</w:t>
      </w:r>
      <w:r w:rsidRPr="001E18F0">
        <w:rPr>
          <w:rFonts w:ascii="Arial Narrow" w:eastAsia="Cambria" w:hAnsi="Arial Narrow" w:cs="Arial"/>
          <w:u w:color="000000"/>
          <w:bdr w:val="nil"/>
        </w:rPr>
        <w:t>”. Estas áreas representan</w:t>
      </w:r>
      <w:r w:rsidRPr="001E18F0">
        <w:rPr>
          <w:rFonts w:ascii="Arial Narrow" w:hAnsi="Arial Narrow"/>
          <w:u w:color="000000"/>
          <w:bdr w:val="nil"/>
        </w:rPr>
        <w:t xml:space="preserve"> una de las estrategias más importantes para conservar la biodiversidad </w:t>
      </w:r>
      <w:r w:rsidRPr="001E18F0">
        <w:rPr>
          <w:rFonts w:ascii="Arial Narrow" w:hAnsi="Arial Narrow"/>
          <w:i/>
          <w:u w:color="000000"/>
          <w:bdr w:val="nil"/>
        </w:rPr>
        <w:t>in situ</w:t>
      </w:r>
      <w:r w:rsidRPr="001E18F0">
        <w:rPr>
          <w:rFonts w:ascii="Arial Narrow" w:hAnsi="Arial Narrow"/>
          <w:u w:color="000000"/>
          <w:bdr w:val="nil"/>
        </w:rPr>
        <w:t xml:space="preserve">, ya que por medio del diseño y puesta en marcha de diferentes medidas de manejo, se asegura la conservación de los valores naturales, culturales y los servicios ecosistémicos que conservan y proveen. </w:t>
      </w:r>
    </w:p>
    <w:p w:rsidR="009D7EA0" w:rsidRPr="001E18F0" w:rsidRDefault="009D7EA0" w:rsidP="009D7EA0">
      <w:pPr>
        <w:pStyle w:val="NormalWeb"/>
        <w:spacing w:before="0" w:beforeAutospacing="0" w:after="0" w:afterAutospacing="0"/>
        <w:contextualSpacing/>
        <w:jc w:val="both"/>
        <w:rPr>
          <w:rFonts w:ascii="Arial Narrow" w:hAnsi="Arial Narrow"/>
          <w:u w:color="000000"/>
          <w:bdr w:val="nil"/>
        </w:rPr>
      </w:pPr>
    </w:p>
    <w:p w:rsidR="009D7EA0" w:rsidRPr="001E18F0" w:rsidRDefault="009D7EA0" w:rsidP="009D7EA0">
      <w:pPr>
        <w:widowControl w:val="0"/>
        <w:autoSpaceDE w:val="0"/>
        <w:autoSpaceDN w:val="0"/>
        <w:adjustRightInd w:val="0"/>
        <w:contextualSpacing/>
        <w:jc w:val="both"/>
        <w:rPr>
          <w:rFonts w:ascii="Arial Narrow" w:hAnsi="Arial Narrow"/>
        </w:rPr>
      </w:pPr>
      <w:r w:rsidRPr="001E18F0">
        <w:rPr>
          <w:rFonts w:ascii="Arial Narrow" w:hAnsi="Arial Narrow" w:cs="Arial"/>
        </w:rPr>
        <w:t>Es así, como las</w:t>
      </w:r>
      <w:r w:rsidRPr="001E18F0">
        <w:rPr>
          <w:rFonts w:ascii="Arial Narrow" w:hAnsi="Arial Narrow"/>
        </w:rPr>
        <w:t xml:space="preserve"> áreas protegidas contribuyen a la conservación de la diversidad biológica</w:t>
      </w:r>
      <w:r w:rsidRPr="001E18F0">
        <w:rPr>
          <w:rFonts w:ascii="Arial Narrow" w:hAnsi="Arial Narrow" w:cs="Arial"/>
        </w:rPr>
        <w:t xml:space="preserve"> y </w:t>
      </w:r>
      <w:r w:rsidRPr="001E18F0">
        <w:rPr>
          <w:rFonts w:ascii="Arial Narrow" w:hAnsi="Arial Narrow"/>
        </w:rPr>
        <w:t xml:space="preserve">a garantizar la oferta de servicios </w:t>
      </w:r>
      <w:r w:rsidRPr="001E18F0">
        <w:rPr>
          <w:rFonts w:ascii="Arial Narrow" w:hAnsi="Arial Narrow" w:cs="Arial"/>
        </w:rPr>
        <w:t xml:space="preserve">ecosistémicos </w:t>
      </w:r>
      <w:r w:rsidRPr="001E18F0">
        <w:rPr>
          <w:rFonts w:ascii="Arial Narrow" w:hAnsi="Arial Narrow"/>
        </w:rPr>
        <w:t>que hacen posible el desarrollo productivo del país y el bienestar de la sociedad</w:t>
      </w:r>
      <w:r w:rsidRPr="001E18F0">
        <w:rPr>
          <w:rFonts w:ascii="Arial Narrow" w:hAnsi="Arial Narrow" w:cs="Arial"/>
        </w:rPr>
        <w:t>,</w:t>
      </w:r>
      <w:r w:rsidRPr="001E18F0">
        <w:rPr>
          <w:rFonts w:ascii="Arial Narrow" w:hAnsi="Arial Narrow"/>
        </w:rPr>
        <w:t xml:space="preserve"> ya que conservan ecosistemas estratégicos para la conservación de especies animales, vegetales y otras formas de vida, manteniendo hábitats claves, refugios</w:t>
      </w:r>
      <w:r w:rsidRPr="001E18F0">
        <w:rPr>
          <w:rFonts w:ascii="Arial Narrow" w:hAnsi="Arial Narrow" w:cs="Arial"/>
        </w:rPr>
        <w:t>,</w:t>
      </w:r>
      <w:r w:rsidRPr="001E18F0">
        <w:rPr>
          <w:rFonts w:ascii="Arial Narrow" w:hAnsi="Arial Narrow"/>
        </w:rPr>
        <w:t xml:space="preserve"> espacios de migración, zonas de desplazamiento</w:t>
      </w:r>
      <w:r w:rsidRPr="001E18F0">
        <w:rPr>
          <w:rFonts w:ascii="Arial Narrow" w:hAnsi="Arial Narrow" w:cs="Arial"/>
        </w:rPr>
        <w:t xml:space="preserve"> y </w:t>
      </w:r>
      <w:r w:rsidRPr="001E18F0">
        <w:rPr>
          <w:rFonts w:ascii="Arial Narrow" w:hAnsi="Arial Narrow"/>
        </w:rPr>
        <w:t xml:space="preserve">áreas de conexión entre unidades biogeográficas, entre otras. También contribuyen a la </w:t>
      </w:r>
      <w:r w:rsidRPr="001E18F0">
        <w:rPr>
          <w:rFonts w:ascii="Arial Narrow" w:hAnsi="Arial Narrow" w:cs="Arial"/>
        </w:rPr>
        <w:t xml:space="preserve">regulación del recurso hídrico, a la adaptación y mitigación al cambio climático, a la regulación del clima, a la reducción y mitigación de riesgos naturales, a la seguridad alimentaria y a la </w:t>
      </w:r>
      <w:r w:rsidRPr="001E18F0">
        <w:rPr>
          <w:rFonts w:ascii="Arial Narrow" w:hAnsi="Arial Narrow"/>
        </w:rPr>
        <w:t>protección de las culturas propias de nuestro país, siendo territorios que permiten la pervivencia de poblaciones étnicas</w:t>
      </w:r>
      <w:r w:rsidRPr="001E18F0">
        <w:rPr>
          <w:rFonts w:ascii="Arial Narrow" w:hAnsi="Arial Narrow" w:cs="Arial"/>
        </w:rPr>
        <w:t xml:space="preserve"> y que </w:t>
      </w:r>
      <w:r w:rsidRPr="001E18F0">
        <w:rPr>
          <w:rFonts w:ascii="Arial Narrow" w:hAnsi="Arial Narrow"/>
        </w:rPr>
        <w:t xml:space="preserve">albergan parte de nuestro patrimonio arqueológico e histórico. </w:t>
      </w:r>
    </w:p>
    <w:p w:rsidR="009D7EA0" w:rsidRPr="001E18F0" w:rsidRDefault="009D7EA0" w:rsidP="009D7EA0">
      <w:pPr>
        <w:autoSpaceDE w:val="0"/>
        <w:jc w:val="both"/>
        <w:rPr>
          <w:rFonts w:ascii="Arial Narrow" w:hAnsi="Arial Narrow" w:cs="Arial"/>
        </w:rPr>
      </w:pPr>
    </w:p>
    <w:p w:rsidR="009D7EA0" w:rsidRPr="001E18F0" w:rsidRDefault="009D7EA0" w:rsidP="009D7EA0">
      <w:pPr>
        <w:pStyle w:val="CuerpoA"/>
        <w:contextualSpacing/>
        <w:jc w:val="both"/>
        <w:rPr>
          <w:rFonts w:ascii="Arial Narrow" w:hAnsi="Arial Narrow" w:cs="Arial"/>
          <w:color w:val="auto"/>
        </w:rPr>
      </w:pPr>
      <w:r w:rsidRPr="001E18F0">
        <w:rPr>
          <w:rFonts w:ascii="Arial Narrow" w:hAnsi="Arial Narrow" w:cs="Arial"/>
          <w:color w:val="auto"/>
        </w:rPr>
        <w:t>Para dar inicio a procesos de declaratoria de Áreas Protegidas, se tienen en consideración los siguientes factores:</w:t>
      </w:r>
    </w:p>
    <w:p w:rsidR="009D7EA0" w:rsidRPr="001E18F0" w:rsidRDefault="009D7EA0" w:rsidP="009D7EA0">
      <w:pPr>
        <w:pStyle w:val="CuerpoA"/>
        <w:contextualSpacing/>
        <w:jc w:val="both"/>
        <w:rPr>
          <w:rFonts w:ascii="Arial Narrow" w:hAnsi="Arial Narrow" w:cs="Arial"/>
          <w:color w:val="auto"/>
        </w:rPr>
      </w:pPr>
    </w:p>
    <w:p w:rsidR="009D7EA0" w:rsidRPr="001E18F0" w:rsidRDefault="009D7EA0" w:rsidP="009D7EA0">
      <w:pPr>
        <w:pStyle w:val="CuerpoA"/>
        <w:numPr>
          <w:ilvl w:val="0"/>
          <w:numId w:val="2"/>
        </w:numPr>
        <w:contextualSpacing/>
        <w:jc w:val="both"/>
        <w:rPr>
          <w:rFonts w:ascii="Arial Narrow" w:hAnsi="Arial Narrow" w:cs="Arial"/>
          <w:color w:val="auto"/>
        </w:rPr>
      </w:pPr>
      <w:r w:rsidRPr="001E18F0">
        <w:rPr>
          <w:rFonts w:ascii="Arial Narrow" w:hAnsi="Arial Narrow" w:cs="Arial"/>
          <w:color w:val="auto"/>
          <w:u w:val="single"/>
        </w:rPr>
        <w:t>Contribución o aporte al cumplimiento de las metas de representatividad del país:</w:t>
      </w:r>
      <w:r w:rsidRPr="001E18F0">
        <w:rPr>
          <w:rFonts w:ascii="Arial Narrow" w:hAnsi="Arial Narrow" w:cs="Arial"/>
          <w:color w:val="auto"/>
        </w:rPr>
        <w:t xml:space="preserve"> El área a declarar o ampliar está acorde con la meta Aichi No. 11, la cual establece que “</w:t>
      </w:r>
      <w:r w:rsidRPr="001E18F0">
        <w:rPr>
          <w:rFonts w:ascii="Arial Narrow" w:hAnsi="Arial Narrow" w:cs="Arial"/>
          <w:i/>
          <w:color w:val="auto"/>
        </w:rPr>
        <w:t>para el 2020, al menos el 17 por ciento de las zonas terrestres y de aguas continentales y el 10 por ciento de las zonas marinas y costeras, especialmente aquellas de particular importancia para la diversidad biológica y los servicios de los ecosistemas, deben conservarse en los sistemas de áreas protegidas administrados de manera eficaz y equitativa, ecológicamente representativos y bien conectados y otras medidas de conservación eficaces ...</w:t>
      </w:r>
      <w:r w:rsidRPr="001E18F0">
        <w:rPr>
          <w:rFonts w:ascii="Arial Narrow" w:hAnsi="Arial Narrow" w:cs="Arial"/>
          <w:color w:val="auto"/>
        </w:rPr>
        <w:t>”. En este contexto, el documento CONPES 3680 de 2010, a partir de la identificación de vacíos de conservación y definición de prioridades, define los sitios prioritarios a escala nacional para declarar áreas protegidas en zonas continentales, marinas y costeras.</w:t>
      </w:r>
    </w:p>
    <w:p w:rsidR="009D7EA0" w:rsidRPr="001E18F0" w:rsidRDefault="009D7EA0" w:rsidP="009D7EA0">
      <w:pPr>
        <w:pStyle w:val="CuerpoA"/>
        <w:tabs>
          <w:tab w:val="left" w:pos="1405"/>
        </w:tabs>
        <w:contextualSpacing/>
        <w:jc w:val="both"/>
        <w:rPr>
          <w:rFonts w:ascii="Arial Narrow" w:hAnsi="Arial Narrow" w:cs="Arial"/>
          <w:color w:val="auto"/>
        </w:rPr>
      </w:pPr>
      <w:r w:rsidRPr="001E18F0">
        <w:rPr>
          <w:rFonts w:ascii="Arial Narrow" w:hAnsi="Arial Narrow" w:cs="Arial"/>
          <w:color w:val="auto"/>
        </w:rPr>
        <w:tab/>
      </w:r>
    </w:p>
    <w:p w:rsidR="009D7EA0" w:rsidRPr="001E18F0" w:rsidRDefault="009D7EA0" w:rsidP="009D7EA0">
      <w:pPr>
        <w:pStyle w:val="CuerpoA"/>
        <w:numPr>
          <w:ilvl w:val="0"/>
          <w:numId w:val="2"/>
        </w:numPr>
        <w:contextualSpacing/>
        <w:jc w:val="both"/>
        <w:rPr>
          <w:rFonts w:ascii="Arial Narrow" w:hAnsi="Arial Narrow" w:cs="Arial"/>
          <w:color w:val="auto"/>
        </w:rPr>
      </w:pPr>
      <w:r w:rsidRPr="001E18F0">
        <w:rPr>
          <w:rFonts w:ascii="Arial Narrow" w:hAnsi="Arial Narrow" w:cs="Arial"/>
          <w:color w:val="auto"/>
          <w:u w:val="single"/>
        </w:rPr>
        <w:lastRenderedPageBreak/>
        <w:t>Determinación del valor biológico</w:t>
      </w:r>
      <w:r w:rsidRPr="001E18F0">
        <w:rPr>
          <w:rFonts w:ascii="Arial Narrow" w:hAnsi="Arial Narrow" w:cs="Arial"/>
          <w:color w:val="auto"/>
        </w:rPr>
        <w:t xml:space="preserve">: El área a declarar o ampliar corresponde a lugares denominados </w:t>
      </w:r>
      <w:r w:rsidRPr="001E18F0">
        <w:rPr>
          <w:rFonts w:ascii="Arial Narrow" w:hAnsi="Arial Narrow" w:cs="Arial"/>
          <w:i/>
          <w:color w:val="auto"/>
        </w:rPr>
        <w:t>“</w:t>
      </w:r>
      <w:proofErr w:type="spellStart"/>
      <w:r w:rsidRPr="001E18F0">
        <w:rPr>
          <w:rFonts w:ascii="Arial Narrow" w:hAnsi="Arial Narrow" w:cs="Arial"/>
          <w:i/>
          <w:color w:val="auto"/>
        </w:rPr>
        <w:t>hotspots</w:t>
      </w:r>
      <w:proofErr w:type="spellEnd"/>
      <w:r w:rsidRPr="001E18F0">
        <w:rPr>
          <w:rFonts w:ascii="Arial Narrow" w:hAnsi="Arial Narrow" w:cs="Arial"/>
          <w:color w:val="auto"/>
        </w:rPr>
        <w:t>”, que poseen altos índices de biodiversidad, a zonas de congregación de especies o de protección genética, o a ecosistemas que contienen especies endémicas, raras, de distribución reducida, que estén amenazadas, que presenten algún riesgo de extinción o que sus hábitats estén en riesgo.</w:t>
      </w:r>
    </w:p>
    <w:p w:rsidR="009D7EA0" w:rsidRPr="001E18F0" w:rsidRDefault="009D7EA0" w:rsidP="009D7EA0">
      <w:pPr>
        <w:pStyle w:val="Prrafodelista"/>
        <w:jc w:val="both"/>
        <w:rPr>
          <w:rFonts w:ascii="Arial Narrow" w:hAnsi="Arial Narrow" w:cs="Arial"/>
        </w:rPr>
      </w:pPr>
    </w:p>
    <w:p w:rsidR="009D7EA0" w:rsidRPr="001E18F0" w:rsidRDefault="009D7EA0" w:rsidP="009D7EA0">
      <w:pPr>
        <w:pStyle w:val="CuerpoA"/>
        <w:numPr>
          <w:ilvl w:val="0"/>
          <w:numId w:val="2"/>
        </w:numPr>
        <w:contextualSpacing/>
        <w:jc w:val="both"/>
        <w:rPr>
          <w:rFonts w:ascii="Arial Narrow" w:hAnsi="Arial Narrow" w:cs="Arial"/>
          <w:color w:val="auto"/>
        </w:rPr>
      </w:pPr>
      <w:r w:rsidRPr="001E18F0">
        <w:rPr>
          <w:rFonts w:ascii="Arial Narrow" w:hAnsi="Arial Narrow" w:cs="Arial"/>
          <w:color w:val="auto"/>
          <w:u w:val="single"/>
        </w:rPr>
        <w:t>Provisión de servicios ecosistémicos:</w:t>
      </w:r>
      <w:r w:rsidRPr="001E18F0">
        <w:rPr>
          <w:rFonts w:ascii="Arial Narrow" w:hAnsi="Arial Narrow" w:cs="Arial"/>
          <w:color w:val="auto"/>
        </w:rPr>
        <w:t xml:space="preserve"> El área a declarar o ampliar provee alguno de los siguientes servicios ecosistémicos: </w:t>
      </w:r>
    </w:p>
    <w:p w:rsidR="009D7EA0" w:rsidRPr="001E18F0" w:rsidRDefault="009D7EA0" w:rsidP="009D7EA0">
      <w:pPr>
        <w:pStyle w:val="CuerpoA"/>
        <w:contextualSpacing/>
        <w:jc w:val="both"/>
        <w:rPr>
          <w:rFonts w:ascii="Arial Narrow" w:hAnsi="Arial Narrow" w:cs="Arial"/>
          <w:color w:val="auto"/>
        </w:rPr>
      </w:pPr>
    </w:p>
    <w:p w:rsidR="009D7EA0" w:rsidRPr="001E18F0"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1E18F0">
        <w:rPr>
          <w:rFonts w:ascii="Arial Narrow" w:hAnsi="Arial Narrow" w:cs="Arial"/>
        </w:rPr>
        <w:t>Conservación de zonas proveedoras y reguladoras del recurso hídrico, que aportan al abastecimiento de poblaciones humanas y al desarrollo de sectores, entre ellos, el agropecuario, el energético y el minero, que utilizan el agua en sus sistemas de producción.</w:t>
      </w:r>
    </w:p>
    <w:p w:rsidR="009D7EA0" w:rsidRPr="001E18F0" w:rsidRDefault="009D7EA0" w:rsidP="009D7EA0">
      <w:pPr>
        <w:contextualSpacing/>
        <w:jc w:val="both"/>
        <w:rPr>
          <w:rFonts w:ascii="Arial Narrow" w:hAnsi="Arial Narrow" w:cs="Arial"/>
        </w:rPr>
      </w:pPr>
    </w:p>
    <w:p w:rsidR="009D7EA0" w:rsidRPr="001E18F0"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1E18F0">
        <w:rPr>
          <w:rFonts w:ascii="Arial Narrow" w:hAnsi="Arial Narrow" w:cs="Arial"/>
        </w:rPr>
        <w:t>Reducción de riesgos naturales, como inundaciones, deslizamientos, avalanchas, procesos de remoción en masa, incendios, erosión costera, entre otros.</w:t>
      </w:r>
    </w:p>
    <w:p w:rsidR="009D7EA0" w:rsidRPr="001E18F0" w:rsidRDefault="009D7EA0" w:rsidP="009D7EA0">
      <w:pPr>
        <w:contextualSpacing/>
        <w:jc w:val="both"/>
        <w:rPr>
          <w:rFonts w:ascii="Arial Narrow" w:hAnsi="Arial Narrow" w:cs="Arial"/>
        </w:rPr>
      </w:pPr>
    </w:p>
    <w:p w:rsidR="009D7EA0" w:rsidRPr="001E18F0"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1E18F0">
        <w:rPr>
          <w:rFonts w:ascii="Arial Narrow" w:hAnsi="Arial Narrow" w:cs="Arial"/>
        </w:rPr>
        <w:t>Regulación del clima, siendo la solución natural menos costosa y más efectiva para enfrentar el cambio climático ya que aportan a la adaptación y contribuyen en la mitigación del mismo por la fijación y captura de gases efecto invernadero especialmente de los que contienen carbono en sus estructuras.</w:t>
      </w:r>
    </w:p>
    <w:p w:rsidR="009D7EA0" w:rsidRPr="001E18F0" w:rsidRDefault="009D7EA0" w:rsidP="009D7EA0">
      <w:pPr>
        <w:contextualSpacing/>
        <w:jc w:val="both"/>
        <w:rPr>
          <w:rFonts w:ascii="Arial Narrow" w:hAnsi="Arial Narrow" w:cs="Arial"/>
        </w:rPr>
      </w:pPr>
    </w:p>
    <w:p w:rsidR="009D7EA0" w:rsidRPr="001E18F0"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1E18F0">
        <w:rPr>
          <w:rFonts w:ascii="Arial Narrow" w:hAnsi="Arial Narrow" w:cs="Arial"/>
        </w:rPr>
        <w:t>Provisión de alimentos, por ejemplo, el INVEMAR cuenta con análisis de prioridades de conservación de ecosistemas en áreas marinas y marino costeras en la costa pacífica y caribe, donde además del análisis de representatividad, se han identificado zonas que son sala cuna de peces y otros recursos que se aprovechan en el sector pesquero.</w:t>
      </w:r>
    </w:p>
    <w:p w:rsidR="009D7EA0" w:rsidRPr="001E18F0" w:rsidRDefault="009D7EA0" w:rsidP="009D7EA0">
      <w:pPr>
        <w:contextualSpacing/>
        <w:jc w:val="both"/>
        <w:rPr>
          <w:rFonts w:ascii="Arial Narrow" w:hAnsi="Arial Narrow" w:cs="Arial"/>
        </w:rPr>
      </w:pPr>
    </w:p>
    <w:p w:rsidR="009D7EA0" w:rsidRPr="001E18F0"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1E18F0">
        <w:rPr>
          <w:rFonts w:ascii="Arial Narrow" w:hAnsi="Arial Narrow" w:cs="Arial"/>
        </w:rPr>
        <w:t>Provisión de recursos hidrobiológicos que contribuyen al buen mantenimiento y salud de los mares y océanos del mundo.</w:t>
      </w:r>
    </w:p>
    <w:p w:rsidR="009D7EA0" w:rsidRPr="001E18F0" w:rsidRDefault="009D7EA0" w:rsidP="009D7EA0">
      <w:pPr>
        <w:contextualSpacing/>
        <w:jc w:val="both"/>
        <w:rPr>
          <w:rFonts w:ascii="Arial Narrow" w:hAnsi="Arial Narrow" w:cs="Arial"/>
        </w:rPr>
      </w:pPr>
    </w:p>
    <w:p w:rsidR="009D7EA0" w:rsidRPr="001E18F0" w:rsidRDefault="009D7EA0" w:rsidP="009D7EA0">
      <w:pPr>
        <w:pStyle w:val="Prrafodelista"/>
        <w:numPr>
          <w:ilvl w:val="1"/>
          <w:numId w:val="2"/>
        </w:numPr>
        <w:pBdr>
          <w:top w:val="nil"/>
          <w:left w:val="nil"/>
          <w:bottom w:val="nil"/>
          <w:right w:val="nil"/>
          <w:between w:val="nil"/>
          <w:bar w:val="nil"/>
        </w:pBdr>
        <w:jc w:val="both"/>
        <w:rPr>
          <w:rFonts w:ascii="Arial Narrow" w:hAnsi="Arial Narrow" w:cs="Arial"/>
        </w:rPr>
      </w:pPr>
      <w:r w:rsidRPr="001E18F0">
        <w:rPr>
          <w:rFonts w:ascii="Arial Narrow" w:hAnsi="Arial Narrow" w:cs="Arial"/>
        </w:rPr>
        <w:t>Protección de escenarios que presentan bellezas o excepcionalidades paisajísticas y geomorfológicas, especialmente para ser aprovechados de una manera ordenada por el sector turístico, el sector salud o en procesos de educación e investigación.</w:t>
      </w:r>
    </w:p>
    <w:p w:rsidR="009D7EA0" w:rsidRPr="001E18F0" w:rsidRDefault="009D7EA0" w:rsidP="009D7EA0">
      <w:pPr>
        <w:contextualSpacing/>
        <w:jc w:val="both"/>
        <w:rPr>
          <w:rFonts w:ascii="Arial Narrow" w:hAnsi="Arial Narrow" w:cs="Arial"/>
        </w:rPr>
      </w:pPr>
    </w:p>
    <w:p w:rsidR="009D7EA0" w:rsidRPr="001E18F0" w:rsidRDefault="009D7EA0" w:rsidP="009D7EA0">
      <w:pPr>
        <w:pStyle w:val="CuerpoA"/>
        <w:numPr>
          <w:ilvl w:val="0"/>
          <w:numId w:val="2"/>
        </w:numPr>
        <w:contextualSpacing/>
        <w:jc w:val="both"/>
        <w:rPr>
          <w:rFonts w:ascii="Arial Narrow" w:hAnsi="Arial Narrow" w:cs="Arial"/>
          <w:color w:val="auto"/>
        </w:rPr>
      </w:pPr>
      <w:r w:rsidRPr="001E18F0">
        <w:rPr>
          <w:rFonts w:ascii="Arial Narrow" w:hAnsi="Arial Narrow" w:cs="Arial"/>
          <w:color w:val="auto"/>
          <w:u w:val="single"/>
        </w:rPr>
        <w:t>Protección de áreas asociadas a etnias, culturas propias, restos arqueológicos o patrimonio histórico</w:t>
      </w:r>
      <w:r w:rsidRPr="001E18F0">
        <w:rPr>
          <w:rFonts w:ascii="Arial Narrow" w:hAnsi="Arial Narrow" w:cs="Arial"/>
          <w:color w:val="auto"/>
        </w:rPr>
        <w:t>: El área a declarar o ampliar se traslapa con resguardos constituidos de pueblos indígenas, siendo una garantía de conservación de estos territorios y las etnias que allí habitan y que han contribuido a la protección de los mismos.</w:t>
      </w:r>
    </w:p>
    <w:p w:rsidR="009D7EA0" w:rsidRPr="001E18F0" w:rsidRDefault="009D7EA0" w:rsidP="009D7EA0">
      <w:pPr>
        <w:pStyle w:val="CuerpoA"/>
        <w:ind w:left="720"/>
        <w:contextualSpacing/>
        <w:jc w:val="both"/>
        <w:rPr>
          <w:rFonts w:ascii="Arial Narrow" w:hAnsi="Arial Narrow" w:cs="Arial"/>
          <w:color w:val="auto"/>
        </w:rPr>
      </w:pPr>
    </w:p>
    <w:p w:rsidR="009D7EA0" w:rsidRPr="001E18F0" w:rsidRDefault="009D7EA0" w:rsidP="009D7EA0">
      <w:pPr>
        <w:pStyle w:val="CuerpoA"/>
        <w:ind w:left="720"/>
        <w:contextualSpacing/>
        <w:jc w:val="both"/>
        <w:rPr>
          <w:rFonts w:ascii="Arial Narrow" w:hAnsi="Arial Narrow" w:cs="Arial"/>
          <w:color w:val="auto"/>
        </w:rPr>
      </w:pPr>
      <w:r w:rsidRPr="001E18F0">
        <w:rPr>
          <w:rFonts w:ascii="Arial Narrow" w:hAnsi="Arial Narrow" w:cs="Arial"/>
          <w:color w:val="auto"/>
        </w:rPr>
        <w:lastRenderedPageBreak/>
        <w:t>Adicionalmente, para el caso de las comunidades afrocolombianas el uso tradicional y ancestral que contribuye a la pervivencia de su cultura y sus costumbres, es posible dentro de las áreas protegidas. De otro lado, la protección de restos arqueológicos y lugares de importancia histórica también pueden ser factores que influyen en la decisión de proteger un territorio bajo alguna de las categorías del SINAP.</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Con este horizonte, el País ha venido adelantado acciones que le permiten avanzar en los compromisos asumidos en el marco del Convenio de Diversidad Biológica, en el último cuatrienio a través del Plan Nacional de Desarrollo 2014 – 2018 “Todos por un nuevo País”, se contempló la estrategia trasversal de Crecimiento Verde, la cual propone una visión de desarrollo sostenible a largo plazo que garantice el bienestar económico y social, al asegurar la conservación del capital natural de la Nación. Entre otras metas, se definió como Meta para el sector ambiental la declaratoria de 2´500.000 hectáreas incorporadas en el Sistema Nacional de Áreas Protegidas - SINAP, con lo que se garantiza la conservación de ecosistemas no incorporados o con baja representatividad en el SINAP; así como mantener la oferta de bienes y servicios ecosistémicos, la protección de la biodiversidad en sus diferentes niveles asociada a los diferentes ecosistemas, a fin de aportar a la estabilidad socioeconómica y ambiental de los territorios.</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Colombia supero las metas propuestas en términos de nuevas áreas protegidas, triplicando la meta del Plan Nacional de Desarrollo de declarar 2.5 millones de hectáreas en el SINAP, llegando a 7’519.246 hectáreas protegidas en el cuatrienio. Así las cosas, producto de todas las acciones adelantadas en pro de conservar el patrimonio natural y cultural del país, hoy el Sistema Nacional de Áreas Protegidas – SINAP está conformado por 1065 áreas protegidas</w:t>
      </w:r>
      <w:r w:rsidR="00DD7054" w:rsidRPr="001E18F0">
        <w:rPr>
          <w:rStyle w:val="Refdenotaalpie"/>
          <w:rFonts w:ascii="Arial Narrow" w:hAnsi="Arial Narrow" w:cs="Arial"/>
          <w:color w:val="auto"/>
        </w:rPr>
        <w:footnoteReference w:id="1"/>
      </w:r>
      <w:r w:rsidRPr="001E18F0">
        <w:rPr>
          <w:rFonts w:ascii="Arial Narrow" w:hAnsi="Arial Narrow" w:cs="Arial"/>
          <w:color w:val="auto"/>
        </w:rPr>
        <w:t xml:space="preserve"> con una superficie de más de 30 millones de hectáreas, equivalentes al 15% del territorio Colombiano. </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Producto de estos avances, Colombia cumplió con la Meta 11 de Aichi en lo referente a proteger el 10% de las zonas marinas y costeras, y con el compromiso de la Conferencia de los Océanos de las Naciones Unidas – 2017 de conservar por lo menos el 13% de sus zonas marinas, metas superadas con la protección del 13,73% del territorio marino del país lo que equivale a 12’750.004 hectáreas marinas protegidas.</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En cuanto al cumplimiento de la Meta 11 de Aichi en lo referente a proteger al año 2020, al meno</w:t>
      </w:r>
      <w:r w:rsidR="0087192B" w:rsidRPr="001E18F0">
        <w:rPr>
          <w:rFonts w:ascii="Arial Narrow" w:hAnsi="Arial Narrow" w:cs="Arial"/>
          <w:color w:val="auto"/>
        </w:rPr>
        <w:t xml:space="preserve">s el </w:t>
      </w:r>
      <w:r w:rsidR="0087192B" w:rsidRPr="001E18F0">
        <w:rPr>
          <w:rFonts w:ascii="Arial Narrow" w:hAnsi="Arial Narrow" w:cs="Arial"/>
          <w:b/>
          <w:color w:val="auto"/>
        </w:rPr>
        <w:t>17%</w:t>
      </w:r>
      <w:r w:rsidR="0087192B" w:rsidRPr="001E18F0">
        <w:rPr>
          <w:rFonts w:ascii="Arial Narrow" w:hAnsi="Arial Narrow" w:cs="Arial"/>
          <w:color w:val="auto"/>
        </w:rPr>
        <w:t xml:space="preserve"> </w:t>
      </w:r>
      <w:r w:rsidRPr="001E18F0">
        <w:rPr>
          <w:rFonts w:ascii="Arial Narrow" w:hAnsi="Arial Narrow" w:cs="Arial"/>
          <w:color w:val="auto"/>
        </w:rPr>
        <w:t xml:space="preserve">de las zonas terrestres y de aguas continentales, se tiene un avance de 18’141.508 hectáreas terrestres, equivalentes al  </w:t>
      </w:r>
      <w:r w:rsidRPr="001E18F0">
        <w:rPr>
          <w:rFonts w:ascii="Arial Narrow" w:hAnsi="Arial Narrow" w:cs="Arial"/>
          <w:b/>
          <w:color w:val="auto"/>
        </w:rPr>
        <w:t>15,89%,</w:t>
      </w:r>
      <w:r w:rsidRPr="001E18F0">
        <w:rPr>
          <w:rFonts w:ascii="Arial Narrow" w:hAnsi="Arial Narrow" w:cs="Arial"/>
          <w:color w:val="auto"/>
        </w:rPr>
        <w:t xml:space="preserve"> aportando así en su conjunto a los objetivos de conservación del país y como sistema, le aporta a tener un sistema completo, ecológicamente representado y efectivamente gestionado. </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 xml:space="preserve">Sin embargo </w:t>
      </w:r>
      <w:r w:rsidR="0087192B" w:rsidRPr="001E18F0">
        <w:rPr>
          <w:rFonts w:ascii="Arial Narrow" w:hAnsi="Arial Narrow" w:cs="Arial"/>
          <w:color w:val="auto"/>
        </w:rPr>
        <w:t xml:space="preserve">como se puede apreciar, es necesario continuar avanzando para dar cumplimiento en su totalidad a la Meta 11, por lo cual </w:t>
      </w:r>
      <w:r w:rsidRPr="001E18F0">
        <w:rPr>
          <w:rFonts w:ascii="Arial Narrow" w:hAnsi="Arial Narrow" w:cs="Arial"/>
          <w:color w:val="auto"/>
        </w:rPr>
        <w:t xml:space="preserve">el país continua avanzando en la consolidación de procesos de declaratoria y procesos de ampliaciones de áreas protegidas, en ecosistemas que es necesario </w:t>
      </w:r>
      <w:r w:rsidRPr="001E18F0">
        <w:rPr>
          <w:rFonts w:ascii="Arial Narrow" w:hAnsi="Arial Narrow" w:cs="Arial"/>
          <w:color w:val="auto"/>
        </w:rPr>
        <w:lastRenderedPageBreak/>
        <w:t xml:space="preserve">integrar al SINAP, </w:t>
      </w:r>
      <w:r w:rsidR="0087192B" w:rsidRPr="001E18F0">
        <w:rPr>
          <w:rFonts w:ascii="Arial Narrow" w:hAnsi="Arial Narrow" w:cs="Arial"/>
          <w:color w:val="auto"/>
        </w:rPr>
        <w:t xml:space="preserve">incluyendo </w:t>
      </w:r>
      <w:r w:rsidRPr="001E18F0">
        <w:rPr>
          <w:rFonts w:ascii="Arial Narrow" w:hAnsi="Arial Narrow" w:cs="Arial"/>
          <w:color w:val="auto"/>
        </w:rPr>
        <w:t xml:space="preserve">el esfuerzo que las Autoridades Ambientales Regionales hacen por consolidar procesos de nuevas áreas del ámbito de gestión regional. </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En aras de avanzar en la consolidación de los procesos de declaratoria de ámbito de gestión regional, se desarrollaron espacios de trabajo entre Ministerio de Ambiente y Desarrollo Sostenible, Parques Nacionales Naturales, la Agencia Nacional Minera y las Corporaciones Autónomas Regionales incluidas las de Desarrollo Sostenible, lo cual dio como resultado la prórroga de la Resolución 1814 de 2015, en la cual bajo el principio de precaución “…</w:t>
      </w:r>
      <w:r w:rsidRPr="001E18F0">
        <w:rPr>
          <w:rFonts w:ascii="Arial Narrow" w:hAnsi="Arial Narrow" w:cs="Arial"/>
          <w:i/>
          <w:color w:val="auto"/>
        </w:rPr>
        <w:t>se declaran y delimitan unas zonas de protección y desarrollo de los recursos naturales renovables y del medio ambiente…”</w:t>
      </w:r>
      <w:r w:rsidRPr="001E18F0">
        <w:rPr>
          <w:rFonts w:ascii="Arial Narrow" w:hAnsi="Arial Narrow" w:cs="Arial"/>
          <w:color w:val="auto"/>
        </w:rPr>
        <w:t xml:space="preserve"> teniendo en cuenta los avances de cada uno de los procesos de declaratoria dicha Resolución fue prorrogada por la  Resolución 2157 de 2017, en la cual se contempla la protección de 35 procesos de declaratoria regionales que albergan ecosistemas estratégicos con una gran biodiversidad y riqueza natural.</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 xml:space="preserve">En cuanto a los procesos de declaratoria de ámbito de gestión nacional, se encuentran vigentes las Resoluciones 1310 de 2018 </w:t>
      </w:r>
      <w:r w:rsidR="002B1ACE" w:rsidRPr="001E18F0">
        <w:rPr>
          <w:rFonts w:ascii="Arial Narrow" w:hAnsi="Arial Narrow" w:cs="Arial"/>
          <w:color w:val="auto"/>
        </w:rPr>
        <w:t xml:space="preserve">(ampliación de las zonas de protección de orden nacional) </w:t>
      </w:r>
      <w:r w:rsidRPr="001E18F0">
        <w:rPr>
          <w:rFonts w:ascii="Arial Narrow" w:hAnsi="Arial Narrow" w:cs="Arial"/>
          <w:color w:val="auto"/>
        </w:rPr>
        <w:t>y 504 de 2018</w:t>
      </w:r>
      <w:r w:rsidR="002B1ACE" w:rsidRPr="001E18F0">
        <w:rPr>
          <w:rFonts w:ascii="Arial Narrow" w:hAnsi="Arial Narrow" w:cs="Arial"/>
          <w:color w:val="auto"/>
        </w:rPr>
        <w:t xml:space="preserve"> (por la cual se crea una zona de protección para un área localizada en la Sierra Nevada de Santa Marta)</w:t>
      </w:r>
      <w:r w:rsidRPr="001E18F0">
        <w:rPr>
          <w:rFonts w:ascii="Arial Narrow" w:hAnsi="Arial Narrow" w:cs="Arial"/>
          <w:color w:val="auto"/>
        </w:rPr>
        <w:t xml:space="preserve">, en las cuales bajo el principio de precaución “…se declaran y delimitan unas zonas de protección y desarrollo de los recursos naturales renovables y del medio ambiente…” lo cual permite avanzar en la consolidación de los procesos de declaratoria. </w:t>
      </w:r>
    </w:p>
    <w:p w:rsidR="00266F73" w:rsidRPr="001E18F0" w:rsidRDefault="00266F73"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 xml:space="preserve">Estos procesos de declaratoria de nuevas áreas y ampliaciones de las áreas ya existentes, contemplan la protección de zonas terrestres con lo que el país aportará a una de las estrategias prioritarias para conservar el patrimonio natural y cultural a nivel mundial, y definiendo apuestas para enfrentar los retos que impone el cambio climático, por esta y las razones anteriormente descritas es importante </w:t>
      </w:r>
    </w:p>
    <w:p w:rsidR="00266F73" w:rsidRPr="001E18F0" w:rsidRDefault="00266F73" w:rsidP="00266F73">
      <w:pPr>
        <w:pStyle w:val="CuerpoA"/>
        <w:contextualSpacing/>
        <w:jc w:val="both"/>
        <w:rPr>
          <w:rFonts w:ascii="Arial Narrow" w:hAnsi="Arial Narrow" w:cs="Arial"/>
          <w:color w:val="auto"/>
        </w:rPr>
      </w:pPr>
    </w:p>
    <w:p w:rsidR="00266F73" w:rsidRPr="001E18F0" w:rsidRDefault="000E228C" w:rsidP="001320AB">
      <w:pPr>
        <w:pStyle w:val="CuerpoA"/>
        <w:contextualSpacing/>
        <w:jc w:val="both"/>
        <w:rPr>
          <w:rFonts w:ascii="Arial Narrow" w:hAnsi="Arial Narrow" w:cs="Arial"/>
          <w:color w:val="auto"/>
        </w:rPr>
      </w:pPr>
      <w:r w:rsidRPr="001E18F0">
        <w:rPr>
          <w:rFonts w:ascii="Arial Narrow" w:hAnsi="Arial Narrow" w:cs="Arial"/>
          <w:color w:val="auto"/>
        </w:rPr>
        <w:t xml:space="preserve">Bajo el anterior contexto, </w:t>
      </w:r>
      <w:r w:rsidR="00266F73" w:rsidRPr="001E18F0">
        <w:rPr>
          <w:rFonts w:ascii="Arial Narrow" w:hAnsi="Arial Narrow" w:cs="Arial"/>
          <w:color w:val="auto"/>
        </w:rPr>
        <w:t>Parques Nacionales Naturales de Colombia, en el marco de la Coordinación del SINAP avanzo en la consolidación de</w:t>
      </w:r>
      <w:r w:rsidRPr="001E18F0">
        <w:rPr>
          <w:rFonts w:ascii="Arial Narrow" w:hAnsi="Arial Narrow" w:cs="Arial"/>
          <w:color w:val="auto"/>
        </w:rPr>
        <w:t xml:space="preserve"> un</w:t>
      </w:r>
      <w:r w:rsidR="00266F73" w:rsidRPr="001E18F0">
        <w:rPr>
          <w:rFonts w:ascii="Arial Narrow" w:hAnsi="Arial Narrow" w:cs="Arial"/>
          <w:color w:val="auto"/>
        </w:rPr>
        <w:t xml:space="preserve"> informe</w:t>
      </w:r>
      <w:r w:rsidRPr="001E18F0">
        <w:rPr>
          <w:rFonts w:ascii="Arial Narrow" w:hAnsi="Arial Narrow" w:cs="Arial"/>
          <w:color w:val="auto"/>
        </w:rPr>
        <w:t>, presentado al Ministerio de Ambiente y Desarrollo Sostenible</w:t>
      </w:r>
      <w:r w:rsidR="004336B2" w:rsidRPr="001E18F0">
        <w:rPr>
          <w:rFonts w:ascii="Arial Narrow" w:hAnsi="Arial Narrow" w:cs="Arial"/>
          <w:color w:val="auto"/>
        </w:rPr>
        <w:t xml:space="preserve"> mediante radicado E1-2018-029670 del 04 de octubre de 2018</w:t>
      </w:r>
      <w:r w:rsidRPr="001E18F0">
        <w:rPr>
          <w:rFonts w:ascii="Arial Narrow" w:hAnsi="Arial Narrow" w:cs="Arial"/>
          <w:color w:val="auto"/>
        </w:rPr>
        <w:t>,</w:t>
      </w:r>
      <w:r w:rsidR="00266F73" w:rsidRPr="001E18F0">
        <w:rPr>
          <w:rFonts w:ascii="Arial Narrow" w:hAnsi="Arial Narrow" w:cs="Arial"/>
          <w:color w:val="auto"/>
        </w:rPr>
        <w:t xml:space="preserve"> en el cual se detalla el estado y avances de los 35 procesos de declaratoria regionales contemplados en la Resolución 2157 de 2017, de los cuales ya se declararon 6 áreas protegidas con 94.912 hectáreas, </w:t>
      </w:r>
      <w:r w:rsidRPr="001E18F0">
        <w:rPr>
          <w:rFonts w:ascii="Arial Narrow" w:hAnsi="Arial Narrow" w:cs="Arial"/>
          <w:color w:val="auto"/>
        </w:rPr>
        <w:t>analizando igualmente las</w:t>
      </w:r>
      <w:r w:rsidR="00266F73" w:rsidRPr="001E18F0">
        <w:rPr>
          <w:rFonts w:ascii="Arial Narrow" w:hAnsi="Arial Narrow" w:cs="Arial"/>
          <w:color w:val="auto"/>
        </w:rPr>
        <w:t xml:space="preserve"> precisiones en superficie de algunos  polígonos</w:t>
      </w:r>
      <w:r w:rsidRPr="001E18F0">
        <w:rPr>
          <w:rFonts w:ascii="Arial Narrow" w:hAnsi="Arial Narrow" w:cs="Arial"/>
          <w:color w:val="auto"/>
        </w:rPr>
        <w:t xml:space="preserve"> y el mantenimiento del área de otros</w:t>
      </w:r>
      <w:r w:rsidR="00266F73" w:rsidRPr="001E18F0">
        <w:rPr>
          <w:rFonts w:ascii="Arial Narrow" w:hAnsi="Arial Narrow" w:cs="Arial"/>
          <w:color w:val="auto"/>
        </w:rPr>
        <w:t xml:space="preserve">; las cuales se sustentan por parte de las diferentes Autoridades a partir de la aplicación de varios criterios del orden biofísico, socioeconómico y cultural. </w:t>
      </w:r>
      <w:r w:rsidR="001320AB" w:rsidRPr="001E18F0">
        <w:rPr>
          <w:rFonts w:ascii="Arial Narrow" w:hAnsi="Arial Narrow" w:cs="Arial"/>
          <w:color w:val="auto"/>
        </w:rPr>
        <w:t xml:space="preserve">Los cuales, hasta tanto no se </w:t>
      </w:r>
      <w:proofErr w:type="gramStart"/>
      <w:r w:rsidR="001B1174" w:rsidRPr="001E18F0">
        <w:rPr>
          <w:rFonts w:ascii="Arial Narrow" w:hAnsi="Arial Narrow" w:cs="Arial"/>
          <w:color w:val="auto"/>
        </w:rPr>
        <w:t>efectúe</w:t>
      </w:r>
      <w:proofErr w:type="gramEnd"/>
      <w:r w:rsidR="001320AB" w:rsidRPr="001E18F0">
        <w:rPr>
          <w:rFonts w:ascii="Arial Narrow" w:hAnsi="Arial Narrow" w:cs="Arial"/>
          <w:color w:val="auto"/>
        </w:rPr>
        <w:t xml:space="preserve"> la declaratoria del área protegida,</w:t>
      </w:r>
      <w:r w:rsidR="00266F73" w:rsidRPr="001E18F0">
        <w:rPr>
          <w:rFonts w:ascii="Arial Narrow" w:hAnsi="Arial Narrow" w:cs="Arial"/>
          <w:color w:val="auto"/>
        </w:rPr>
        <w:t xml:space="preserve"> continúan siendo preliminares y están sujetos a ajustes según su avance en la implementación de la ruta de declaratoria de nuevas áreas protegidas. </w:t>
      </w:r>
    </w:p>
    <w:p w:rsidR="00266F73" w:rsidRPr="001E18F0" w:rsidRDefault="00266F73" w:rsidP="00266F73">
      <w:pPr>
        <w:pStyle w:val="CuerpoA"/>
        <w:contextualSpacing/>
        <w:jc w:val="both"/>
        <w:rPr>
          <w:rFonts w:ascii="Arial Narrow" w:hAnsi="Arial Narrow" w:cs="Arial"/>
          <w:color w:val="auto"/>
        </w:rPr>
      </w:pPr>
    </w:p>
    <w:p w:rsidR="006E51F6" w:rsidRPr="001E18F0" w:rsidRDefault="006E51F6" w:rsidP="00266F73">
      <w:pPr>
        <w:pStyle w:val="CuerpoA"/>
        <w:contextualSpacing/>
        <w:jc w:val="both"/>
        <w:rPr>
          <w:rFonts w:ascii="Arial Narrow" w:hAnsi="Arial Narrow" w:cs="Arial"/>
          <w:color w:val="auto"/>
        </w:rPr>
      </w:pPr>
      <w:r w:rsidRPr="001E18F0">
        <w:rPr>
          <w:rFonts w:ascii="Arial Narrow" w:hAnsi="Arial Narrow" w:cs="Arial"/>
          <w:color w:val="auto"/>
        </w:rPr>
        <w:t xml:space="preserve">Así mismo, el día 08 de octubre de 2018, en el marco del deber de colaboración de que trata el artículo 34 de la Ley 685 de 2001 y el  artículo 2.2.2.1.5.4 del Decreto 1076 de 2015 (anterior artículo 41 del Decreto 2372 de 2010), se </w:t>
      </w:r>
      <w:r w:rsidR="004336B2" w:rsidRPr="001E18F0">
        <w:rPr>
          <w:rFonts w:ascii="Arial Narrow" w:hAnsi="Arial Narrow" w:cs="Arial"/>
          <w:color w:val="auto"/>
        </w:rPr>
        <w:t xml:space="preserve">llevó a cabo reunión con la Agencia Nacional de Minería, con el fin de analizar los resultados del avance en los procesos de declaratoria, a partir de la información </w:t>
      </w:r>
      <w:r w:rsidR="00AA2D63" w:rsidRPr="001E18F0">
        <w:rPr>
          <w:rFonts w:ascii="Arial Narrow" w:hAnsi="Arial Narrow" w:cs="Arial"/>
          <w:color w:val="auto"/>
        </w:rPr>
        <w:t>entregada</w:t>
      </w:r>
      <w:r w:rsidR="004336B2" w:rsidRPr="001E18F0">
        <w:rPr>
          <w:rFonts w:ascii="Arial Narrow" w:hAnsi="Arial Narrow" w:cs="Arial"/>
          <w:color w:val="auto"/>
        </w:rPr>
        <w:t xml:space="preserve"> por Parques Nacionales Naturales</w:t>
      </w:r>
      <w:r w:rsidR="00AA2D63" w:rsidRPr="001E18F0">
        <w:rPr>
          <w:rFonts w:ascii="Arial Narrow" w:hAnsi="Arial Narrow" w:cs="Arial"/>
          <w:color w:val="auto"/>
        </w:rPr>
        <w:t xml:space="preserve"> al MADS</w:t>
      </w:r>
      <w:r w:rsidR="004336B2" w:rsidRPr="001E18F0">
        <w:rPr>
          <w:rFonts w:ascii="Arial Narrow" w:hAnsi="Arial Narrow" w:cs="Arial"/>
          <w:color w:val="auto"/>
        </w:rPr>
        <w:t>.</w:t>
      </w:r>
    </w:p>
    <w:p w:rsidR="006E51F6" w:rsidRPr="001E18F0" w:rsidRDefault="006E51F6" w:rsidP="00266F73">
      <w:pPr>
        <w:pStyle w:val="CuerpoA"/>
        <w:contextualSpacing/>
        <w:jc w:val="both"/>
        <w:rPr>
          <w:rFonts w:ascii="Arial Narrow" w:hAnsi="Arial Narrow" w:cs="Arial"/>
          <w:color w:val="auto"/>
        </w:rPr>
      </w:pPr>
    </w:p>
    <w:p w:rsidR="00266F73" w:rsidRPr="001E18F0" w:rsidRDefault="00266F73" w:rsidP="00266F73">
      <w:pPr>
        <w:pStyle w:val="CuerpoA"/>
        <w:contextualSpacing/>
        <w:jc w:val="both"/>
        <w:rPr>
          <w:rFonts w:ascii="Arial Narrow" w:hAnsi="Arial Narrow" w:cs="Arial"/>
          <w:color w:val="auto"/>
        </w:rPr>
      </w:pPr>
      <w:r w:rsidRPr="001E18F0">
        <w:rPr>
          <w:rFonts w:ascii="Arial Narrow" w:hAnsi="Arial Narrow" w:cs="Arial"/>
          <w:color w:val="auto"/>
        </w:rPr>
        <w:t>Con los avances en la consolidación del Sistema Nacional de Áreas Protegidas - SINAP, se aporta al cumplimiento de los compromisos que el País asumió en el marco del Convenio de Diversidad Biológica (Metas Aichi), frente a la OCDE, los acuerdos de Paris y las metas propuestas de Objetivos de Desarrollo Sostenible relacionadas con nuevas áreas protegidas y las metas propias de los Planes de Desarrollo.</w:t>
      </w:r>
    </w:p>
    <w:p w:rsidR="00266F73" w:rsidRPr="001E18F0" w:rsidRDefault="00266F73" w:rsidP="00266F73">
      <w:pPr>
        <w:pStyle w:val="CuerpoA"/>
        <w:contextualSpacing/>
        <w:jc w:val="both"/>
        <w:rPr>
          <w:rFonts w:ascii="Arial Narrow" w:hAnsi="Arial Narrow" w:cs="Arial"/>
          <w:color w:val="auto"/>
        </w:rPr>
      </w:pPr>
    </w:p>
    <w:p w:rsidR="00311863" w:rsidRPr="001E18F0" w:rsidRDefault="00311863" w:rsidP="00311863">
      <w:pPr>
        <w:pStyle w:val="Prrafodelista"/>
        <w:numPr>
          <w:ilvl w:val="0"/>
          <w:numId w:val="1"/>
        </w:numPr>
        <w:autoSpaceDE w:val="0"/>
        <w:jc w:val="both"/>
        <w:rPr>
          <w:rFonts w:ascii="Arial Narrow" w:hAnsi="Arial Narrow" w:cs="Arial"/>
          <w:b/>
        </w:rPr>
      </w:pPr>
      <w:r w:rsidRPr="001E18F0">
        <w:rPr>
          <w:rFonts w:ascii="Arial Narrow" w:hAnsi="Arial Narrow" w:cs="Arial"/>
          <w:b/>
        </w:rPr>
        <w:t>Los Efectos de la Exploración Minera sobre la Biodiversidad y Servicios Ecosistémicos de Áreas en Proceso de Declaratoria como Áreas Protegidas.</w:t>
      </w:r>
    </w:p>
    <w:p w:rsidR="00311863" w:rsidRPr="001E18F0" w:rsidRDefault="00311863" w:rsidP="00311863">
      <w:pPr>
        <w:autoSpaceDE w:val="0"/>
        <w:jc w:val="both"/>
        <w:rPr>
          <w:rFonts w:ascii="Arial Narrow" w:hAnsi="Arial Narrow" w:cs="Arial"/>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El objetivo general de los trabajos de exploración es establecer y calcular técnicamente las reservas del mineral o minerales, la ubicación y características de los depósitos o yacimientos, la elaboración detallada del plan minero por ejecutarse, los medios y métodos de explotación, y la escala y duración factible de la producción esperada.</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Las fases indicadas para el desarrollo de los trabajos de exploración son</w:t>
      </w:r>
      <w:r w:rsidRPr="001E18F0">
        <w:rPr>
          <w:rStyle w:val="Refdenotaalpie"/>
          <w:rFonts w:ascii="Arial Narrow" w:eastAsia="Times New Roman" w:hAnsi="Arial Narrow" w:cs="Times New Roman"/>
        </w:rPr>
        <w:footnoteReference w:id="2"/>
      </w:r>
      <w:r w:rsidRPr="001E18F0">
        <w:rPr>
          <w:rFonts w:ascii="Arial Narrow" w:eastAsia="Times New Roman" w:hAnsi="Arial Narrow" w:cs="Times New Roman"/>
        </w:rPr>
        <w:t>:</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b/>
        </w:rPr>
      </w:pPr>
      <w:r w:rsidRPr="001E18F0">
        <w:rPr>
          <w:rFonts w:ascii="Arial Narrow" w:eastAsia="Times New Roman" w:hAnsi="Arial Narrow" w:cs="Times New Roman"/>
          <w:b/>
        </w:rPr>
        <w:t>Fase I: Exploración Geológica de Superficie</w:t>
      </w:r>
    </w:p>
    <w:p w:rsidR="00311863" w:rsidRPr="001E18F0" w:rsidRDefault="00311863" w:rsidP="00311863">
      <w:pPr>
        <w:pStyle w:val="Prrafodelista"/>
        <w:numPr>
          <w:ilvl w:val="0"/>
          <w:numId w:val="13"/>
        </w:numPr>
        <w:jc w:val="both"/>
        <w:rPr>
          <w:rFonts w:ascii="Arial Narrow" w:eastAsia="Times New Roman" w:hAnsi="Arial Narrow" w:cs="Times New Roman"/>
        </w:rPr>
      </w:pPr>
      <w:r w:rsidRPr="001E18F0">
        <w:rPr>
          <w:rFonts w:ascii="Arial Narrow" w:eastAsia="Times New Roman" w:hAnsi="Arial Narrow" w:cs="Times New Roman"/>
        </w:rPr>
        <w:t>Planificación de la fase</w:t>
      </w:r>
    </w:p>
    <w:p w:rsidR="00311863" w:rsidRPr="001E18F0" w:rsidRDefault="00311863" w:rsidP="00311863">
      <w:pPr>
        <w:pStyle w:val="Prrafodelista"/>
        <w:numPr>
          <w:ilvl w:val="0"/>
          <w:numId w:val="13"/>
        </w:numPr>
        <w:jc w:val="both"/>
        <w:rPr>
          <w:rFonts w:ascii="Arial Narrow" w:eastAsia="Times New Roman" w:hAnsi="Arial Narrow" w:cs="Times New Roman"/>
        </w:rPr>
      </w:pPr>
      <w:r w:rsidRPr="001E18F0">
        <w:rPr>
          <w:rFonts w:ascii="Arial Narrow" w:eastAsia="Times New Roman" w:hAnsi="Arial Narrow" w:cs="Times New Roman"/>
        </w:rPr>
        <w:t>Pre operación: socialización, visitas de campo para ubicación de campamentos / helipuertos, definición de accesos y línea base topográfica.</w:t>
      </w:r>
    </w:p>
    <w:p w:rsidR="00311863" w:rsidRPr="001E18F0" w:rsidRDefault="00311863" w:rsidP="00311863">
      <w:pPr>
        <w:pStyle w:val="Prrafodelista"/>
        <w:numPr>
          <w:ilvl w:val="0"/>
          <w:numId w:val="13"/>
        </w:numPr>
        <w:jc w:val="both"/>
        <w:rPr>
          <w:rFonts w:ascii="Arial Narrow" w:eastAsia="Times New Roman" w:hAnsi="Arial Narrow" w:cs="Times New Roman"/>
        </w:rPr>
      </w:pPr>
      <w:r w:rsidRPr="001E18F0">
        <w:rPr>
          <w:rFonts w:ascii="Arial Narrow" w:eastAsia="Times New Roman" w:hAnsi="Arial Narrow" w:cs="Times New Roman"/>
        </w:rPr>
        <w:t>Operación de campo: construcción, adecuación y/</w:t>
      </w:r>
      <w:proofErr w:type="spellStart"/>
      <w:r w:rsidRPr="001E18F0">
        <w:rPr>
          <w:rFonts w:ascii="Arial Narrow" w:eastAsia="Times New Roman" w:hAnsi="Arial Narrow" w:cs="Times New Roman"/>
        </w:rPr>
        <w:t>o</w:t>
      </w:r>
      <w:proofErr w:type="spellEnd"/>
      <w:r w:rsidRPr="001E18F0">
        <w:rPr>
          <w:rFonts w:ascii="Arial Narrow" w:eastAsia="Times New Roman" w:hAnsi="Arial Narrow" w:cs="Times New Roman"/>
        </w:rPr>
        <w:t xml:space="preserve"> operación de campamentos y helipuertos; base topográfica; cartografía geológica, apertura de trincheras y apiques; geoquímica; geofísica; muestreo de pequeñas porciones de material geológico o botánico con fines de cuantificación analítica; levantamiento topográfico.</w:t>
      </w:r>
    </w:p>
    <w:p w:rsidR="00311863" w:rsidRPr="001E18F0" w:rsidRDefault="00311863" w:rsidP="00311863">
      <w:pPr>
        <w:pStyle w:val="Prrafodelista"/>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b/>
        </w:rPr>
      </w:pPr>
      <w:r w:rsidRPr="001E18F0">
        <w:rPr>
          <w:rFonts w:ascii="Arial Narrow" w:eastAsia="Times New Roman" w:hAnsi="Arial Narrow" w:cs="Times New Roman"/>
          <w:b/>
        </w:rPr>
        <w:t>Fase II: Exploración Geológica del Subsuelo</w:t>
      </w:r>
    </w:p>
    <w:p w:rsidR="00311863" w:rsidRPr="001E18F0" w:rsidRDefault="00311863" w:rsidP="00311863">
      <w:pPr>
        <w:pStyle w:val="Prrafodelista"/>
        <w:numPr>
          <w:ilvl w:val="0"/>
          <w:numId w:val="14"/>
        </w:numPr>
        <w:jc w:val="both"/>
        <w:rPr>
          <w:rFonts w:ascii="Arial Narrow" w:eastAsia="Times New Roman" w:hAnsi="Arial Narrow" w:cs="Times New Roman"/>
        </w:rPr>
      </w:pPr>
      <w:r w:rsidRPr="001E18F0">
        <w:rPr>
          <w:rFonts w:ascii="Arial Narrow" w:eastAsia="Times New Roman" w:hAnsi="Arial Narrow" w:cs="Times New Roman"/>
        </w:rPr>
        <w:t>Planificación de la fase</w:t>
      </w:r>
    </w:p>
    <w:p w:rsidR="00311863" w:rsidRPr="001E18F0" w:rsidRDefault="00311863" w:rsidP="00311863">
      <w:pPr>
        <w:pStyle w:val="Prrafodelista"/>
        <w:numPr>
          <w:ilvl w:val="0"/>
          <w:numId w:val="14"/>
        </w:numPr>
        <w:jc w:val="both"/>
        <w:rPr>
          <w:rFonts w:ascii="Arial Narrow" w:eastAsia="Times New Roman" w:hAnsi="Arial Narrow" w:cs="Times New Roman"/>
        </w:rPr>
      </w:pPr>
      <w:r w:rsidRPr="001E18F0">
        <w:rPr>
          <w:rFonts w:ascii="Arial Narrow" w:eastAsia="Times New Roman" w:hAnsi="Arial Narrow" w:cs="Times New Roman"/>
        </w:rPr>
        <w:t xml:space="preserve">Operación de Campo: ubicación de pozos, túneles, apiques y trincheras; pozos y galerías exploratorias (profundización vertical u horizontal respectivamente) con el objeto de acceder al cuerpo mineralizado; Perforación (el grado de certeza geológica está definido por el número de puntos de control, permitiendo simular la continuidad lateral y vertical del yacimiento); Registro eléctrico de pozos; toma de muestras y análisis; estudios asociados de ingeniería (referente a comportamiento </w:t>
      </w:r>
      <w:proofErr w:type="spellStart"/>
      <w:r w:rsidRPr="001E18F0">
        <w:rPr>
          <w:rFonts w:ascii="Arial Narrow" w:eastAsia="Times New Roman" w:hAnsi="Arial Narrow" w:cs="Times New Roman"/>
        </w:rPr>
        <w:t>geomecánico</w:t>
      </w:r>
      <w:proofErr w:type="spellEnd"/>
      <w:r w:rsidRPr="001E18F0">
        <w:rPr>
          <w:rFonts w:ascii="Arial Narrow" w:eastAsia="Times New Roman" w:hAnsi="Arial Narrow" w:cs="Times New Roman"/>
        </w:rPr>
        <w:t>, estabilidad de taludes, presiones de poros por efecto de aguas superficiales y subterráneas, etc.); levantamiento topográfico.</w:t>
      </w:r>
    </w:p>
    <w:p w:rsidR="00311863" w:rsidRPr="001E18F0" w:rsidRDefault="00311863" w:rsidP="00311863">
      <w:pPr>
        <w:pStyle w:val="Prrafodelista"/>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b/>
        </w:rPr>
      </w:pPr>
      <w:r w:rsidRPr="001E18F0">
        <w:rPr>
          <w:rFonts w:ascii="Arial Narrow" w:eastAsia="Times New Roman" w:hAnsi="Arial Narrow" w:cs="Times New Roman"/>
          <w:b/>
        </w:rPr>
        <w:t>Fase III: Evaluación y Modelo Geológico</w:t>
      </w:r>
    </w:p>
    <w:p w:rsidR="00311863" w:rsidRPr="001E18F0" w:rsidRDefault="00311863" w:rsidP="00311863">
      <w:pPr>
        <w:pStyle w:val="Prrafodelista"/>
        <w:numPr>
          <w:ilvl w:val="0"/>
          <w:numId w:val="15"/>
        </w:numPr>
        <w:jc w:val="both"/>
        <w:rPr>
          <w:rFonts w:ascii="Arial Narrow" w:eastAsia="Times New Roman" w:hAnsi="Arial Narrow" w:cs="Times New Roman"/>
        </w:rPr>
      </w:pPr>
      <w:r w:rsidRPr="001E18F0">
        <w:rPr>
          <w:rFonts w:ascii="Arial Narrow" w:eastAsia="Times New Roman" w:hAnsi="Arial Narrow" w:cs="Times New Roman"/>
        </w:rPr>
        <w:t>Evaluación e interpretación de la información geológica.</w:t>
      </w:r>
    </w:p>
    <w:p w:rsidR="00311863" w:rsidRPr="001E18F0" w:rsidRDefault="00311863" w:rsidP="00311863">
      <w:pPr>
        <w:pStyle w:val="Prrafodelista"/>
        <w:numPr>
          <w:ilvl w:val="0"/>
          <w:numId w:val="15"/>
        </w:numPr>
        <w:jc w:val="both"/>
        <w:rPr>
          <w:rFonts w:ascii="Arial Narrow" w:eastAsia="Times New Roman" w:hAnsi="Arial Narrow" w:cs="Times New Roman"/>
        </w:rPr>
      </w:pPr>
      <w:r w:rsidRPr="001E18F0">
        <w:rPr>
          <w:rFonts w:ascii="Arial Narrow" w:eastAsia="Times New Roman" w:hAnsi="Arial Narrow" w:cs="Times New Roman"/>
        </w:rPr>
        <w:t>Construcción del Modelo Geológico y Estructural</w:t>
      </w:r>
    </w:p>
    <w:p w:rsidR="00311863" w:rsidRPr="001E18F0" w:rsidRDefault="00311863" w:rsidP="00311863">
      <w:pPr>
        <w:pStyle w:val="Prrafodelista"/>
        <w:numPr>
          <w:ilvl w:val="0"/>
          <w:numId w:val="15"/>
        </w:numPr>
        <w:jc w:val="both"/>
        <w:rPr>
          <w:rFonts w:ascii="Arial Narrow" w:eastAsia="Times New Roman" w:hAnsi="Arial Narrow" w:cs="Times New Roman"/>
        </w:rPr>
      </w:pPr>
      <w:r w:rsidRPr="001E18F0">
        <w:rPr>
          <w:rFonts w:ascii="Arial Narrow" w:eastAsia="Times New Roman" w:hAnsi="Arial Narrow" w:cs="Times New Roman"/>
        </w:rPr>
        <w:t>Cálculo de reservas</w:t>
      </w:r>
    </w:p>
    <w:p w:rsidR="00311863" w:rsidRPr="001E18F0" w:rsidRDefault="00311863" w:rsidP="00311863">
      <w:pPr>
        <w:pStyle w:val="Prrafodelista"/>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b/>
        </w:rPr>
        <w:t>Fase IV: Programa de Trabajos y Obras</w:t>
      </w:r>
      <w:r w:rsidRPr="001E18F0">
        <w:rPr>
          <w:rFonts w:ascii="Arial Narrow" w:eastAsia="Times New Roman" w:hAnsi="Arial Narrow" w:cs="Times New Roman"/>
        </w:rPr>
        <w:t>: Suministra la base técnica, logística, económica y comercial para tomar la decisión de invertir y desarrollar un proyecto minero.</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hAnsi="Arial Narrow"/>
        </w:rPr>
      </w:pPr>
      <w:r w:rsidRPr="001E18F0">
        <w:rPr>
          <w:rFonts w:ascii="Arial Narrow" w:hAnsi="Arial Narrow"/>
        </w:rPr>
        <w:t>Referente a la descripción de las afectaciones que se derivan por la actividad de exploración minera, se toma como referencia las matrices Causa – Efecto presentadas en el capítulo LTE6 de Evaluación de Impactos Ambientales para cada una de las fases, enfatizando sobre los impactos ambientales de la etapa de exploración sobre los componentes ambientales biótico y abiótico:</w:t>
      </w:r>
    </w:p>
    <w:p w:rsidR="00311863" w:rsidRPr="001E18F0" w:rsidRDefault="00311863" w:rsidP="00311863">
      <w:pPr>
        <w:jc w:val="both"/>
        <w:rPr>
          <w:rFonts w:ascii="Arial Narrow" w:hAnsi="Arial Narrow"/>
        </w:rPr>
      </w:pPr>
    </w:p>
    <w:p w:rsidR="00311863" w:rsidRPr="001E18F0" w:rsidRDefault="00311863" w:rsidP="00311863">
      <w:pPr>
        <w:jc w:val="both"/>
        <w:rPr>
          <w:rFonts w:ascii="Arial Narrow" w:hAnsi="Arial Narrow"/>
        </w:rPr>
      </w:pPr>
    </w:p>
    <w:tbl>
      <w:tblPr>
        <w:tblW w:w="9418" w:type="dxa"/>
        <w:jc w:val="center"/>
        <w:tblLayout w:type="fixed"/>
        <w:tblCellMar>
          <w:left w:w="70" w:type="dxa"/>
          <w:right w:w="70" w:type="dxa"/>
        </w:tblCellMar>
        <w:tblLook w:val="04A0" w:firstRow="1" w:lastRow="0" w:firstColumn="1" w:lastColumn="0" w:noHBand="0" w:noVBand="1"/>
      </w:tblPr>
      <w:tblGrid>
        <w:gridCol w:w="1202"/>
        <w:gridCol w:w="1701"/>
        <w:gridCol w:w="1264"/>
        <w:gridCol w:w="1043"/>
        <w:gridCol w:w="933"/>
        <w:gridCol w:w="871"/>
        <w:gridCol w:w="1170"/>
        <w:gridCol w:w="1234"/>
      </w:tblGrid>
      <w:tr w:rsidR="00311863" w:rsidRPr="001E18F0" w:rsidTr="0030002E">
        <w:trPr>
          <w:cantSplit/>
          <w:trHeight w:val="294"/>
          <w:tblHeader/>
          <w:jc w:val="center"/>
        </w:trPr>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FACTORES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IMPACTOS  \ ACTIVIDADES</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Adecuación y construcción de campamentos y helipuertos</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Utilización y/o adecuación de accesos</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Apertura de trincheras y apiques</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Geofísica</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Pozos y galerías exploratorias</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Perforaciones y piscinas de lodos</w:t>
            </w:r>
          </w:p>
        </w:tc>
      </w:tr>
      <w:tr w:rsidR="00311863" w:rsidRPr="001E18F0" w:rsidTr="0030002E">
        <w:trPr>
          <w:trHeight w:val="255"/>
          <w:jc w:val="center"/>
        </w:trPr>
        <w:tc>
          <w:tcPr>
            <w:tcW w:w="12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ABIOTICO</w:t>
            </w: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Cambios en la calidad físico química del agua</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r w:rsidR="00311863" w:rsidRPr="001E18F0" w:rsidTr="0030002E">
        <w:trPr>
          <w:trHeight w:val="510"/>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afectación de la dinámica de aguas superficiales y subterráneas</w:t>
            </w:r>
          </w:p>
        </w:tc>
        <w:tc>
          <w:tcPr>
            <w:tcW w:w="1264"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933"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r>
      <w:tr w:rsidR="00311863" w:rsidRPr="001E18F0" w:rsidTr="0030002E">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Sedimentación de cuerpos de agua</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r w:rsidR="00311863" w:rsidRPr="001E18F0" w:rsidTr="0030002E">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Emisión de material particulado y de gases</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r w:rsidR="00311863" w:rsidRPr="001E18F0" w:rsidTr="0030002E">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Generación de ruidos</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r w:rsidR="00311863" w:rsidRPr="001E18F0" w:rsidTr="0030002E">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Remoción en masa y pérdida de suelo</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r w:rsidR="00311863" w:rsidRPr="001E18F0" w:rsidTr="0030002E">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Generación de estériles y escombros</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r w:rsidR="00311863" w:rsidRPr="001E18F0" w:rsidTr="0030002E">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Desestabilización de pendientes</w:t>
            </w:r>
          </w:p>
        </w:tc>
        <w:tc>
          <w:tcPr>
            <w:tcW w:w="1264"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r>
      <w:tr w:rsidR="00311863" w:rsidRPr="001E18F0" w:rsidTr="0030002E">
        <w:trPr>
          <w:trHeight w:val="255"/>
          <w:jc w:val="center"/>
        </w:trPr>
        <w:tc>
          <w:tcPr>
            <w:tcW w:w="12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1863" w:rsidRPr="001E18F0" w:rsidRDefault="00311863" w:rsidP="0030002E">
            <w:pPr>
              <w:jc w:val="center"/>
              <w:rPr>
                <w:rFonts w:ascii="Arial Narrow" w:eastAsia="Times New Roman" w:hAnsi="Arial Narrow" w:cs="Times New Roman"/>
                <w:b/>
                <w:bCs/>
                <w:color w:val="000000"/>
                <w:sz w:val="18"/>
                <w:szCs w:val="18"/>
                <w:lang w:eastAsia="es-CO"/>
              </w:rPr>
            </w:pPr>
            <w:r w:rsidRPr="001E18F0">
              <w:rPr>
                <w:rFonts w:ascii="Arial Narrow" w:eastAsia="Times New Roman" w:hAnsi="Arial Narrow" w:cs="Times New Roman"/>
                <w:b/>
                <w:bCs/>
                <w:color w:val="000000"/>
                <w:sz w:val="18"/>
                <w:szCs w:val="18"/>
                <w:lang w:eastAsia="es-CO"/>
              </w:rPr>
              <w:t>BIÓTICO</w:t>
            </w: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Remoción y pérdida de cobertura vegetal</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871"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170"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r w:rsidR="00311863" w:rsidRPr="001E18F0" w:rsidTr="0030002E">
        <w:trPr>
          <w:trHeight w:val="255"/>
          <w:jc w:val="center"/>
        </w:trPr>
        <w:tc>
          <w:tcPr>
            <w:tcW w:w="1202" w:type="dxa"/>
            <w:vMerge/>
            <w:tcBorders>
              <w:top w:val="nil"/>
              <w:left w:val="single" w:sz="4" w:space="0" w:color="auto"/>
              <w:bottom w:val="single" w:sz="4" w:space="0" w:color="auto"/>
              <w:right w:val="single" w:sz="4" w:space="0" w:color="auto"/>
            </w:tcBorders>
            <w:vAlign w:val="center"/>
            <w:hideMark/>
          </w:tcPr>
          <w:p w:rsidR="00311863" w:rsidRPr="001E18F0" w:rsidRDefault="00311863" w:rsidP="0030002E">
            <w:pPr>
              <w:rPr>
                <w:rFonts w:ascii="Arial Narrow" w:eastAsia="Times New Roman" w:hAnsi="Arial Narrow" w:cs="Times New Roman"/>
                <w:b/>
                <w:bCs/>
                <w:color w:val="000000"/>
                <w:sz w:val="18"/>
                <w:szCs w:val="18"/>
                <w:lang w:eastAsia="es-CO"/>
              </w:rPr>
            </w:pPr>
          </w:p>
        </w:tc>
        <w:tc>
          <w:tcPr>
            <w:tcW w:w="170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both"/>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afectación de comunidades faunísticas</w:t>
            </w:r>
          </w:p>
        </w:tc>
        <w:tc>
          <w:tcPr>
            <w:tcW w:w="126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1043"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c>
          <w:tcPr>
            <w:tcW w:w="933"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871"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170" w:type="dxa"/>
            <w:tcBorders>
              <w:top w:val="nil"/>
              <w:left w:val="nil"/>
              <w:bottom w:val="single" w:sz="4" w:space="0" w:color="auto"/>
              <w:right w:val="single" w:sz="4" w:space="0" w:color="auto"/>
            </w:tcBorders>
            <w:shd w:val="clear" w:color="auto" w:fill="auto"/>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 </w:t>
            </w:r>
          </w:p>
        </w:tc>
        <w:tc>
          <w:tcPr>
            <w:tcW w:w="1234" w:type="dxa"/>
            <w:tcBorders>
              <w:top w:val="nil"/>
              <w:left w:val="nil"/>
              <w:bottom w:val="single" w:sz="4" w:space="0" w:color="auto"/>
              <w:right w:val="single" w:sz="4" w:space="0" w:color="auto"/>
            </w:tcBorders>
            <w:shd w:val="clear" w:color="000000" w:fill="BFBFBF"/>
            <w:noWrap/>
            <w:vAlign w:val="bottom"/>
            <w:hideMark/>
          </w:tcPr>
          <w:p w:rsidR="00311863" w:rsidRPr="001E18F0" w:rsidRDefault="00311863" w:rsidP="0030002E">
            <w:pPr>
              <w:jc w:val="center"/>
              <w:rPr>
                <w:rFonts w:ascii="Arial Narrow" w:eastAsia="Times New Roman" w:hAnsi="Arial Narrow" w:cs="Times New Roman"/>
                <w:color w:val="000000"/>
                <w:sz w:val="18"/>
                <w:szCs w:val="18"/>
                <w:lang w:eastAsia="es-CO"/>
              </w:rPr>
            </w:pPr>
            <w:r w:rsidRPr="001E18F0">
              <w:rPr>
                <w:rFonts w:ascii="Arial Narrow" w:eastAsia="Times New Roman" w:hAnsi="Arial Narrow" w:cs="Times New Roman"/>
                <w:color w:val="000000"/>
                <w:sz w:val="18"/>
                <w:szCs w:val="18"/>
                <w:lang w:eastAsia="es-CO"/>
              </w:rPr>
              <w:t>X</w:t>
            </w:r>
          </w:p>
        </w:tc>
      </w:tr>
    </w:tbl>
    <w:p w:rsidR="00311863" w:rsidRPr="001E18F0" w:rsidRDefault="00311863" w:rsidP="00311863">
      <w:pPr>
        <w:jc w:val="both"/>
        <w:rPr>
          <w:rFonts w:ascii="Arial Narrow" w:hAnsi="Arial Narrow"/>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El análisis de los impactos ambientales más significativos y usuales dentro de un proyecto de exploración minera, tanto para la Fase I como para la Fase II, se relacionan con la generación de expectativas dentro de las comunidades de la zona, la infraestructura requerida por el proyecto y la magnitud de las perforaciones y galerías exploratorias que se deben realizar.</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 xml:space="preserve">La etapa de Exploración Minera actualmente no requiere licenciamiento ambiental, así que una vez otorgado el título, el titular procede a la fase de exploración para lo cual solicita a la autoridad ambiental competente, los permisos de uso y aprovechamiento de recursos naturales. No existe entonces un instrumento articulador que permita tener un control integral frente a los impactos que se puedan </w:t>
      </w:r>
      <w:r w:rsidRPr="001E18F0">
        <w:rPr>
          <w:rFonts w:ascii="Arial Narrow" w:eastAsia="Times New Roman" w:hAnsi="Arial Narrow" w:cs="Times New Roman"/>
        </w:rPr>
        <w:lastRenderedPageBreak/>
        <w:t>generar en los componentes ambientales y garantice la responsabilidad del titular frente al manejo integral durante la fase de la exploración.</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hAnsi="Arial Narrow" w:cs="Arial"/>
        </w:rPr>
      </w:pPr>
      <w:r w:rsidRPr="001E18F0">
        <w:rPr>
          <w:rFonts w:ascii="Arial Narrow" w:eastAsia="Times New Roman" w:hAnsi="Arial Narrow" w:cs="Times New Roman"/>
        </w:rPr>
        <w:t xml:space="preserve">El instrumento articulador e integrador tiene como fundamento contar con una evaluación de impacto ambiental que permita determinar los riesgos que implica la ejecución de la fase de exploración que puede además ejecutarse en ecosistemas estratégicos para el país, </w:t>
      </w:r>
      <w:r w:rsidRPr="001E18F0">
        <w:rPr>
          <w:rFonts w:ascii="Arial Narrow" w:hAnsi="Arial Narrow" w:cs="Arial"/>
        </w:rPr>
        <w:t>al respecto publicación realizada por Foro Nacional Ambiental, en su revista de mayo del 2011, refiere:</w:t>
      </w:r>
    </w:p>
    <w:p w:rsidR="00311863" w:rsidRPr="001E18F0" w:rsidRDefault="00311863" w:rsidP="00311863">
      <w:pPr>
        <w:jc w:val="both"/>
        <w:rPr>
          <w:rFonts w:ascii="Arial Narrow" w:hAnsi="Arial Narrow" w:cs="Arial"/>
        </w:rPr>
      </w:pPr>
    </w:p>
    <w:p w:rsidR="00311863" w:rsidRPr="001E18F0" w:rsidRDefault="00311863" w:rsidP="00311863">
      <w:pPr>
        <w:ind w:left="708"/>
        <w:jc w:val="both"/>
        <w:rPr>
          <w:rFonts w:ascii="Arial Narrow" w:hAnsi="Arial Narrow" w:cs="Arial"/>
          <w:i/>
        </w:rPr>
      </w:pPr>
      <w:r w:rsidRPr="001E18F0">
        <w:rPr>
          <w:rFonts w:ascii="Arial Narrow" w:hAnsi="Arial Narrow"/>
          <w:i/>
        </w:rPr>
        <w:t>“Mediante el proceso de licenciamiento ambiental se evalúan los posibles impactos que los proyectos, obras o actividades puedan generar, constituyéndose en uno de los principales instrumentos de planificación ambiental en Colombia, que responde al papel de interventor del Estado en los procesos de desarrollo, con el fin de garantizar el mejoramiento de la calidad de vida y el adecuado manejo del ambiente. Este es un mecanismo de comando y control que corresponde al ejercicio de la autoridad ambiental y que, según los precedentes internacionales, requiere de proyectos que previamente cuenten con evaluación de impacto ambiental.</w:t>
      </w:r>
    </w:p>
    <w:p w:rsidR="00311863" w:rsidRPr="001E18F0" w:rsidRDefault="00311863" w:rsidP="00311863">
      <w:pPr>
        <w:ind w:left="708"/>
        <w:jc w:val="both"/>
        <w:rPr>
          <w:rFonts w:ascii="Arial Narrow" w:hAnsi="Arial Narrow" w:cs="Arial"/>
          <w:i/>
        </w:rPr>
      </w:pPr>
    </w:p>
    <w:p w:rsidR="00311863" w:rsidRPr="001E18F0" w:rsidRDefault="00311863" w:rsidP="00311863">
      <w:pPr>
        <w:ind w:left="708"/>
        <w:jc w:val="both"/>
        <w:rPr>
          <w:rFonts w:ascii="Arial Narrow" w:hAnsi="Arial Narrow"/>
          <w:i/>
        </w:rPr>
      </w:pPr>
      <w:r w:rsidRPr="001E18F0">
        <w:rPr>
          <w:rFonts w:ascii="Arial Narrow" w:hAnsi="Arial Narrow"/>
          <w:i/>
        </w:rPr>
        <w:t>Las licencias ambientales se establecen para responder a la necesidad de prevenir, mitigar, corregir, compensar, manejar y controlar los impactos al ambiente generados por la actividad humana, en aras de establecer la forma en que puedan ser gestionados de manera responsable con la protección del ambiente. El logro de este objetivo se fundamenta en la exigencia de la evaluación ambiental, que incluye diferentes estudios y análisis técnicos que permiten estimar los efectos de un determinado proyecto, obra o actividad y en ella se proyectan los posibles impactos negativos y positivos, buscando generar un menor efecto sobre el ambiente.”</w:t>
      </w:r>
    </w:p>
    <w:p w:rsidR="00311863" w:rsidRPr="001E18F0" w:rsidRDefault="00311863" w:rsidP="00311863">
      <w:pPr>
        <w:jc w:val="both"/>
        <w:rPr>
          <w:rFonts w:ascii="Arial Narrow" w:hAnsi="Arial Narrow" w:cs="Arial"/>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 xml:space="preserve">El licenciamiento ambiental y en especial, la evaluación del estudio de impacto ambiental, permite establecer medidas de prevención frente a la ocurrencia de daños, la magnitud de los impactos ambientales y el manejo de los mismos. </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Considerando que la Fase de exploración tiene una duración de tres años siendo prorrogables máximo a 11 años, entonces la actividad puede, por sus características causar daños graves e irreversibles especialmente en ecosistemas de alta sensibilidad, además de únicos y estratégicos para el País.</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Al respecto vale la pena recordar lo dicho por la Corte Constitucional en el aparte 3.1.1 de la Sentencia C339 del 2002, que se titula “</w:t>
      </w:r>
      <w:r w:rsidRPr="001E18F0">
        <w:rPr>
          <w:rFonts w:ascii="Arial Narrow" w:eastAsia="Times New Roman" w:hAnsi="Arial Narrow" w:cs="Times New Roman"/>
          <w:i/>
        </w:rPr>
        <w:t>Evaluación del impacto ambiental y el reconocimiento de la política nacional de biodiversidad para la actividad minera</w:t>
      </w:r>
      <w:r w:rsidRPr="001E18F0">
        <w:rPr>
          <w:rFonts w:ascii="Arial Narrow" w:eastAsia="Times New Roman" w:hAnsi="Arial Narrow" w:cs="Times New Roman"/>
        </w:rPr>
        <w:t>”:</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pStyle w:val="Textoindependiente2"/>
        <w:ind w:left="708"/>
        <w:rPr>
          <w:rFonts w:ascii="Arial Narrow" w:hAnsi="Arial Narrow"/>
          <w:b/>
          <w:bCs/>
          <w:iCs w:val="0"/>
          <w:sz w:val="24"/>
          <w:szCs w:val="24"/>
        </w:rPr>
      </w:pPr>
      <w:r w:rsidRPr="001E18F0">
        <w:rPr>
          <w:rFonts w:ascii="Arial Narrow" w:hAnsi="Arial Narrow"/>
          <w:b/>
          <w:bCs/>
          <w:iCs w:val="0"/>
          <w:sz w:val="24"/>
          <w:szCs w:val="24"/>
        </w:rPr>
        <w:lastRenderedPageBreak/>
        <w:t>“3.1.1. Evaluación del impacto ambiental</w:t>
      </w:r>
      <w:r w:rsidRPr="001E18F0">
        <w:rPr>
          <w:rStyle w:val="Refdenotaalpie"/>
          <w:rFonts w:ascii="Arial Narrow" w:hAnsi="Arial Narrow"/>
          <w:b/>
          <w:bCs/>
          <w:iCs w:val="0"/>
          <w:sz w:val="24"/>
          <w:szCs w:val="24"/>
        </w:rPr>
        <w:footnoteReference w:id="3"/>
      </w:r>
      <w:r w:rsidRPr="001E18F0">
        <w:rPr>
          <w:rFonts w:ascii="Arial Narrow" w:hAnsi="Arial Narrow"/>
          <w:b/>
          <w:bCs/>
          <w:iCs w:val="0"/>
          <w:sz w:val="24"/>
          <w:szCs w:val="24"/>
        </w:rPr>
        <w:t xml:space="preserve"> y el reconocimiento de la política nacional de biodiversidad para la actividad minera.</w:t>
      </w:r>
    </w:p>
    <w:p w:rsidR="00311863" w:rsidRPr="001E18F0" w:rsidRDefault="00311863" w:rsidP="00311863">
      <w:pPr>
        <w:ind w:left="708"/>
        <w:jc w:val="both"/>
        <w:rPr>
          <w:rFonts w:ascii="Arial Narrow" w:hAnsi="Arial Narrow" w:cs="Times New Roman"/>
          <w:i/>
        </w:rPr>
      </w:pPr>
      <w:r w:rsidRPr="001E18F0">
        <w:rPr>
          <w:rFonts w:ascii="Arial Narrow" w:hAnsi="Arial Narrow" w:cs="Times New Roman"/>
          <w:i/>
        </w:rPr>
        <w:t>Para poder hablar de un desarrollo sostenible de la explotación minera que respete la biodiversidad, es indispensable tener en cuenta como instrumento la evaluación de impacto ambiental, entendida como instrumento administrativo y como instrumento de gestión que permite articular los diversos aspectos ambientales de la actividad minera tales como la mitigación de la contaminación, la protección de especies y la recuperación post-clausura de las explotaciones y exploraciones mineras</w:t>
      </w:r>
      <w:r w:rsidRPr="001E18F0">
        <w:rPr>
          <w:rStyle w:val="Refdenotaalpie"/>
          <w:rFonts w:ascii="Arial Narrow" w:hAnsi="Arial Narrow" w:cs="Times New Roman"/>
          <w:i/>
        </w:rPr>
        <w:footnoteReference w:id="4"/>
      </w:r>
      <w:r w:rsidRPr="001E18F0">
        <w:rPr>
          <w:rFonts w:ascii="Arial Narrow" w:hAnsi="Arial Narrow" w:cs="Times New Roman"/>
          <w:i/>
        </w:rPr>
        <w:t>.</w:t>
      </w:r>
    </w:p>
    <w:p w:rsidR="00311863" w:rsidRPr="001E18F0" w:rsidRDefault="00311863" w:rsidP="00311863">
      <w:pPr>
        <w:ind w:left="708"/>
        <w:jc w:val="both"/>
        <w:rPr>
          <w:rFonts w:ascii="Arial Narrow" w:hAnsi="Arial Narrow" w:cs="Times New Roman"/>
          <w:i/>
        </w:rPr>
      </w:pPr>
    </w:p>
    <w:p w:rsidR="00311863" w:rsidRPr="001E18F0" w:rsidRDefault="00311863" w:rsidP="00311863">
      <w:pPr>
        <w:ind w:left="708"/>
        <w:jc w:val="both"/>
        <w:rPr>
          <w:rFonts w:ascii="Arial Narrow" w:hAnsi="Arial Narrow" w:cs="Times New Roman"/>
        </w:rPr>
      </w:pPr>
      <w:r w:rsidRPr="001E18F0">
        <w:rPr>
          <w:rFonts w:ascii="Arial Narrow" w:hAnsi="Arial Narrow" w:cs="Times New Roman"/>
          <w:i/>
        </w:rPr>
        <w:t>Como lo reconoce la el documento de “Política Nacional de Biodiversidad” de nuestro país, la protección de la biodiversidad no solamente persigue la conservación del paisaje en beneficio de los poetas, sino que representa una utilidad económica indudable, que incluso supera con creces a la de la explotación minera:…”</w:t>
      </w:r>
      <w:r w:rsidRPr="001E18F0">
        <w:rPr>
          <w:rFonts w:ascii="Arial Narrow" w:hAnsi="Arial Narrow" w:cs="Times New Roman"/>
        </w:rPr>
        <w:t xml:space="preserve"> citando ejemplos frente al tema, y continua en párrafo aparte:</w:t>
      </w:r>
    </w:p>
    <w:p w:rsidR="00311863" w:rsidRPr="001E18F0" w:rsidRDefault="00311863" w:rsidP="00311863">
      <w:pPr>
        <w:ind w:left="708"/>
        <w:jc w:val="both"/>
        <w:rPr>
          <w:rFonts w:ascii="Arial Narrow" w:hAnsi="Arial Narrow" w:cs="Times New Roman"/>
          <w:i/>
        </w:rPr>
      </w:pPr>
    </w:p>
    <w:p w:rsidR="00311863" w:rsidRPr="001E18F0" w:rsidRDefault="00311863" w:rsidP="00311863">
      <w:pPr>
        <w:ind w:left="708"/>
        <w:jc w:val="both"/>
        <w:rPr>
          <w:rFonts w:ascii="Arial Narrow" w:hAnsi="Arial Narrow" w:cs="Times New Roman"/>
          <w:i/>
        </w:rPr>
      </w:pPr>
      <w:r w:rsidRPr="001E18F0">
        <w:rPr>
          <w:rFonts w:ascii="Arial Narrow" w:hAnsi="Arial Narrow" w:cs="Times New Roman"/>
          <w:i/>
        </w:rPr>
        <w:t>“Los abrumadores beneficios económicos que proporciona la protección de la biodiversidad, incrementan la importancia de la evaluación de impacto ambiental de la actividad minera, que sin lugar a dudas posee un potencial de impacto negativo sobre la diversidad biológica que varía conforme con la ubicación de los yacimientos, en relación con los ecosistemas y las especies que habitan en las zonas de explotación y exploración.”</w:t>
      </w:r>
    </w:p>
    <w:p w:rsidR="00311863" w:rsidRPr="001E18F0" w:rsidRDefault="00311863" w:rsidP="00311863">
      <w:pPr>
        <w:jc w:val="both"/>
        <w:rPr>
          <w:rFonts w:ascii="Arial Narrow" w:hAnsi="Arial Narrow" w:cs="Times New Roman"/>
          <w:i/>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Algunos de los daños graves e irreversibles en la etapa de Exploración Minera se asocian con la vulnerabilidad de los ecosistemas, al respecto se cita a continuación, del documento Abriendo Brecha: Minería, Minerales y Desarrollo Sustentable</w:t>
      </w:r>
      <w:r w:rsidRPr="001E18F0">
        <w:rPr>
          <w:rStyle w:val="Refdenotaalpie"/>
          <w:rFonts w:ascii="Arial Narrow" w:eastAsia="Times New Roman" w:hAnsi="Arial Narrow" w:cs="Times New Roman"/>
        </w:rPr>
        <w:footnoteReference w:id="5"/>
      </w:r>
      <w:r w:rsidRPr="001E18F0">
        <w:rPr>
          <w:rFonts w:ascii="Arial Narrow" w:eastAsia="Times New Roman" w:hAnsi="Arial Narrow" w:cs="Times New Roman"/>
        </w:rPr>
        <w:t xml:space="preserve">, lo siguiente: </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ind w:left="708"/>
        <w:jc w:val="both"/>
        <w:rPr>
          <w:rFonts w:ascii="Arial Narrow" w:eastAsia="Times New Roman" w:hAnsi="Arial Narrow" w:cs="Times New Roman"/>
          <w:i/>
        </w:rPr>
      </w:pPr>
      <w:r w:rsidRPr="001E18F0">
        <w:rPr>
          <w:rFonts w:ascii="Arial Narrow" w:eastAsia="Times New Roman" w:hAnsi="Arial Narrow" w:cs="Times New Roman"/>
          <w:i/>
        </w:rPr>
        <w:t xml:space="preserve">“Por lo general, los mayores riesgos para la biodiversidad se producen cuando iniciativas mineras ingresan a áreas relativamente remotas e inalteradas.  El sólo hecho de construir caminos de acceso con propósitos de exploración acarrea grandes riesgos para la biodiversidad, ya que las mayores expectativas de posibles beneficios a gran escala a menudo provocan una rápida inmigración. La pérdida de biodiversidad a gran escala se produce debido a que los colonizadores deben limpiar la tierra para establecerse, cultivar y tomar especies salvajes con valor económico para complementar sus ingresos o para alimentarse.  A veces nuevas personas y nuevas actividades en un área también pueden traer plagas y enfermedades foráneas que tienen grandes efectos dañinos. Cabe destacar que esto puede ser más grave antes de que la empresa comience y antes de que alguna empresa minera </w:t>
      </w:r>
      <w:r w:rsidRPr="001E18F0">
        <w:rPr>
          <w:rFonts w:ascii="Arial Narrow" w:eastAsia="Times New Roman" w:hAnsi="Arial Narrow" w:cs="Times New Roman"/>
          <w:i/>
        </w:rPr>
        <w:lastRenderedPageBreak/>
        <w:t>llegue al lugar y las actividades frecuentemente escapan a todo control y regulación.  En caso en que la mina no logra ser explotada, estas actividades con frecuencia continúan, debido a que existen pocas fuentes de subsistencia alternativas a las cuales recurrir.”</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jc w:val="both"/>
        <w:rPr>
          <w:rFonts w:ascii="Arial Narrow" w:hAnsi="Arial Narrow" w:cs="Arial"/>
        </w:rPr>
      </w:pPr>
      <w:r w:rsidRPr="001E18F0">
        <w:rPr>
          <w:rFonts w:ascii="Arial Narrow" w:hAnsi="Arial Narrow" w:cs="Arial"/>
        </w:rPr>
        <w:t xml:space="preserve">La actividad de exploración minera en áreas que contienen ecosistemas estratégicos y únicos para el país, que actualmente se encuentran poco o no representados en el Sistema Nacional de Áreas Protegidas caracterizadas por su alto grado de diversidad biológica en singularidad y rareza, y alto número de endemismos, puede generar daño grave e irreversible: </w:t>
      </w:r>
    </w:p>
    <w:p w:rsidR="00311863" w:rsidRPr="001E18F0" w:rsidRDefault="00311863" w:rsidP="00311863">
      <w:pPr>
        <w:jc w:val="both"/>
        <w:rPr>
          <w:rFonts w:ascii="Arial Narrow" w:eastAsia="Times New Roman" w:hAnsi="Arial Narrow" w:cs="Times New Roman"/>
        </w:rPr>
      </w:pPr>
    </w:p>
    <w:p w:rsidR="00311863" w:rsidRPr="001E18F0" w:rsidRDefault="00311863" w:rsidP="00311863">
      <w:pPr>
        <w:pStyle w:val="Prrafodelista"/>
        <w:numPr>
          <w:ilvl w:val="0"/>
          <w:numId w:val="17"/>
        </w:numPr>
        <w:jc w:val="both"/>
        <w:rPr>
          <w:rFonts w:ascii="Arial Narrow" w:hAnsi="Arial Narrow" w:cs="Arial"/>
        </w:rPr>
      </w:pPr>
      <w:r w:rsidRPr="001E18F0">
        <w:rPr>
          <w:rFonts w:ascii="Arial Narrow" w:eastAsia="Times New Roman" w:hAnsi="Arial Narrow" w:cs="Times New Roman"/>
        </w:rPr>
        <w:t xml:space="preserve">Las </w:t>
      </w:r>
      <w:r w:rsidRPr="001E18F0">
        <w:rPr>
          <w:rFonts w:ascii="Arial Narrow" w:hAnsi="Arial Narrow" w:cs="Arial"/>
        </w:rPr>
        <w:t xml:space="preserve">perturbaciones antrópicas como la apertura de claros (Ejemplo: En un bosque denso alto donde se eliminara todo tipo  de vegetación de tipo fustal, </w:t>
      </w:r>
      <w:proofErr w:type="spellStart"/>
      <w:r w:rsidRPr="001E18F0">
        <w:rPr>
          <w:rFonts w:ascii="Arial Narrow" w:hAnsi="Arial Narrow" w:cs="Arial"/>
        </w:rPr>
        <w:t>latizal</w:t>
      </w:r>
      <w:proofErr w:type="spellEnd"/>
      <w:r w:rsidRPr="001E18F0">
        <w:rPr>
          <w:rFonts w:ascii="Arial Narrow" w:hAnsi="Arial Narrow" w:cs="Arial"/>
        </w:rPr>
        <w:t xml:space="preserve"> y </w:t>
      </w:r>
      <w:proofErr w:type="spellStart"/>
      <w:r w:rsidRPr="001E18F0">
        <w:rPr>
          <w:rFonts w:ascii="Arial Narrow" w:hAnsi="Arial Narrow" w:cs="Arial"/>
        </w:rPr>
        <w:t>brinzal</w:t>
      </w:r>
      <w:proofErr w:type="spellEnd"/>
      <w:r w:rsidRPr="001E18F0">
        <w:rPr>
          <w:rFonts w:ascii="Arial Narrow" w:hAnsi="Arial Narrow" w:cs="Arial"/>
        </w:rPr>
        <w:t xml:space="preserve"> para infraestructura asociada) sin dubitación alguna genera cambios en el microclima al modificarse factores de luz, temperatura  y la humedad, donde  existen especies que no posean las adaptaciones  que le permitan , resistir, evadir, o responder individualmente a estos efectos (</w:t>
      </w:r>
      <w:proofErr w:type="spellStart"/>
      <w:r w:rsidRPr="001E18F0">
        <w:rPr>
          <w:rFonts w:ascii="Arial Narrow" w:hAnsi="Arial Narrow" w:cs="Arial"/>
        </w:rPr>
        <w:t>Gowda</w:t>
      </w:r>
      <w:proofErr w:type="spellEnd"/>
      <w:r w:rsidRPr="001E18F0">
        <w:rPr>
          <w:rFonts w:ascii="Arial Narrow" w:hAnsi="Arial Narrow" w:cs="Arial"/>
        </w:rPr>
        <w:t xml:space="preserve"> y </w:t>
      </w:r>
      <w:proofErr w:type="spellStart"/>
      <w:r w:rsidRPr="001E18F0">
        <w:rPr>
          <w:rFonts w:ascii="Arial Narrow" w:hAnsi="Arial Narrow" w:cs="Arial"/>
        </w:rPr>
        <w:t>Kitberger</w:t>
      </w:r>
      <w:proofErr w:type="spellEnd"/>
      <w:r w:rsidRPr="001E18F0">
        <w:rPr>
          <w:rFonts w:ascii="Arial Narrow" w:hAnsi="Arial Narrow" w:cs="Arial"/>
        </w:rPr>
        <w:t>)</w:t>
      </w:r>
      <w:r w:rsidRPr="001E18F0">
        <w:rPr>
          <w:rFonts w:ascii="Arial Narrow" w:hAnsi="Arial Narrow"/>
          <w:vertAlign w:val="superscript"/>
        </w:rPr>
        <w:footnoteReference w:id="6"/>
      </w:r>
      <w:r w:rsidRPr="001E18F0">
        <w:rPr>
          <w:rFonts w:ascii="Arial Narrow" w:hAnsi="Arial Narrow" w:cs="Arial"/>
        </w:rPr>
        <w:t xml:space="preserve">, además, al estar expuestos estos espacios  o fragmentos a vientos de velocidad alta, </w:t>
      </w:r>
      <w:proofErr w:type="spellStart"/>
      <w:r w:rsidRPr="001E18F0">
        <w:rPr>
          <w:rFonts w:ascii="Arial Narrow" w:hAnsi="Arial Narrow" w:cs="Arial"/>
        </w:rPr>
        <w:t>vorticidad</w:t>
      </w:r>
      <w:proofErr w:type="spellEnd"/>
      <w:r w:rsidRPr="001E18F0">
        <w:rPr>
          <w:rFonts w:ascii="Arial Narrow" w:hAnsi="Arial Narrow" w:cs="Arial"/>
        </w:rPr>
        <w:t>, y turbulencia, que usualmente resultan en un incremento en las tasas de mortalidad de árboles por viento y en daños estructurales del bosque (</w:t>
      </w:r>
      <w:proofErr w:type="spellStart"/>
      <w:r w:rsidRPr="001E18F0">
        <w:rPr>
          <w:rFonts w:ascii="Arial Narrow" w:hAnsi="Arial Narrow" w:cs="Arial"/>
        </w:rPr>
        <w:t>Laurance</w:t>
      </w:r>
      <w:proofErr w:type="spellEnd"/>
      <w:r w:rsidRPr="001E18F0">
        <w:rPr>
          <w:rFonts w:ascii="Arial Narrow" w:hAnsi="Arial Narrow" w:cs="Arial"/>
        </w:rPr>
        <w:t>, 1997)</w:t>
      </w:r>
      <w:r w:rsidRPr="001E18F0">
        <w:rPr>
          <w:rFonts w:ascii="Arial Narrow" w:hAnsi="Arial Narrow"/>
          <w:vertAlign w:val="superscript"/>
        </w:rPr>
        <w:footnoteReference w:id="7"/>
      </w:r>
      <w:r w:rsidRPr="001E18F0">
        <w:rPr>
          <w:rFonts w:ascii="Arial Narrow" w:hAnsi="Arial Narrow" w:cs="Arial"/>
        </w:rPr>
        <w:t>.</w:t>
      </w:r>
    </w:p>
    <w:p w:rsidR="00311863" w:rsidRPr="001E18F0" w:rsidRDefault="00311863" w:rsidP="00311863">
      <w:pPr>
        <w:pStyle w:val="Prrafodelista"/>
        <w:jc w:val="both"/>
        <w:rPr>
          <w:rFonts w:ascii="Arial Narrow" w:hAnsi="Arial Narrow" w:cs="Arial"/>
        </w:rPr>
      </w:pPr>
    </w:p>
    <w:p w:rsidR="00311863" w:rsidRPr="001E18F0" w:rsidRDefault="00311863" w:rsidP="00311863">
      <w:pPr>
        <w:pStyle w:val="Prrafodelista"/>
        <w:numPr>
          <w:ilvl w:val="0"/>
          <w:numId w:val="17"/>
        </w:numPr>
        <w:jc w:val="both"/>
        <w:rPr>
          <w:rFonts w:ascii="Arial Narrow" w:hAnsi="Arial Narrow" w:cs="Arial"/>
        </w:rPr>
      </w:pPr>
      <w:r w:rsidRPr="001E18F0">
        <w:rPr>
          <w:rFonts w:ascii="Arial Narrow" w:hAnsi="Arial Narrow" w:cs="Arial"/>
        </w:rPr>
        <w:t xml:space="preserve">La fragmentación de </w:t>
      </w:r>
      <w:r w:rsidRPr="001E18F0">
        <w:rPr>
          <w:rFonts w:ascii="Arial Narrow" w:eastAsia="Times New Roman" w:hAnsi="Arial Narrow" w:cs="Times New Roman"/>
        </w:rPr>
        <w:t>ecosistemas facilita la invasión de nuevas  especies debido  a los cambios micro climáticos, cambios en la intensidad y la calidad de las interacciones biológicas, como son los</w:t>
      </w:r>
      <w:r w:rsidRPr="001E18F0">
        <w:rPr>
          <w:rFonts w:ascii="Arial Narrow" w:hAnsi="Arial Narrow" w:cs="Arial"/>
        </w:rPr>
        <w:t xml:space="preserve"> procesos de la polinización  o dispersión de las semillas, alteración en la depredación y la modificación de algunos procesos ecosistémicos  tales como la descomposición de la materia orgánica  que se puede generar por la disminución de la humedad (Bustamante y </w:t>
      </w:r>
      <w:proofErr w:type="spellStart"/>
      <w:r w:rsidRPr="001E18F0">
        <w:rPr>
          <w:rFonts w:ascii="Arial Narrow" w:hAnsi="Arial Narrow" w:cs="Arial"/>
        </w:rPr>
        <w:t>Grez</w:t>
      </w:r>
      <w:proofErr w:type="spellEnd"/>
      <w:r w:rsidRPr="001E18F0">
        <w:rPr>
          <w:rFonts w:ascii="Arial Narrow" w:hAnsi="Arial Narrow" w:cs="Arial"/>
        </w:rPr>
        <w:t>, 1995)</w:t>
      </w:r>
      <w:r w:rsidRPr="001E18F0">
        <w:rPr>
          <w:rFonts w:ascii="Arial Narrow" w:hAnsi="Arial Narrow"/>
          <w:vertAlign w:val="superscript"/>
        </w:rPr>
        <w:footnoteReference w:id="8"/>
      </w:r>
      <w:r w:rsidRPr="001E18F0">
        <w:rPr>
          <w:rFonts w:ascii="Arial Narrow" w:hAnsi="Arial Narrow" w:cs="Arial"/>
        </w:rPr>
        <w:t xml:space="preserve"> </w:t>
      </w:r>
    </w:p>
    <w:p w:rsidR="00311863" w:rsidRPr="001E18F0" w:rsidRDefault="00311863" w:rsidP="00311863">
      <w:pPr>
        <w:pStyle w:val="Prrafodelista"/>
        <w:rPr>
          <w:rFonts w:ascii="Arial Narrow" w:hAnsi="Arial Narrow" w:cs="Arial"/>
        </w:rPr>
      </w:pPr>
    </w:p>
    <w:p w:rsidR="00311863" w:rsidRPr="001E18F0" w:rsidRDefault="00311863" w:rsidP="00311863">
      <w:pPr>
        <w:pStyle w:val="Prrafodelista"/>
        <w:numPr>
          <w:ilvl w:val="0"/>
          <w:numId w:val="17"/>
        </w:numPr>
        <w:jc w:val="both"/>
        <w:rPr>
          <w:rFonts w:ascii="Arial Narrow" w:hAnsi="Arial Narrow" w:cs="Arial"/>
        </w:rPr>
      </w:pPr>
      <w:r w:rsidRPr="001E18F0">
        <w:rPr>
          <w:rFonts w:ascii="Arial Narrow" w:hAnsi="Arial Narrow" w:cs="Arial"/>
        </w:rPr>
        <w:t>La invasión de nuevas especies afecta la funcionalidad y estructura de los ecosistemas al disminuir la riqueza de las especies, desplazar las especies nativas, modificar el nivel trófico, y el de ser posibles portadores  de nuevas enfermedades  que pueden destruir hábitats de ecosistemas tan biodiversos como la ecorregión de bosques montanos del noroeste de los andes, lo cual  generaría un efecto irreversible sobre los servicios  ecosistémicos relacionados con la biodiversidad.</w:t>
      </w:r>
    </w:p>
    <w:p w:rsidR="00311863" w:rsidRPr="001E18F0" w:rsidRDefault="00311863" w:rsidP="00311863">
      <w:pPr>
        <w:pStyle w:val="Prrafodelista"/>
        <w:jc w:val="both"/>
        <w:rPr>
          <w:rFonts w:ascii="Arial Narrow" w:hAnsi="Arial Narrow" w:cs="Arial"/>
        </w:rPr>
      </w:pPr>
    </w:p>
    <w:p w:rsidR="00311863" w:rsidRPr="001E18F0" w:rsidRDefault="00311863" w:rsidP="00311863">
      <w:pPr>
        <w:pStyle w:val="Prrafodelista"/>
        <w:numPr>
          <w:ilvl w:val="0"/>
          <w:numId w:val="17"/>
        </w:numPr>
        <w:jc w:val="both"/>
        <w:rPr>
          <w:rFonts w:ascii="Arial Narrow" w:hAnsi="Arial Narrow" w:cs="Arial"/>
        </w:rPr>
      </w:pPr>
      <w:r w:rsidRPr="001E18F0">
        <w:rPr>
          <w:rFonts w:ascii="Arial Narrow" w:hAnsi="Arial Narrow" w:cs="Arial"/>
        </w:rPr>
        <w:t>La remoción de cobertura vegetal aumenta el efecto de las precipitaciones sobre el suelo desprovisto de vegetación, causando cambios en la estructura del suelo por la erosión originada por el  escurrimiento  superficial, lo que afectará  en última instancia  la biodiversidad  existente en la zona.</w:t>
      </w:r>
    </w:p>
    <w:p w:rsidR="00311863" w:rsidRPr="001E18F0" w:rsidRDefault="00311863" w:rsidP="00311863">
      <w:pPr>
        <w:pStyle w:val="Prrafodelista"/>
        <w:jc w:val="both"/>
        <w:rPr>
          <w:rFonts w:ascii="Arial Narrow" w:hAnsi="Arial Narrow" w:cs="Arial"/>
        </w:rPr>
      </w:pPr>
    </w:p>
    <w:p w:rsidR="00311863" w:rsidRPr="001E18F0" w:rsidRDefault="00311863" w:rsidP="00311863">
      <w:pPr>
        <w:pStyle w:val="Prrafodelista"/>
        <w:numPr>
          <w:ilvl w:val="0"/>
          <w:numId w:val="17"/>
        </w:numPr>
        <w:jc w:val="both"/>
        <w:rPr>
          <w:rFonts w:ascii="Arial Narrow" w:hAnsi="Arial Narrow" w:cs="Arial"/>
        </w:rPr>
      </w:pPr>
      <w:r w:rsidRPr="001E18F0">
        <w:rPr>
          <w:rFonts w:ascii="Arial Narrow" w:hAnsi="Arial Narrow" w:cs="Arial"/>
        </w:rPr>
        <w:lastRenderedPageBreak/>
        <w:t>Alteración a la conectividad ecológica que conlleva a la pérdida de la función y el mantenimiento de la diversidad biológica y sus procesos ecológicos, como la dispersión de diferentes especies de fauna y  flora silvestre, así como la migración de diferentes especies de fauna y  especialmente de las de tipo sombrilla, entre otros.</w:t>
      </w:r>
    </w:p>
    <w:p w:rsidR="00311863" w:rsidRPr="001E18F0" w:rsidRDefault="00311863" w:rsidP="00311863">
      <w:pPr>
        <w:jc w:val="both"/>
        <w:rPr>
          <w:rFonts w:ascii="Arial Narrow" w:hAnsi="Arial Narrow" w:cs="Arial"/>
        </w:rPr>
      </w:pPr>
    </w:p>
    <w:p w:rsidR="00311863" w:rsidRPr="001E18F0" w:rsidRDefault="00311863" w:rsidP="00311863">
      <w:pPr>
        <w:pStyle w:val="Prrafodelista"/>
        <w:numPr>
          <w:ilvl w:val="0"/>
          <w:numId w:val="17"/>
        </w:numPr>
        <w:jc w:val="both"/>
        <w:rPr>
          <w:rFonts w:ascii="Arial Narrow" w:hAnsi="Arial Narrow" w:cs="Arial"/>
        </w:rPr>
      </w:pPr>
      <w:r w:rsidRPr="001E18F0">
        <w:rPr>
          <w:rFonts w:ascii="Arial Narrow" w:hAnsi="Arial Narrow" w:cs="Arial"/>
        </w:rPr>
        <w:t>Pérdida de biomasa principalmente cerca a los bordes donde se presenta la perturbación, lo que puede ocasionar la emisión de gases efecto invernadero y en  consecuencia la afectación sobre los servicios ecosistémicos  de soporte y regulación ya que una pequeña perturbación en estos ecosistemas puede dar como resultado un cambio significativo en el reciclaje de carbono al nivel global</w:t>
      </w:r>
      <w:r w:rsidRPr="001E18F0">
        <w:rPr>
          <w:rStyle w:val="Refdenotaalpie"/>
          <w:rFonts w:ascii="Arial Narrow" w:hAnsi="Arial Narrow" w:cs="Arial"/>
        </w:rPr>
        <w:footnoteReference w:id="9"/>
      </w:r>
      <w:r w:rsidRPr="001E18F0">
        <w:rPr>
          <w:rFonts w:ascii="Arial Narrow" w:hAnsi="Arial Narrow" w:cs="Arial"/>
        </w:rPr>
        <w:t>.</w:t>
      </w:r>
    </w:p>
    <w:p w:rsidR="00311863" w:rsidRPr="001E18F0" w:rsidRDefault="00311863" w:rsidP="00311863">
      <w:pPr>
        <w:jc w:val="both"/>
        <w:rPr>
          <w:rFonts w:ascii="Arial Narrow" w:hAnsi="Arial Narrow" w:cs="Arial"/>
        </w:rPr>
      </w:pPr>
    </w:p>
    <w:p w:rsidR="00311863" w:rsidRPr="001E18F0" w:rsidRDefault="00311863" w:rsidP="00311863">
      <w:pPr>
        <w:pStyle w:val="Prrafodelista"/>
        <w:numPr>
          <w:ilvl w:val="0"/>
          <w:numId w:val="17"/>
        </w:numPr>
        <w:jc w:val="both"/>
        <w:rPr>
          <w:rFonts w:ascii="Arial Narrow" w:hAnsi="Arial Narrow" w:cs="Arial"/>
        </w:rPr>
      </w:pPr>
      <w:r w:rsidRPr="001E18F0">
        <w:rPr>
          <w:rFonts w:ascii="Arial Narrow" w:hAnsi="Arial Narrow"/>
        </w:rPr>
        <w:t>Los impactos generados por la minería sobre el componente hídrico son de amplio alcance y de difícil control y mitigación, ya que una vez los contaminantes son vertidos, entran a formar parte de todo un sistema ambiental y ecológico integrado por varias fuentes hídricas conectadas entre sí lo que hace que dichos contaminantes se muevan a través de ellas, impidiendo su remoción con facilidad</w:t>
      </w:r>
      <w:r w:rsidRPr="001E18F0">
        <w:rPr>
          <w:rStyle w:val="Refdenotaalpie"/>
          <w:rFonts w:ascii="Arial Narrow" w:hAnsi="Arial Narrow"/>
        </w:rPr>
        <w:footnoteReference w:id="10"/>
      </w:r>
      <w:r w:rsidRPr="001E18F0">
        <w:rPr>
          <w:rFonts w:ascii="Arial Narrow" w:hAnsi="Arial Narrow"/>
        </w:rPr>
        <w:t>.</w:t>
      </w:r>
    </w:p>
    <w:p w:rsidR="00311863" w:rsidRPr="001E18F0" w:rsidRDefault="00311863" w:rsidP="00311863">
      <w:pPr>
        <w:pStyle w:val="Prrafodelista"/>
        <w:jc w:val="both"/>
        <w:rPr>
          <w:rFonts w:ascii="Arial Narrow" w:hAnsi="Arial Narrow" w:cs="Arial"/>
        </w:rPr>
      </w:pPr>
    </w:p>
    <w:p w:rsidR="00311863" w:rsidRPr="001E18F0" w:rsidRDefault="00311863" w:rsidP="00311863">
      <w:pPr>
        <w:jc w:val="both"/>
        <w:rPr>
          <w:rFonts w:ascii="Arial Narrow" w:eastAsia="Times New Roman" w:hAnsi="Arial Narrow" w:cs="Times New Roman"/>
        </w:rPr>
      </w:pPr>
      <w:r w:rsidRPr="001E18F0">
        <w:rPr>
          <w:rFonts w:ascii="Arial Narrow" w:eastAsia="Times New Roman" w:hAnsi="Arial Narrow" w:cs="Times New Roman"/>
        </w:rPr>
        <w:t>Por otro lado, aunque es válido afirmar que los ecosistemas en buen estado de conservación tienen una condición que puede favorecer la capacidad de resiliencia de las poblaciones, no se puede afirmar que esta capacidad en el caso de “áreas estratégicas por su importancia ecológica” no se pueda ver alterada con las actividades de intervención en el área, teniendo en cuenta que se genera un cambio en el estado del ecosistema que dará como resultado una afectación a la capacidad de resiliencia</w:t>
      </w:r>
      <w:r w:rsidRPr="001E18F0">
        <w:rPr>
          <w:rStyle w:val="Refdenotaalpie"/>
          <w:rFonts w:ascii="Arial Narrow" w:eastAsia="Times New Roman" w:hAnsi="Arial Narrow" w:cs="Times New Roman"/>
        </w:rPr>
        <w:footnoteReference w:id="11"/>
      </w:r>
      <w:r w:rsidRPr="001E18F0">
        <w:rPr>
          <w:rFonts w:ascii="Arial Narrow" w:eastAsia="Times New Roman" w:hAnsi="Arial Narrow" w:cs="Times New Roman"/>
        </w:rPr>
        <w:t xml:space="preserve"> dada por la modificación parcial o total producto de las intervenciones de la actividad minera, generando un ecosistema diferente al ecosistema prístino.</w:t>
      </w:r>
    </w:p>
    <w:p w:rsidR="00311863" w:rsidRPr="001E18F0" w:rsidRDefault="00311863" w:rsidP="00311863">
      <w:pPr>
        <w:jc w:val="both"/>
        <w:rPr>
          <w:rFonts w:ascii="Arial Narrow" w:eastAsia="Times New Roman" w:hAnsi="Arial Narrow" w:cs="Times New Roman"/>
        </w:rPr>
      </w:pPr>
    </w:p>
    <w:p w:rsidR="00AB0FBA" w:rsidRPr="001E18F0" w:rsidRDefault="00AB0FBA" w:rsidP="00AB0FBA">
      <w:pPr>
        <w:pStyle w:val="Prrafodelista"/>
        <w:numPr>
          <w:ilvl w:val="0"/>
          <w:numId w:val="1"/>
        </w:numPr>
        <w:spacing w:after="200" w:line="276" w:lineRule="auto"/>
        <w:rPr>
          <w:rFonts w:ascii="Arial Narrow" w:eastAsia="Times New Roman" w:hAnsi="Arial Narrow" w:cs="Times New Roman"/>
          <w:b/>
        </w:rPr>
      </w:pPr>
      <w:r w:rsidRPr="001E18F0">
        <w:rPr>
          <w:rFonts w:ascii="Arial Narrow" w:eastAsia="Times New Roman" w:hAnsi="Arial Narrow" w:cs="Times New Roman"/>
          <w:b/>
        </w:rPr>
        <w:t xml:space="preserve">Delimitación y Descripción de las </w:t>
      </w:r>
      <w:r w:rsidR="00427221" w:rsidRPr="001E18F0">
        <w:rPr>
          <w:rFonts w:ascii="Arial Narrow" w:eastAsia="Times New Roman" w:hAnsi="Arial Narrow" w:cs="Times New Roman"/>
          <w:b/>
        </w:rPr>
        <w:t>Áreas</w:t>
      </w:r>
      <w:r w:rsidRPr="001E18F0">
        <w:rPr>
          <w:rFonts w:ascii="Arial Narrow" w:eastAsia="Times New Roman" w:hAnsi="Arial Narrow" w:cs="Times New Roman"/>
          <w:b/>
        </w:rPr>
        <w:t>.</w:t>
      </w:r>
    </w:p>
    <w:p w:rsidR="004321F7" w:rsidRPr="001E18F0" w:rsidRDefault="003A7E9A" w:rsidP="003A7E9A">
      <w:pPr>
        <w:spacing w:after="200" w:line="276" w:lineRule="auto"/>
        <w:rPr>
          <w:rFonts w:ascii="Arial Narrow" w:eastAsia="Times New Roman" w:hAnsi="Arial Narrow" w:cs="Times New Roman"/>
        </w:rPr>
      </w:pPr>
      <w:r w:rsidRPr="001E18F0">
        <w:rPr>
          <w:rFonts w:ascii="Arial Narrow" w:eastAsia="Times New Roman" w:hAnsi="Arial Narrow" w:cs="Times New Roman"/>
        </w:rPr>
        <w:t>La Re</w:t>
      </w:r>
      <w:r w:rsidR="003556AF" w:rsidRPr="001E18F0">
        <w:rPr>
          <w:rFonts w:ascii="Arial Narrow" w:eastAsia="Times New Roman" w:hAnsi="Arial Narrow" w:cs="Times New Roman"/>
        </w:rPr>
        <w:t>solución 1</w:t>
      </w:r>
      <w:r w:rsidR="00D53282" w:rsidRPr="001E18F0">
        <w:rPr>
          <w:rFonts w:ascii="Arial Narrow" w:eastAsia="Times New Roman" w:hAnsi="Arial Narrow" w:cs="Times New Roman"/>
        </w:rPr>
        <w:t>8</w:t>
      </w:r>
      <w:r w:rsidR="003556AF" w:rsidRPr="001E18F0">
        <w:rPr>
          <w:rFonts w:ascii="Arial Narrow" w:eastAsia="Times New Roman" w:hAnsi="Arial Narrow" w:cs="Times New Roman"/>
        </w:rPr>
        <w:t>14</w:t>
      </w:r>
      <w:r w:rsidR="00231BDB" w:rsidRPr="001E18F0">
        <w:rPr>
          <w:rFonts w:ascii="Arial Narrow" w:eastAsia="Times New Roman" w:hAnsi="Arial Narrow" w:cs="Times New Roman"/>
        </w:rPr>
        <w:t xml:space="preserve"> de 2015, resolvió</w:t>
      </w:r>
      <w:r w:rsidR="00D53282" w:rsidRPr="001E18F0">
        <w:rPr>
          <w:rFonts w:ascii="Arial Narrow" w:eastAsia="Times New Roman" w:hAnsi="Arial Narrow" w:cs="Times New Roman"/>
        </w:rPr>
        <w:t>:</w:t>
      </w:r>
    </w:p>
    <w:p w:rsidR="00EF43DA" w:rsidRPr="001E18F0" w:rsidRDefault="003A7E9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sz w:val="22"/>
          <w:szCs w:val="22"/>
        </w:rPr>
        <w:t>“</w:t>
      </w:r>
      <w:r w:rsidR="004321F7" w:rsidRPr="001E18F0">
        <w:rPr>
          <w:rFonts w:ascii="Arial Narrow" w:eastAsia="Times New Roman" w:hAnsi="Arial Narrow" w:cs="Times New Roman"/>
          <w:sz w:val="22"/>
          <w:szCs w:val="22"/>
        </w:rPr>
        <w:t xml:space="preserve">ARTÍCULO 1.: </w:t>
      </w:r>
      <w:r w:rsidR="00EF43DA" w:rsidRPr="001E18F0">
        <w:rPr>
          <w:rFonts w:ascii="Arial Narrow" w:eastAsia="Times New Roman" w:hAnsi="Arial Narrow" w:cs="Times New Roman"/>
          <w:i/>
          <w:sz w:val="22"/>
          <w:szCs w:val="22"/>
        </w:rPr>
        <w:t>Declarar como zonas de protección y desarrollo de los recursos naturales renovables y del medio ambiente dando aplicación al principio de precaución, las siguientes:</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lastRenderedPageBreak/>
        <w:t xml:space="preserve">Polígono 1 Peñas Blancas: Ubicado en jurisdicción de la Corporación Autónoma Regional del Alto Magdalena (CAM) en el departamento del Huila, municipios de Palestina, Pitalito, </w:t>
      </w:r>
      <w:proofErr w:type="spellStart"/>
      <w:r w:rsidRPr="001E18F0">
        <w:rPr>
          <w:rFonts w:ascii="Arial Narrow" w:eastAsia="Times New Roman" w:hAnsi="Arial Narrow" w:cs="Times New Roman"/>
          <w:i/>
          <w:sz w:val="22"/>
          <w:szCs w:val="22"/>
        </w:rPr>
        <w:t>Timaná</w:t>
      </w:r>
      <w:proofErr w:type="spellEnd"/>
      <w:r w:rsidRPr="001E18F0">
        <w:rPr>
          <w:rFonts w:ascii="Arial Narrow" w:eastAsia="Times New Roman" w:hAnsi="Arial Narrow" w:cs="Times New Roman"/>
          <w:i/>
          <w:sz w:val="22"/>
          <w:szCs w:val="22"/>
        </w:rPr>
        <w:t>, Suaza, Acevedo; y cuyas coordenadas se encuentran en la Tabla número 1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2 Ampliación del PNR Serranía de las Minas: en jurisdicción de la Corporación Autónoma Regional del Alto Magdalena (CAM), departamento de Huila, municipios de </w:t>
      </w:r>
      <w:proofErr w:type="spellStart"/>
      <w:r w:rsidRPr="001E18F0">
        <w:rPr>
          <w:rFonts w:ascii="Arial Narrow" w:eastAsia="Times New Roman" w:hAnsi="Arial Narrow" w:cs="Times New Roman"/>
          <w:i/>
          <w:sz w:val="22"/>
          <w:szCs w:val="22"/>
        </w:rPr>
        <w:t>Oporapa</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Saladoblanco</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Isnos</w:t>
      </w:r>
      <w:proofErr w:type="spellEnd"/>
      <w:r w:rsidRPr="001E18F0">
        <w:rPr>
          <w:rFonts w:ascii="Arial Narrow" w:eastAsia="Times New Roman" w:hAnsi="Arial Narrow" w:cs="Times New Roman"/>
          <w:i/>
          <w:sz w:val="22"/>
          <w:szCs w:val="22"/>
        </w:rPr>
        <w:t>, La Plata y La Argentina; y cuyas coordenadas se encuentran en la Tabla número 2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 Relictos de Caoba de </w:t>
      </w:r>
      <w:proofErr w:type="spellStart"/>
      <w:r w:rsidRPr="001E18F0">
        <w:rPr>
          <w:rFonts w:ascii="Arial Narrow" w:eastAsia="Times New Roman" w:hAnsi="Arial Narrow" w:cs="Times New Roman"/>
          <w:i/>
          <w:sz w:val="22"/>
          <w:szCs w:val="22"/>
        </w:rPr>
        <w:t>Juradó</w:t>
      </w:r>
      <w:proofErr w:type="spellEnd"/>
      <w:r w:rsidRPr="001E18F0">
        <w:rPr>
          <w:rFonts w:ascii="Arial Narrow" w:eastAsia="Times New Roman" w:hAnsi="Arial Narrow" w:cs="Times New Roman"/>
          <w:i/>
          <w:sz w:val="22"/>
          <w:szCs w:val="22"/>
        </w:rPr>
        <w:t xml:space="preserve">: Ubicado en jurisdicción de Corporación Autónoma Regional para el Desarrollo Sostenible del Chocó (Codechocó), en el departamento del Chocó, municipios de </w:t>
      </w:r>
      <w:proofErr w:type="spellStart"/>
      <w:r w:rsidRPr="001E18F0">
        <w:rPr>
          <w:rFonts w:ascii="Arial Narrow" w:eastAsia="Times New Roman" w:hAnsi="Arial Narrow" w:cs="Times New Roman"/>
          <w:i/>
          <w:sz w:val="22"/>
          <w:szCs w:val="22"/>
        </w:rPr>
        <w:t>Juradó-Riosucio</w:t>
      </w:r>
      <w:proofErr w:type="spellEnd"/>
      <w:r w:rsidRPr="001E18F0">
        <w:rPr>
          <w:rFonts w:ascii="Arial Narrow" w:eastAsia="Times New Roman" w:hAnsi="Arial Narrow" w:cs="Times New Roman"/>
          <w:i/>
          <w:sz w:val="22"/>
          <w:szCs w:val="22"/>
        </w:rPr>
        <w:t>, y cuyas coordenadas se encuentran en la Tabla número 3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4 Humedal El Sapo 1: Ubicado en jurisdicción de la Corporación Autónoma Regional del Centro de Antioquia (</w:t>
      </w:r>
      <w:proofErr w:type="spellStart"/>
      <w:r w:rsidRPr="001E18F0">
        <w:rPr>
          <w:rFonts w:ascii="Arial Narrow" w:eastAsia="Times New Roman" w:hAnsi="Arial Narrow" w:cs="Times New Roman"/>
          <w:i/>
          <w:sz w:val="22"/>
          <w:szCs w:val="22"/>
        </w:rPr>
        <w:t>Corantioquia</w:t>
      </w:r>
      <w:proofErr w:type="spellEnd"/>
      <w:r w:rsidRPr="001E18F0">
        <w:rPr>
          <w:rFonts w:ascii="Arial Narrow" w:eastAsia="Times New Roman" w:hAnsi="Arial Narrow" w:cs="Times New Roman"/>
          <w:i/>
          <w:sz w:val="22"/>
          <w:szCs w:val="22"/>
        </w:rPr>
        <w:t>), en el departamento de Antioquia, y cuyas coordenadas se encuentran en la Tabla número 4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5 Humedal El Sapo 2: Ubicado en jurisdicción de la Corporación Autónoma Regional del Centro de Antioquia (</w:t>
      </w:r>
      <w:proofErr w:type="spellStart"/>
      <w:r w:rsidRPr="001E18F0">
        <w:rPr>
          <w:rFonts w:ascii="Arial Narrow" w:eastAsia="Times New Roman" w:hAnsi="Arial Narrow" w:cs="Times New Roman"/>
          <w:i/>
          <w:sz w:val="22"/>
          <w:szCs w:val="22"/>
        </w:rPr>
        <w:t>Corantioquia</w:t>
      </w:r>
      <w:proofErr w:type="spellEnd"/>
      <w:r w:rsidRPr="001E18F0">
        <w:rPr>
          <w:rFonts w:ascii="Arial Narrow" w:eastAsia="Times New Roman" w:hAnsi="Arial Narrow" w:cs="Times New Roman"/>
          <w:i/>
          <w:sz w:val="22"/>
          <w:szCs w:val="22"/>
        </w:rPr>
        <w:t>); en el departamento de Antioquia; y cuyas coordenadas se encuentran en la Tabla número 5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6 Humedal Chiqueros: Ubicado en jurisdicción de la Corporación Autónoma Regional del Centro de Antioquia (</w:t>
      </w:r>
      <w:proofErr w:type="spellStart"/>
      <w:r w:rsidRPr="001E18F0">
        <w:rPr>
          <w:rFonts w:ascii="Arial Narrow" w:eastAsia="Times New Roman" w:hAnsi="Arial Narrow" w:cs="Times New Roman"/>
          <w:i/>
          <w:sz w:val="22"/>
          <w:szCs w:val="22"/>
        </w:rPr>
        <w:t>Corantioquia</w:t>
      </w:r>
      <w:proofErr w:type="spellEnd"/>
      <w:r w:rsidRPr="001E18F0">
        <w:rPr>
          <w:rFonts w:ascii="Arial Narrow" w:eastAsia="Times New Roman" w:hAnsi="Arial Narrow" w:cs="Times New Roman"/>
          <w:i/>
          <w:sz w:val="22"/>
          <w:szCs w:val="22"/>
        </w:rPr>
        <w:t>), en el departamento de Antioquia, y cuyas coordenadas se encuentran en la Tabla número 6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7 Humedal Barbacoas: Ubicado en jurisdicción de la Corporación Autónoma Regional del Centro de Antioquia (</w:t>
      </w:r>
      <w:proofErr w:type="spellStart"/>
      <w:r w:rsidRPr="001E18F0">
        <w:rPr>
          <w:rFonts w:ascii="Arial Narrow" w:eastAsia="Times New Roman" w:hAnsi="Arial Narrow" w:cs="Times New Roman"/>
          <w:i/>
          <w:sz w:val="22"/>
          <w:szCs w:val="22"/>
        </w:rPr>
        <w:t>Corantioquia</w:t>
      </w:r>
      <w:proofErr w:type="spellEnd"/>
      <w:r w:rsidRPr="001E18F0">
        <w:rPr>
          <w:rFonts w:ascii="Arial Narrow" w:eastAsia="Times New Roman" w:hAnsi="Arial Narrow" w:cs="Times New Roman"/>
          <w:i/>
          <w:sz w:val="22"/>
          <w:szCs w:val="22"/>
        </w:rPr>
        <w:t>) en el departamento de Antioquia, y cuyas coordenadas se encuentran en la Tabla número 7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8 Bajo Cauca </w:t>
      </w:r>
      <w:proofErr w:type="spellStart"/>
      <w:r w:rsidRPr="001E18F0">
        <w:rPr>
          <w:rFonts w:ascii="Arial Narrow" w:eastAsia="Times New Roman" w:hAnsi="Arial Narrow" w:cs="Times New Roman"/>
          <w:i/>
          <w:sz w:val="22"/>
          <w:szCs w:val="22"/>
        </w:rPr>
        <w:t>Nechí</w:t>
      </w:r>
      <w:proofErr w:type="spellEnd"/>
      <w:r w:rsidRPr="001E18F0">
        <w:rPr>
          <w:rFonts w:ascii="Arial Narrow" w:eastAsia="Times New Roman" w:hAnsi="Arial Narrow" w:cs="Times New Roman"/>
          <w:i/>
          <w:sz w:val="22"/>
          <w:szCs w:val="22"/>
        </w:rPr>
        <w:t>: Ubicado en jurisdicción de la Corporación Autónoma Regional del Centro de Antioquia (</w:t>
      </w:r>
      <w:proofErr w:type="spellStart"/>
      <w:r w:rsidRPr="001E18F0">
        <w:rPr>
          <w:rFonts w:ascii="Arial Narrow" w:eastAsia="Times New Roman" w:hAnsi="Arial Narrow" w:cs="Times New Roman"/>
          <w:i/>
          <w:sz w:val="22"/>
          <w:szCs w:val="22"/>
        </w:rPr>
        <w:t>Corantioquia</w:t>
      </w:r>
      <w:proofErr w:type="spellEnd"/>
      <w:r w:rsidRPr="001E18F0">
        <w:rPr>
          <w:rFonts w:ascii="Arial Narrow" w:eastAsia="Times New Roman" w:hAnsi="Arial Narrow" w:cs="Times New Roman"/>
          <w:i/>
          <w:sz w:val="22"/>
          <w:szCs w:val="22"/>
        </w:rPr>
        <w:t>), en el departamento de Antioquia, y cuyas coordenadas se encuentran en la Tabla número 8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9 Bosque del Gigante: Ubicado en jurisdicción de la Corporación Autónoma Regional de Caldas (</w:t>
      </w:r>
      <w:proofErr w:type="spellStart"/>
      <w:r w:rsidRPr="001E18F0">
        <w:rPr>
          <w:rFonts w:ascii="Arial Narrow" w:eastAsia="Times New Roman" w:hAnsi="Arial Narrow" w:cs="Times New Roman"/>
          <w:i/>
          <w:sz w:val="22"/>
          <w:szCs w:val="22"/>
        </w:rPr>
        <w:t>Corpocaldas</w:t>
      </w:r>
      <w:proofErr w:type="spellEnd"/>
      <w:r w:rsidRPr="001E18F0">
        <w:rPr>
          <w:rFonts w:ascii="Arial Narrow" w:eastAsia="Times New Roman" w:hAnsi="Arial Narrow" w:cs="Times New Roman"/>
          <w:i/>
          <w:sz w:val="22"/>
          <w:szCs w:val="22"/>
        </w:rPr>
        <w:t>), y cuyas coordenadas se encuentran en la Tabla número 9 del Anexo número 1 que hace parte integral de la</w:t>
      </w:r>
      <w:bookmarkStart w:id="0" w:name="_GoBack"/>
      <w:bookmarkEnd w:id="0"/>
      <w:r w:rsidRPr="001E18F0">
        <w:rPr>
          <w:rFonts w:ascii="Arial Narrow" w:eastAsia="Times New Roman" w:hAnsi="Arial Narrow" w:cs="Times New Roman"/>
          <w:i/>
          <w:sz w:val="22"/>
          <w:szCs w:val="22"/>
        </w:rPr>
        <w:t xml:space="preserve">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lastRenderedPageBreak/>
        <w:t xml:space="preserve">Polígono 10 </w:t>
      </w:r>
      <w:proofErr w:type="gramStart"/>
      <w:r w:rsidRPr="001E18F0">
        <w:rPr>
          <w:rFonts w:ascii="Arial Narrow" w:eastAsia="Times New Roman" w:hAnsi="Arial Narrow" w:cs="Times New Roman"/>
          <w:i/>
          <w:sz w:val="22"/>
          <w:szCs w:val="22"/>
        </w:rPr>
        <w:t>Cerro</w:t>
      </w:r>
      <w:proofErr w:type="gramEnd"/>
      <w:r w:rsidRPr="001E18F0">
        <w:rPr>
          <w:rFonts w:ascii="Arial Narrow" w:eastAsia="Times New Roman" w:hAnsi="Arial Narrow" w:cs="Times New Roman"/>
          <w:i/>
          <w:sz w:val="22"/>
          <w:szCs w:val="22"/>
        </w:rPr>
        <w:t xml:space="preserve"> Guadalupe: Ubicado en jurisdicción de la Corporación Autónoma Regional de Caldas (</w:t>
      </w:r>
      <w:proofErr w:type="spellStart"/>
      <w:r w:rsidRPr="001E18F0">
        <w:rPr>
          <w:rFonts w:ascii="Arial Narrow" w:eastAsia="Times New Roman" w:hAnsi="Arial Narrow" w:cs="Times New Roman"/>
          <w:i/>
          <w:sz w:val="22"/>
          <w:szCs w:val="22"/>
        </w:rPr>
        <w:t>Corpocaldas</w:t>
      </w:r>
      <w:proofErr w:type="spellEnd"/>
      <w:r w:rsidRPr="001E18F0">
        <w:rPr>
          <w:rFonts w:ascii="Arial Narrow" w:eastAsia="Times New Roman" w:hAnsi="Arial Narrow" w:cs="Times New Roman"/>
          <w:i/>
          <w:sz w:val="22"/>
          <w:szCs w:val="22"/>
        </w:rPr>
        <w:t>); y cuyas coordenadas se encuentran en la Tabla número 10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11 Área Corozal: Ubicado en jurisdicción de la Corporación Autónoma Regional de Caldas (</w:t>
      </w:r>
      <w:proofErr w:type="spellStart"/>
      <w:r w:rsidRPr="001E18F0">
        <w:rPr>
          <w:rFonts w:ascii="Arial Narrow" w:eastAsia="Times New Roman" w:hAnsi="Arial Narrow" w:cs="Times New Roman"/>
          <w:i/>
          <w:sz w:val="22"/>
          <w:szCs w:val="22"/>
        </w:rPr>
        <w:t>Corpocaldas</w:t>
      </w:r>
      <w:proofErr w:type="spellEnd"/>
      <w:r w:rsidRPr="001E18F0">
        <w:rPr>
          <w:rFonts w:ascii="Arial Narrow" w:eastAsia="Times New Roman" w:hAnsi="Arial Narrow" w:cs="Times New Roman"/>
          <w:i/>
          <w:sz w:val="22"/>
          <w:szCs w:val="22"/>
        </w:rPr>
        <w:t xml:space="preserve">), en la zona marginal cafetera entre Caldas-Risaralda, localizado al sur del municipio de </w:t>
      </w:r>
      <w:proofErr w:type="spellStart"/>
      <w:r w:rsidRPr="001E18F0">
        <w:rPr>
          <w:rFonts w:ascii="Arial Narrow" w:eastAsia="Times New Roman" w:hAnsi="Arial Narrow" w:cs="Times New Roman"/>
          <w:i/>
          <w:sz w:val="22"/>
          <w:szCs w:val="22"/>
        </w:rPr>
        <w:t>Villamaría</w:t>
      </w:r>
      <w:proofErr w:type="spellEnd"/>
      <w:r w:rsidRPr="001E18F0">
        <w:rPr>
          <w:rFonts w:ascii="Arial Narrow" w:eastAsia="Times New Roman" w:hAnsi="Arial Narrow" w:cs="Times New Roman"/>
          <w:i/>
          <w:sz w:val="22"/>
          <w:szCs w:val="22"/>
        </w:rPr>
        <w:t xml:space="preserve">, en las Veredas de Valles, El </w:t>
      </w:r>
      <w:proofErr w:type="spellStart"/>
      <w:r w:rsidRPr="001E18F0">
        <w:rPr>
          <w:rFonts w:ascii="Arial Narrow" w:eastAsia="Times New Roman" w:hAnsi="Arial Narrow" w:cs="Times New Roman"/>
          <w:i/>
          <w:sz w:val="22"/>
          <w:szCs w:val="22"/>
        </w:rPr>
        <w:t>Yarumo</w:t>
      </w:r>
      <w:proofErr w:type="spellEnd"/>
      <w:r w:rsidRPr="001E18F0">
        <w:rPr>
          <w:rFonts w:ascii="Arial Narrow" w:eastAsia="Times New Roman" w:hAnsi="Arial Narrow" w:cs="Times New Roman"/>
          <w:i/>
          <w:sz w:val="22"/>
          <w:szCs w:val="22"/>
        </w:rPr>
        <w:t xml:space="preserve"> y Corozal y cuyas coordenadas se encuentran en la Tabla número 11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12 Cuchilla El Varal: Ubicado en jurisdicción de la Corporación Autónoma Regional de </w:t>
      </w:r>
      <w:proofErr w:type="spellStart"/>
      <w:r w:rsidRPr="001E18F0">
        <w:rPr>
          <w:rFonts w:ascii="Arial Narrow" w:eastAsia="Times New Roman" w:hAnsi="Arial Narrow" w:cs="Times New Roman"/>
          <w:i/>
          <w:sz w:val="22"/>
          <w:szCs w:val="22"/>
        </w:rPr>
        <w:t>Chivor</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Corpochivor</w:t>
      </w:r>
      <w:proofErr w:type="spellEnd"/>
      <w:r w:rsidRPr="001E18F0">
        <w:rPr>
          <w:rFonts w:ascii="Arial Narrow" w:eastAsia="Times New Roman" w:hAnsi="Arial Narrow" w:cs="Times New Roman"/>
          <w:i/>
          <w:sz w:val="22"/>
          <w:szCs w:val="22"/>
        </w:rPr>
        <w:t xml:space="preserve">), también se conoce como cuchilla el volador y el varal, entre los municipios de </w:t>
      </w:r>
      <w:proofErr w:type="spellStart"/>
      <w:r w:rsidRPr="001E18F0">
        <w:rPr>
          <w:rFonts w:ascii="Arial Narrow" w:eastAsia="Times New Roman" w:hAnsi="Arial Narrow" w:cs="Times New Roman"/>
          <w:i/>
          <w:sz w:val="22"/>
          <w:szCs w:val="22"/>
        </w:rPr>
        <w:t>Macanal</w:t>
      </w:r>
      <w:proofErr w:type="spellEnd"/>
      <w:r w:rsidRPr="001E18F0">
        <w:rPr>
          <w:rFonts w:ascii="Arial Narrow" w:eastAsia="Times New Roman" w:hAnsi="Arial Narrow" w:cs="Times New Roman"/>
          <w:i/>
          <w:sz w:val="22"/>
          <w:szCs w:val="22"/>
        </w:rPr>
        <w:t xml:space="preserve"> y </w:t>
      </w:r>
      <w:proofErr w:type="spellStart"/>
      <w:r w:rsidRPr="001E18F0">
        <w:rPr>
          <w:rFonts w:ascii="Arial Narrow" w:eastAsia="Times New Roman" w:hAnsi="Arial Narrow" w:cs="Times New Roman"/>
          <w:i/>
          <w:sz w:val="22"/>
          <w:szCs w:val="22"/>
        </w:rPr>
        <w:t>Garagoa</w:t>
      </w:r>
      <w:proofErr w:type="spellEnd"/>
      <w:r w:rsidRPr="001E18F0">
        <w:rPr>
          <w:rFonts w:ascii="Arial Narrow" w:eastAsia="Times New Roman" w:hAnsi="Arial Narrow" w:cs="Times New Roman"/>
          <w:i/>
          <w:sz w:val="22"/>
          <w:szCs w:val="22"/>
        </w:rPr>
        <w:t xml:space="preserve"> y cuyas coordenadas se encuentran en la Tabla número 12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13 Cuchilla San Cayetano: Ubicado en jurisdicción de la Corporación Autónoma Regional de </w:t>
      </w:r>
      <w:proofErr w:type="spellStart"/>
      <w:r w:rsidRPr="001E18F0">
        <w:rPr>
          <w:rFonts w:ascii="Arial Narrow" w:eastAsia="Times New Roman" w:hAnsi="Arial Narrow" w:cs="Times New Roman"/>
          <w:i/>
          <w:sz w:val="22"/>
          <w:szCs w:val="22"/>
        </w:rPr>
        <w:t>Chivor</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Corpochivor</w:t>
      </w:r>
      <w:proofErr w:type="spellEnd"/>
      <w:r w:rsidRPr="001E18F0">
        <w:rPr>
          <w:rFonts w:ascii="Arial Narrow" w:eastAsia="Times New Roman" w:hAnsi="Arial Narrow" w:cs="Times New Roman"/>
          <w:i/>
          <w:sz w:val="22"/>
          <w:szCs w:val="22"/>
        </w:rPr>
        <w:t xml:space="preserve">), en los municipios de Almeida, </w:t>
      </w:r>
      <w:proofErr w:type="spellStart"/>
      <w:r w:rsidRPr="001E18F0">
        <w:rPr>
          <w:rFonts w:ascii="Arial Narrow" w:eastAsia="Times New Roman" w:hAnsi="Arial Narrow" w:cs="Times New Roman"/>
          <w:i/>
          <w:sz w:val="22"/>
          <w:szCs w:val="22"/>
        </w:rPr>
        <w:t>Chivor</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Macanal</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Somondoco</w:t>
      </w:r>
      <w:proofErr w:type="spellEnd"/>
      <w:r w:rsidRPr="001E18F0">
        <w:rPr>
          <w:rFonts w:ascii="Arial Narrow" w:eastAsia="Times New Roman" w:hAnsi="Arial Narrow" w:cs="Times New Roman"/>
          <w:i/>
          <w:sz w:val="22"/>
          <w:szCs w:val="22"/>
        </w:rPr>
        <w:t xml:space="preserve"> y </w:t>
      </w:r>
      <w:proofErr w:type="spellStart"/>
      <w:r w:rsidRPr="001E18F0">
        <w:rPr>
          <w:rFonts w:ascii="Arial Narrow" w:eastAsia="Times New Roman" w:hAnsi="Arial Narrow" w:cs="Times New Roman"/>
          <w:i/>
          <w:sz w:val="22"/>
          <w:szCs w:val="22"/>
        </w:rPr>
        <w:t>Guayatá</w:t>
      </w:r>
      <w:proofErr w:type="spellEnd"/>
      <w:r w:rsidRPr="001E18F0">
        <w:rPr>
          <w:rFonts w:ascii="Arial Narrow" w:eastAsia="Times New Roman" w:hAnsi="Arial Narrow" w:cs="Times New Roman"/>
          <w:i/>
          <w:sz w:val="22"/>
          <w:szCs w:val="22"/>
        </w:rPr>
        <w:t xml:space="preserve"> y cuyas coordenadas se encuentran en la Tabla número 13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14 Cerro </w:t>
      </w:r>
      <w:proofErr w:type="spellStart"/>
      <w:r w:rsidRPr="001E18F0">
        <w:rPr>
          <w:rFonts w:ascii="Arial Narrow" w:eastAsia="Times New Roman" w:hAnsi="Arial Narrow" w:cs="Times New Roman"/>
          <w:i/>
          <w:sz w:val="22"/>
          <w:szCs w:val="22"/>
        </w:rPr>
        <w:t>Zamaricote</w:t>
      </w:r>
      <w:proofErr w:type="spellEnd"/>
      <w:r w:rsidRPr="001E18F0">
        <w:rPr>
          <w:rFonts w:ascii="Arial Narrow" w:eastAsia="Times New Roman" w:hAnsi="Arial Narrow" w:cs="Times New Roman"/>
          <w:i/>
          <w:sz w:val="22"/>
          <w:szCs w:val="22"/>
        </w:rPr>
        <w:t>: Ubicado en jurisdicción de la Corporación Autónoma Regional de la Orinoquía (</w:t>
      </w:r>
      <w:proofErr w:type="spellStart"/>
      <w:r w:rsidRPr="001E18F0">
        <w:rPr>
          <w:rFonts w:ascii="Arial Narrow" w:eastAsia="Times New Roman" w:hAnsi="Arial Narrow" w:cs="Times New Roman"/>
          <w:i/>
          <w:sz w:val="22"/>
          <w:szCs w:val="22"/>
        </w:rPr>
        <w:t>Corporinoquia</w:t>
      </w:r>
      <w:proofErr w:type="spellEnd"/>
      <w:r w:rsidRPr="001E18F0">
        <w:rPr>
          <w:rFonts w:ascii="Arial Narrow" w:eastAsia="Times New Roman" w:hAnsi="Arial Narrow" w:cs="Times New Roman"/>
          <w:i/>
          <w:sz w:val="22"/>
          <w:szCs w:val="22"/>
        </w:rPr>
        <w:t>), y cuyas coordenadas se encuentran en la Tabla número 14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15 Bosque Seco: Ubicado en jurisdicción de la Corporación Autónoma Regional del Centro de Antioquia (</w:t>
      </w:r>
      <w:proofErr w:type="spellStart"/>
      <w:r w:rsidRPr="001E18F0">
        <w:rPr>
          <w:rFonts w:ascii="Arial Narrow" w:eastAsia="Times New Roman" w:hAnsi="Arial Narrow" w:cs="Times New Roman"/>
          <w:i/>
          <w:sz w:val="22"/>
          <w:szCs w:val="22"/>
        </w:rPr>
        <w:t>Corantioquia</w:t>
      </w:r>
      <w:proofErr w:type="spellEnd"/>
      <w:r w:rsidRPr="001E18F0">
        <w:rPr>
          <w:rFonts w:ascii="Arial Narrow" w:eastAsia="Times New Roman" w:hAnsi="Arial Narrow" w:cs="Times New Roman"/>
          <w:i/>
          <w:sz w:val="22"/>
          <w:szCs w:val="22"/>
        </w:rPr>
        <w:t>); en el departamento de Antioquia, y cuyas coordenadas se encuentran en la Tabla número 15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16 Páramo de </w:t>
      </w:r>
      <w:proofErr w:type="spellStart"/>
      <w:r w:rsidRPr="001E18F0">
        <w:rPr>
          <w:rFonts w:ascii="Arial Narrow" w:eastAsia="Times New Roman" w:hAnsi="Arial Narrow" w:cs="Times New Roman"/>
          <w:i/>
          <w:sz w:val="22"/>
          <w:szCs w:val="22"/>
        </w:rPr>
        <w:t>Mamapacha</w:t>
      </w:r>
      <w:proofErr w:type="spellEnd"/>
      <w:r w:rsidRPr="001E18F0">
        <w:rPr>
          <w:rFonts w:ascii="Arial Narrow" w:eastAsia="Times New Roman" w:hAnsi="Arial Narrow" w:cs="Times New Roman"/>
          <w:i/>
          <w:sz w:val="22"/>
          <w:szCs w:val="22"/>
        </w:rPr>
        <w:t xml:space="preserve"> y </w:t>
      </w:r>
      <w:proofErr w:type="spellStart"/>
      <w:r w:rsidRPr="001E18F0">
        <w:rPr>
          <w:rFonts w:ascii="Arial Narrow" w:eastAsia="Times New Roman" w:hAnsi="Arial Narrow" w:cs="Times New Roman"/>
          <w:i/>
          <w:sz w:val="22"/>
          <w:szCs w:val="22"/>
        </w:rPr>
        <w:t>Bijagual</w:t>
      </w:r>
      <w:proofErr w:type="spellEnd"/>
      <w:r w:rsidRPr="001E18F0">
        <w:rPr>
          <w:rFonts w:ascii="Arial Narrow" w:eastAsia="Times New Roman" w:hAnsi="Arial Narrow" w:cs="Times New Roman"/>
          <w:i/>
          <w:sz w:val="22"/>
          <w:szCs w:val="22"/>
        </w:rPr>
        <w:t xml:space="preserve">: Ubicado en jurisdicción de la Corporación Autónoma Regional de </w:t>
      </w:r>
      <w:proofErr w:type="spellStart"/>
      <w:r w:rsidRPr="001E18F0">
        <w:rPr>
          <w:rFonts w:ascii="Arial Narrow" w:eastAsia="Times New Roman" w:hAnsi="Arial Narrow" w:cs="Times New Roman"/>
          <w:i/>
          <w:sz w:val="22"/>
          <w:szCs w:val="22"/>
        </w:rPr>
        <w:t>Chivor</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Corpochivor</w:t>
      </w:r>
      <w:proofErr w:type="spellEnd"/>
      <w:r w:rsidRPr="001E18F0">
        <w:rPr>
          <w:rFonts w:ascii="Arial Narrow" w:eastAsia="Times New Roman" w:hAnsi="Arial Narrow" w:cs="Times New Roman"/>
          <w:i/>
          <w:sz w:val="22"/>
          <w:szCs w:val="22"/>
        </w:rPr>
        <w:t xml:space="preserve">), en los municipios de </w:t>
      </w:r>
      <w:proofErr w:type="spellStart"/>
      <w:r w:rsidRPr="001E18F0">
        <w:rPr>
          <w:rFonts w:ascii="Arial Narrow" w:eastAsia="Times New Roman" w:hAnsi="Arial Narrow" w:cs="Times New Roman"/>
          <w:i/>
          <w:sz w:val="22"/>
          <w:szCs w:val="22"/>
        </w:rPr>
        <w:t>Viracachá</w:t>
      </w:r>
      <w:proofErr w:type="spellEnd"/>
      <w:r w:rsidRPr="001E18F0">
        <w:rPr>
          <w:rFonts w:ascii="Arial Narrow" w:eastAsia="Times New Roman" w:hAnsi="Arial Narrow" w:cs="Times New Roman"/>
          <w:i/>
          <w:sz w:val="22"/>
          <w:szCs w:val="22"/>
        </w:rPr>
        <w:t xml:space="preserve">, Ciénega, </w:t>
      </w:r>
      <w:proofErr w:type="spellStart"/>
      <w:r w:rsidRPr="001E18F0">
        <w:rPr>
          <w:rFonts w:ascii="Arial Narrow" w:eastAsia="Times New Roman" w:hAnsi="Arial Narrow" w:cs="Times New Roman"/>
          <w:i/>
          <w:sz w:val="22"/>
          <w:szCs w:val="22"/>
        </w:rPr>
        <w:t>Ramiriquí</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Tibaná</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Chinavita</w:t>
      </w:r>
      <w:proofErr w:type="spellEnd"/>
      <w:r w:rsidRPr="001E18F0">
        <w:rPr>
          <w:rFonts w:ascii="Arial Narrow" w:eastAsia="Times New Roman" w:hAnsi="Arial Narrow" w:cs="Times New Roman"/>
          <w:i/>
          <w:sz w:val="22"/>
          <w:szCs w:val="22"/>
        </w:rPr>
        <w:t xml:space="preserve"> y </w:t>
      </w:r>
      <w:proofErr w:type="spellStart"/>
      <w:r w:rsidRPr="001E18F0">
        <w:rPr>
          <w:rFonts w:ascii="Arial Narrow" w:eastAsia="Times New Roman" w:hAnsi="Arial Narrow" w:cs="Times New Roman"/>
          <w:i/>
          <w:sz w:val="22"/>
          <w:szCs w:val="22"/>
        </w:rPr>
        <w:t>Garagoa</w:t>
      </w:r>
      <w:proofErr w:type="spellEnd"/>
      <w:r w:rsidRPr="001E18F0">
        <w:rPr>
          <w:rFonts w:ascii="Arial Narrow" w:eastAsia="Times New Roman" w:hAnsi="Arial Narrow" w:cs="Times New Roman"/>
          <w:i/>
          <w:sz w:val="22"/>
          <w:szCs w:val="22"/>
        </w:rPr>
        <w:t xml:space="preserve"> y cuyas coordenadas se encuentran en la Tabla número 16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17 Los Limones: Ubicado en jurisdicción de la Corporación Autónoma Regional del Tolima (Cortolima), y cuyas coordenadas se encuentran en la Tabla número 17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18 Cerros de Ibagué: Ubicado en jurisdicción de la Corporación Autónoma Regional del Tolima (Cortolima), en el flanco oriental de la cordillera Central y cuyas coordenadas se encuentran en la Tabla número 18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19 </w:t>
      </w:r>
      <w:proofErr w:type="spellStart"/>
      <w:r w:rsidRPr="001E18F0">
        <w:rPr>
          <w:rFonts w:ascii="Arial Narrow" w:eastAsia="Times New Roman" w:hAnsi="Arial Narrow" w:cs="Times New Roman"/>
          <w:i/>
          <w:sz w:val="22"/>
          <w:szCs w:val="22"/>
        </w:rPr>
        <w:t>Anaime</w:t>
      </w:r>
      <w:proofErr w:type="spellEnd"/>
      <w:r w:rsidRPr="001E18F0">
        <w:rPr>
          <w:rFonts w:ascii="Arial Narrow" w:eastAsia="Times New Roman" w:hAnsi="Arial Narrow" w:cs="Times New Roman"/>
          <w:i/>
          <w:sz w:val="22"/>
          <w:szCs w:val="22"/>
        </w:rPr>
        <w:t xml:space="preserve"> Chili: ubicado en jurisdicción de la Corporación Autónoma Regional del Tolima (Cortolima), en el corredor ambiental entre los PNN Los Nevados y Las Hermosas y está incluido en la </w:t>
      </w:r>
      <w:r w:rsidRPr="001E18F0">
        <w:rPr>
          <w:rFonts w:ascii="Arial Narrow" w:eastAsia="Times New Roman" w:hAnsi="Arial Narrow" w:cs="Times New Roman"/>
          <w:i/>
          <w:sz w:val="22"/>
          <w:szCs w:val="22"/>
        </w:rPr>
        <w:lastRenderedPageBreak/>
        <w:t>Reserva Forestal Central y cuyas coordenadas se encuentran en la Tabla número 19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20 Predios Meridiano: Ubicado en jurisdicción de la Corporación Autónoma Regional del Tolima (Cortolima), y cuyas coordenadas se encuentran en la Tabla número 20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21 DMRI Humedales Serranía </w:t>
      </w:r>
      <w:proofErr w:type="spellStart"/>
      <w:r w:rsidRPr="001E18F0">
        <w:rPr>
          <w:rFonts w:ascii="Arial Narrow" w:eastAsia="Times New Roman" w:hAnsi="Arial Narrow" w:cs="Times New Roman"/>
          <w:i/>
          <w:sz w:val="22"/>
          <w:szCs w:val="22"/>
        </w:rPr>
        <w:t>Abibe</w:t>
      </w:r>
      <w:proofErr w:type="spellEnd"/>
      <w:r w:rsidRPr="001E18F0">
        <w:rPr>
          <w:rFonts w:ascii="Arial Narrow" w:eastAsia="Times New Roman" w:hAnsi="Arial Narrow" w:cs="Times New Roman"/>
          <w:i/>
          <w:sz w:val="22"/>
          <w:szCs w:val="22"/>
        </w:rPr>
        <w:t>: Ubicado en jurisdicción de la Corporación para el Desarrollo Sostenible del Urabá (</w:t>
      </w:r>
      <w:proofErr w:type="spellStart"/>
      <w:r w:rsidRPr="001E18F0">
        <w:rPr>
          <w:rFonts w:ascii="Arial Narrow" w:eastAsia="Times New Roman" w:hAnsi="Arial Narrow" w:cs="Times New Roman"/>
          <w:i/>
          <w:sz w:val="22"/>
          <w:szCs w:val="22"/>
        </w:rPr>
        <w:t>Corpourabá</w:t>
      </w:r>
      <w:proofErr w:type="spellEnd"/>
      <w:r w:rsidRPr="001E18F0">
        <w:rPr>
          <w:rFonts w:ascii="Arial Narrow" w:eastAsia="Times New Roman" w:hAnsi="Arial Narrow" w:cs="Times New Roman"/>
          <w:i/>
          <w:sz w:val="22"/>
          <w:szCs w:val="22"/>
        </w:rPr>
        <w:t xml:space="preserve">), en los municipios de Apartadó, </w:t>
      </w:r>
      <w:proofErr w:type="spellStart"/>
      <w:r w:rsidRPr="001E18F0">
        <w:rPr>
          <w:rFonts w:ascii="Arial Narrow" w:eastAsia="Times New Roman" w:hAnsi="Arial Narrow" w:cs="Times New Roman"/>
          <w:i/>
          <w:sz w:val="22"/>
          <w:szCs w:val="22"/>
        </w:rPr>
        <w:t>Carepa</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Chigorodó</w:t>
      </w:r>
      <w:proofErr w:type="spellEnd"/>
      <w:r w:rsidRPr="001E18F0">
        <w:rPr>
          <w:rFonts w:ascii="Arial Narrow" w:eastAsia="Times New Roman" w:hAnsi="Arial Narrow" w:cs="Times New Roman"/>
          <w:i/>
          <w:sz w:val="22"/>
          <w:szCs w:val="22"/>
        </w:rPr>
        <w:t xml:space="preserve"> y Turbo, y cuyas coordenadas se encuentran en la Tabla número 21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22 DMRI Peque: Ubicado en jurisdicción de la Corporación para el Desarrollo Sostenible del Urabá (</w:t>
      </w:r>
      <w:proofErr w:type="spellStart"/>
      <w:r w:rsidRPr="001E18F0">
        <w:rPr>
          <w:rFonts w:ascii="Arial Narrow" w:eastAsia="Times New Roman" w:hAnsi="Arial Narrow" w:cs="Times New Roman"/>
          <w:i/>
          <w:sz w:val="22"/>
          <w:szCs w:val="22"/>
        </w:rPr>
        <w:t>Corpourabá</w:t>
      </w:r>
      <w:proofErr w:type="spellEnd"/>
      <w:r w:rsidRPr="001E18F0">
        <w:rPr>
          <w:rFonts w:ascii="Arial Narrow" w:eastAsia="Times New Roman" w:hAnsi="Arial Narrow" w:cs="Times New Roman"/>
          <w:i/>
          <w:sz w:val="22"/>
          <w:szCs w:val="22"/>
        </w:rPr>
        <w:t>), y cuyas coordenadas se encuentran en la Tabla número 22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23 DRMI Zona Norte: Ubicado en jurisdicción de la Corporación para el Desarrollo Sostenible del Urabá (</w:t>
      </w:r>
      <w:proofErr w:type="spellStart"/>
      <w:r w:rsidRPr="001E18F0">
        <w:rPr>
          <w:rFonts w:ascii="Arial Narrow" w:eastAsia="Times New Roman" w:hAnsi="Arial Narrow" w:cs="Times New Roman"/>
          <w:i/>
          <w:sz w:val="22"/>
          <w:szCs w:val="22"/>
        </w:rPr>
        <w:t>Corpourabá</w:t>
      </w:r>
      <w:proofErr w:type="spellEnd"/>
      <w:r w:rsidRPr="001E18F0">
        <w:rPr>
          <w:rFonts w:ascii="Arial Narrow" w:eastAsia="Times New Roman" w:hAnsi="Arial Narrow" w:cs="Times New Roman"/>
          <w:i/>
          <w:sz w:val="22"/>
          <w:szCs w:val="22"/>
        </w:rPr>
        <w:t xml:space="preserve">), en los municipios de Arboletes, San Juan, </w:t>
      </w:r>
      <w:proofErr w:type="spellStart"/>
      <w:r w:rsidRPr="001E18F0">
        <w:rPr>
          <w:rFonts w:ascii="Arial Narrow" w:eastAsia="Times New Roman" w:hAnsi="Arial Narrow" w:cs="Times New Roman"/>
          <w:i/>
          <w:sz w:val="22"/>
          <w:szCs w:val="22"/>
        </w:rPr>
        <w:t>Necoclí</w:t>
      </w:r>
      <w:proofErr w:type="spellEnd"/>
      <w:r w:rsidRPr="001E18F0">
        <w:rPr>
          <w:rFonts w:ascii="Arial Narrow" w:eastAsia="Times New Roman" w:hAnsi="Arial Narrow" w:cs="Times New Roman"/>
          <w:i/>
          <w:sz w:val="22"/>
          <w:szCs w:val="22"/>
        </w:rPr>
        <w:t xml:space="preserve"> y San Pedro y cuyas coordenadas se encuentran en la Tabla número 23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24 Reserva Forestal Protectora Jurisdicciones: Ubicado en jurisdicción de la Corporación Autónoma Regional de Norte de Santander (Corponor), en el departamento de Norte de Santander; municipios de Ábrego, La Esperanza, y cuyas coordenadas se encuentran en la Tabla número 24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25 DMI Bosque Seco Tropical Sur: Ubicado en jurisdicción de la Corporación Autónoma Regional de Norte de Santander (Corponor), en el departamento de Norte de Santander, municipios de Cúcuta, </w:t>
      </w:r>
      <w:proofErr w:type="spellStart"/>
      <w:r w:rsidRPr="001E18F0">
        <w:rPr>
          <w:rFonts w:ascii="Arial Narrow" w:eastAsia="Times New Roman" w:hAnsi="Arial Narrow" w:cs="Times New Roman"/>
          <w:i/>
          <w:sz w:val="22"/>
          <w:szCs w:val="22"/>
        </w:rPr>
        <w:t>Bochalema</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Durania</w:t>
      </w:r>
      <w:proofErr w:type="spellEnd"/>
      <w:r w:rsidRPr="001E18F0">
        <w:rPr>
          <w:rFonts w:ascii="Arial Narrow" w:eastAsia="Times New Roman" w:hAnsi="Arial Narrow" w:cs="Times New Roman"/>
          <w:i/>
          <w:sz w:val="22"/>
          <w:szCs w:val="22"/>
        </w:rPr>
        <w:t>, San Cayetano, Santiago y cuyas coordenadas se encuentran en la Tabla número 25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26 Bosques Secos La Garita: Ubicado en jurisdicción de la Corporación Autónoma Regional de Norte de Santander (Corponor), en el departamento de Norte de Santander, municipios de Los Patios, Villa del Rosario, y cuyas coordenadas se encuentran en la Tabla número 26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27 Cuchilla Las Cruces y Peñas Blancas y Alto de Santa Lucía y El Narizón: Ubicado en jurisdicción de la Corporación Autónoma Regional de Norte de Santander (Corponor), en el departamento de Norte de Santander, municipios de </w:t>
      </w:r>
      <w:proofErr w:type="spellStart"/>
      <w:r w:rsidRPr="001E18F0">
        <w:rPr>
          <w:rFonts w:ascii="Arial Narrow" w:eastAsia="Times New Roman" w:hAnsi="Arial Narrow" w:cs="Times New Roman"/>
          <w:i/>
          <w:sz w:val="22"/>
          <w:szCs w:val="22"/>
        </w:rPr>
        <w:t>Cucutilla</w:t>
      </w:r>
      <w:proofErr w:type="spellEnd"/>
      <w:r w:rsidRPr="001E18F0">
        <w:rPr>
          <w:rFonts w:ascii="Arial Narrow" w:eastAsia="Times New Roman" w:hAnsi="Arial Narrow" w:cs="Times New Roman"/>
          <w:i/>
          <w:sz w:val="22"/>
          <w:szCs w:val="22"/>
        </w:rPr>
        <w:t xml:space="preserve">, Pamplonita, </w:t>
      </w:r>
      <w:proofErr w:type="spellStart"/>
      <w:r w:rsidRPr="001E18F0">
        <w:rPr>
          <w:rFonts w:ascii="Arial Narrow" w:eastAsia="Times New Roman" w:hAnsi="Arial Narrow" w:cs="Times New Roman"/>
          <w:i/>
          <w:sz w:val="22"/>
          <w:szCs w:val="22"/>
        </w:rPr>
        <w:t>Bochalema</w:t>
      </w:r>
      <w:proofErr w:type="spellEnd"/>
      <w:r w:rsidRPr="001E18F0">
        <w:rPr>
          <w:rFonts w:ascii="Arial Narrow" w:eastAsia="Times New Roman" w:hAnsi="Arial Narrow" w:cs="Times New Roman"/>
          <w:i/>
          <w:sz w:val="22"/>
          <w:szCs w:val="22"/>
        </w:rPr>
        <w:t xml:space="preserve">, Arboledas, Pamplona, </w:t>
      </w:r>
      <w:proofErr w:type="spellStart"/>
      <w:r w:rsidRPr="001E18F0">
        <w:rPr>
          <w:rFonts w:ascii="Arial Narrow" w:eastAsia="Times New Roman" w:hAnsi="Arial Narrow" w:cs="Times New Roman"/>
          <w:i/>
          <w:sz w:val="22"/>
          <w:szCs w:val="22"/>
        </w:rPr>
        <w:t>Durania</w:t>
      </w:r>
      <w:proofErr w:type="spellEnd"/>
      <w:r w:rsidRPr="001E18F0">
        <w:rPr>
          <w:rFonts w:ascii="Arial Narrow" w:eastAsia="Times New Roman" w:hAnsi="Arial Narrow" w:cs="Times New Roman"/>
          <w:i/>
          <w:sz w:val="22"/>
          <w:szCs w:val="22"/>
        </w:rPr>
        <w:t>, y cuyas coordenadas se encuentran en la Tabla número 27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lastRenderedPageBreak/>
        <w:t xml:space="preserve">Polígono 28 </w:t>
      </w:r>
      <w:proofErr w:type="spellStart"/>
      <w:r w:rsidRPr="001E18F0">
        <w:rPr>
          <w:rFonts w:ascii="Arial Narrow" w:eastAsia="Times New Roman" w:hAnsi="Arial Narrow" w:cs="Times New Roman"/>
          <w:i/>
          <w:sz w:val="22"/>
          <w:szCs w:val="22"/>
        </w:rPr>
        <w:t>Santurbán</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Mutiscua</w:t>
      </w:r>
      <w:proofErr w:type="spellEnd"/>
      <w:r w:rsidRPr="001E18F0">
        <w:rPr>
          <w:rFonts w:ascii="Arial Narrow" w:eastAsia="Times New Roman" w:hAnsi="Arial Narrow" w:cs="Times New Roman"/>
          <w:i/>
          <w:sz w:val="22"/>
          <w:szCs w:val="22"/>
        </w:rPr>
        <w:t xml:space="preserve"> Pamplona: Ubicado en jurisdicción de la Corporación Autónoma Regional de Norte de Santander (Corponor), en el departamento de Norte de Santander, municipios de </w:t>
      </w:r>
      <w:proofErr w:type="spellStart"/>
      <w:r w:rsidRPr="001E18F0">
        <w:rPr>
          <w:rFonts w:ascii="Arial Narrow" w:eastAsia="Times New Roman" w:hAnsi="Arial Narrow" w:cs="Times New Roman"/>
          <w:i/>
          <w:sz w:val="22"/>
          <w:szCs w:val="22"/>
        </w:rPr>
        <w:t>Mutiscua</w:t>
      </w:r>
      <w:proofErr w:type="spellEnd"/>
      <w:r w:rsidRPr="001E18F0">
        <w:rPr>
          <w:rFonts w:ascii="Arial Narrow" w:eastAsia="Times New Roman" w:hAnsi="Arial Narrow" w:cs="Times New Roman"/>
          <w:i/>
          <w:sz w:val="22"/>
          <w:szCs w:val="22"/>
        </w:rPr>
        <w:t>, Pamplona; y cuyas coordenadas se encuentran en la Tabla número 28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29 Bosque Seco Oeste: Ubicado en jurisdicción de la Corporación Autónoma Regional de Norte de Santander (Corponor), en el departamento de Norte de Santander, municipios de Zulia, Santiago, San Cayetano, y cuyas coordenadas se encuentran en la Tabla número 29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30 PNR </w:t>
      </w:r>
      <w:proofErr w:type="spellStart"/>
      <w:r w:rsidRPr="001E18F0">
        <w:rPr>
          <w:rFonts w:ascii="Arial Narrow" w:eastAsia="Times New Roman" w:hAnsi="Arial Narrow" w:cs="Times New Roman"/>
          <w:i/>
          <w:sz w:val="22"/>
          <w:szCs w:val="22"/>
        </w:rPr>
        <w:t>Sisavita</w:t>
      </w:r>
      <w:proofErr w:type="spellEnd"/>
      <w:r w:rsidRPr="001E18F0">
        <w:rPr>
          <w:rFonts w:ascii="Arial Narrow" w:eastAsia="Times New Roman" w:hAnsi="Arial Narrow" w:cs="Times New Roman"/>
          <w:i/>
          <w:sz w:val="22"/>
          <w:szCs w:val="22"/>
        </w:rPr>
        <w:t xml:space="preserve">-Ampliación: Ubicado en jurisdicción de la Corporación Autónoma Regional de Norte de Santander (Corponor), en el departamento de Norte de Santander; municipio de </w:t>
      </w:r>
      <w:proofErr w:type="spellStart"/>
      <w:r w:rsidRPr="001E18F0">
        <w:rPr>
          <w:rFonts w:ascii="Arial Narrow" w:eastAsia="Times New Roman" w:hAnsi="Arial Narrow" w:cs="Times New Roman"/>
          <w:i/>
          <w:sz w:val="22"/>
          <w:szCs w:val="22"/>
        </w:rPr>
        <w:t>Cucutilla</w:t>
      </w:r>
      <w:proofErr w:type="spellEnd"/>
      <w:r w:rsidRPr="001E18F0">
        <w:rPr>
          <w:rFonts w:ascii="Arial Narrow" w:eastAsia="Times New Roman" w:hAnsi="Arial Narrow" w:cs="Times New Roman"/>
          <w:i/>
          <w:sz w:val="22"/>
          <w:szCs w:val="22"/>
        </w:rPr>
        <w:t>, y cuyas coordenadas se encuentran en la Tabla número 30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31 PNR </w:t>
      </w:r>
      <w:proofErr w:type="spellStart"/>
      <w:r w:rsidRPr="001E18F0">
        <w:rPr>
          <w:rFonts w:ascii="Arial Narrow" w:eastAsia="Times New Roman" w:hAnsi="Arial Narrow" w:cs="Times New Roman"/>
          <w:i/>
          <w:sz w:val="22"/>
          <w:szCs w:val="22"/>
        </w:rPr>
        <w:t>Santurbán</w:t>
      </w:r>
      <w:proofErr w:type="spellEnd"/>
      <w:r w:rsidRPr="001E18F0">
        <w:rPr>
          <w:rFonts w:ascii="Arial Narrow" w:eastAsia="Times New Roman" w:hAnsi="Arial Narrow" w:cs="Times New Roman"/>
          <w:i/>
          <w:sz w:val="22"/>
          <w:szCs w:val="22"/>
        </w:rPr>
        <w:t>-Arboledas: Ubicado en jurisdicción de la Corporación Autónoma Regional de Norte de Santander (Corponor), en el departamento de Norte de Santander, municipio de Arboledas, y cuyas coordenadas se encuentran en la Tabla número 31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32 Área Acueducto </w:t>
      </w:r>
      <w:proofErr w:type="spellStart"/>
      <w:r w:rsidRPr="001E18F0">
        <w:rPr>
          <w:rFonts w:ascii="Arial Narrow" w:eastAsia="Times New Roman" w:hAnsi="Arial Narrow" w:cs="Times New Roman"/>
          <w:i/>
          <w:sz w:val="22"/>
          <w:szCs w:val="22"/>
        </w:rPr>
        <w:t>Sardinata</w:t>
      </w:r>
      <w:proofErr w:type="spellEnd"/>
      <w:r w:rsidRPr="001E18F0">
        <w:rPr>
          <w:rFonts w:ascii="Arial Narrow" w:eastAsia="Times New Roman" w:hAnsi="Arial Narrow" w:cs="Times New Roman"/>
          <w:i/>
          <w:sz w:val="22"/>
          <w:szCs w:val="22"/>
        </w:rPr>
        <w:t xml:space="preserve">: Ubicado en jurisdicción de la Corporación Autónoma Regional de Norte de Santander (Corponor), en el departamento de Norte de Santander, municipio de </w:t>
      </w:r>
      <w:proofErr w:type="spellStart"/>
      <w:r w:rsidRPr="001E18F0">
        <w:rPr>
          <w:rFonts w:ascii="Arial Narrow" w:eastAsia="Times New Roman" w:hAnsi="Arial Narrow" w:cs="Times New Roman"/>
          <w:i/>
          <w:sz w:val="22"/>
          <w:szCs w:val="22"/>
        </w:rPr>
        <w:t>Sardinata</w:t>
      </w:r>
      <w:proofErr w:type="spellEnd"/>
      <w:r w:rsidRPr="001E18F0">
        <w:rPr>
          <w:rFonts w:ascii="Arial Narrow" w:eastAsia="Times New Roman" w:hAnsi="Arial Narrow" w:cs="Times New Roman"/>
          <w:i/>
          <w:sz w:val="22"/>
          <w:szCs w:val="22"/>
        </w:rPr>
        <w:t>, y cuyas coordenadas se encuentran en la Tabla número 32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33 Cerro El </w:t>
      </w:r>
      <w:proofErr w:type="spellStart"/>
      <w:r w:rsidRPr="001E18F0">
        <w:rPr>
          <w:rFonts w:ascii="Arial Narrow" w:eastAsia="Times New Roman" w:hAnsi="Arial Narrow" w:cs="Times New Roman"/>
          <w:i/>
          <w:sz w:val="22"/>
          <w:szCs w:val="22"/>
        </w:rPr>
        <w:t>Tabano</w:t>
      </w:r>
      <w:proofErr w:type="spellEnd"/>
      <w:r w:rsidRPr="001E18F0">
        <w:rPr>
          <w:rFonts w:ascii="Arial Narrow" w:eastAsia="Times New Roman" w:hAnsi="Arial Narrow" w:cs="Times New Roman"/>
          <w:i/>
          <w:sz w:val="22"/>
          <w:szCs w:val="22"/>
        </w:rPr>
        <w:t xml:space="preserve">: Ubicado en jurisdicción de la Corporación Autónoma Regional de Norte de Santander (Corponor), en el departamento de Norte de Santander, municipios de </w:t>
      </w:r>
      <w:proofErr w:type="spellStart"/>
      <w:r w:rsidRPr="001E18F0">
        <w:rPr>
          <w:rFonts w:ascii="Arial Narrow" w:eastAsia="Times New Roman" w:hAnsi="Arial Narrow" w:cs="Times New Roman"/>
          <w:i/>
          <w:sz w:val="22"/>
          <w:szCs w:val="22"/>
        </w:rPr>
        <w:t>Chinácota</w:t>
      </w:r>
      <w:proofErr w:type="spellEnd"/>
      <w:r w:rsidRPr="001E18F0">
        <w:rPr>
          <w:rFonts w:ascii="Arial Narrow" w:eastAsia="Times New Roman" w:hAnsi="Arial Narrow" w:cs="Times New Roman"/>
          <w:i/>
          <w:sz w:val="22"/>
          <w:szCs w:val="22"/>
        </w:rPr>
        <w:t xml:space="preserve">, </w:t>
      </w:r>
      <w:proofErr w:type="spellStart"/>
      <w:r w:rsidRPr="001E18F0">
        <w:rPr>
          <w:rFonts w:ascii="Arial Narrow" w:eastAsia="Times New Roman" w:hAnsi="Arial Narrow" w:cs="Times New Roman"/>
          <w:i/>
          <w:sz w:val="22"/>
          <w:szCs w:val="22"/>
        </w:rPr>
        <w:t>Ragonvali</w:t>
      </w:r>
      <w:proofErr w:type="spellEnd"/>
      <w:r w:rsidRPr="001E18F0">
        <w:rPr>
          <w:rFonts w:ascii="Arial Narrow" w:eastAsia="Times New Roman" w:hAnsi="Arial Narrow" w:cs="Times New Roman"/>
          <w:i/>
          <w:sz w:val="22"/>
          <w:szCs w:val="22"/>
        </w:rPr>
        <w:t>, Herrán, y cuyas coordenadas se encuentran en la Tabla número 33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34 </w:t>
      </w:r>
      <w:proofErr w:type="spellStart"/>
      <w:r w:rsidRPr="001E18F0">
        <w:rPr>
          <w:rFonts w:ascii="Arial Narrow" w:eastAsia="Times New Roman" w:hAnsi="Arial Narrow" w:cs="Times New Roman"/>
          <w:i/>
          <w:sz w:val="22"/>
          <w:szCs w:val="22"/>
        </w:rPr>
        <w:t>Mejue</w:t>
      </w:r>
      <w:proofErr w:type="spellEnd"/>
      <w:r w:rsidRPr="001E18F0">
        <w:rPr>
          <w:rFonts w:ascii="Arial Narrow" w:eastAsia="Times New Roman" w:hAnsi="Arial Narrow" w:cs="Times New Roman"/>
          <w:i/>
          <w:sz w:val="22"/>
          <w:szCs w:val="22"/>
        </w:rPr>
        <w:t xml:space="preserve">: Ubicado en jurisdicción de la Corporación Autónoma Regional de Norte de Santander (Corponor), en el departamento de Norte de Santander, municipios de </w:t>
      </w:r>
      <w:proofErr w:type="spellStart"/>
      <w:r w:rsidRPr="001E18F0">
        <w:rPr>
          <w:rFonts w:ascii="Arial Narrow" w:eastAsia="Times New Roman" w:hAnsi="Arial Narrow" w:cs="Times New Roman"/>
          <w:i/>
          <w:sz w:val="22"/>
          <w:szCs w:val="22"/>
        </w:rPr>
        <w:t>Chinácota</w:t>
      </w:r>
      <w:proofErr w:type="spellEnd"/>
      <w:r w:rsidRPr="001E18F0">
        <w:rPr>
          <w:rFonts w:ascii="Arial Narrow" w:eastAsia="Times New Roman" w:hAnsi="Arial Narrow" w:cs="Times New Roman"/>
          <w:i/>
          <w:sz w:val="22"/>
          <w:szCs w:val="22"/>
        </w:rPr>
        <w:t>, Herrán, Pamplonita, Toledo, y cuyas coordenadas se encuentran en la Tabla número 34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35 Reserva Tibú Sur: Ubicado en jurisdicción de la Corporación Autónoma Regional de Norte de Santander (Corponor), en el departamento de Norte de Santander, municipios de </w:t>
      </w:r>
      <w:proofErr w:type="spellStart"/>
      <w:r w:rsidRPr="001E18F0">
        <w:rPr>
          <w:rFonts w:ascii="Arial Narrow" w:eastAsia="Times New Roman" w:hAnsi="Arial Narrow" w:cs="Times New Roman"/>
          <w:i/>
          <w:sz w:val="22"/>
          <w:szCs w:val="22"/>
        </w:rPr>
        <w:t>Sardinata</w:t>
      </w:r>
      <w:proofErr w:type="spellEnd"/>
      <w:r w:rsidRPr="001E18F0">
        <w:rPr>
          <w:rFonts w:ascii="Arial Narrow" w:eastAsia="Times New Roman" w:hAnsi="Arial Narrow" w:cs="Times New Roman"/>
          <w:i/>
          <w:sz w:val="22"/>
          <w:szCs w:val="22"/>
        </w:rPr>
        <w:t>, Tibú, y cuyas coordenadas se encuentran en la Tabla número 35 del Anexo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lastRenderedPageBreak/>
        <w:t>Polígono 36 Reserva Tibú Norte: Ubicado en jurisdicción de la Corporación Autónoma Regional de Norte de Santander (Corponor), en el departamento de Norte de Santander, municipio de Tibú, y cuyas coordenadas se encuentran en la Tabla número 36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37 Cerro Tasajero: Ubicado en jurisdicción de la Corporación Autónoma Regional de Norte de Santander (Corponor), y cuyas coordenadas se encuentran en la Tabla número 37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38 Reserva Alto </w:t>
      </w:r>
      <w:proofErr w:type="spellStart"/>
      <w:r w:rsidRPr="001E18F0">
        <w:rPr>
          <w:rFonts w:ascii="Arial Narrow" w:eastAsia="Times New Roman" w:hAnsi="Arial Narrow" w:cs="Times New Roman"/>
          <w:i/>
          <w:sz w:val="22"/>
          <w:szCs w:val="22"/>
        </w:rPr>
        <w:t>Mucuras</w:t>
      </w:r>
      <w:proofErr w:type="spellEnd"/>
      <w:r w:rsidRPr="001E18F0">
        <w:rPr>
          <w:rFonts w:ascii="Arial Narrow" w:eastAsia="Times New Roman" w:hAnsi="Arial Narrow" w:cs="Times New Roman"/>
          <w:i/>
          <w:sz w:val="22"/>
          <w:szCs w:val="22"/>
        </w:rPr>
        <w:t xml:space="preserve">-Lomas San Pablo y El </w:t>
      </w:r>
      <w:proofErr w:type="spellStart"/>
      <w:r w:rsidRPr="001E18F0">
        <w:rPr>
          <w:rFonts w:ascii="Arial Narrow" w:eastAsia="Times New Roman" w:hAnsi="Arial Narrow" w:cs="Times New Roman"/>
          <w:i/>
          <w:sz w:val="22"/>
          <w:szCs w:val="22"/>
        </w:rPr>
        <w:t>Peroneo</w:t>
      </w:r>
      <w:proofErr w:type="spellEnd"/>
      <w:r w:rsidRPr="001E18F0">
        <w:rPr>
          <w:rFonts w:ascii="Arial Narrow" w:eastAsia="Times New Roman" w:hAnsi="Arial Narrow" w:cs="Times New Roman"/>
          <w:i/>
          <w:sz w:val="22"/>
          <w:szCs w:val="22"/>
        </w:rPr>
        <w:t>: Ubicado en jurisdicción de la Corporación Autónoma Regional de Norte de Santander (Corponor), en el departamento de Norte de Santander, municipios de Arboledas, Salazar, y cuyas coordenadas se encuentran en la Tabla número 38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39 Reserva La Salina: Ubicado en jurisdicción de la Corporación Autónoma Regional de Norte de Santander (Corponor), en el departamento de Norte de Santander, y cuyas coordenadas se encuentran en la Tabla número 39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40 PNR </w:t>
      </w:r>
      <w:proofErr w:type="spellStart"/>
      <w:r w:rsidRPr="001E18F0">
        <w:rPr>
          <w:rFonts w:ascii="Arial Narrow" w:eastAsia="Times New Roman" w:hAnsi="Arial Narrow" w:cs="Times New Roman"/>
          <w:i/>
          <w:sz w:val="22"/>
          <w:szCs w:val="22"/>
        </w:rPr>
        <w:t>Almorzadero</w:t>
      </w:r>
      <w:proofErr w:type="spellEnd"/>
      <w:r w:rsidRPr="001E18F0">
        <w:rPr>
          <w:rFonts w:ascii="Arial Narrow" w:eastAsia="Times New Roman" w:hAnsi="Arial Narrow" w:cs="Times New Roman"/>
          <w:i/>
          <w:sz w:val="22"/>
          <w:szCs w:val="22"/>
        </w:rPr>
        <w:t xml:space="preserve"> este: Ubicado en jurisdicción de la Corporación Autónoma Regional de Norte de Santander (Corponor), en el departamento de Norte de Santander, y cuyas coordenadas se encuentran en la Tabla número 40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41 Bahía Honda-Hondita: Ubicado en jurisdicción de la Corporación Autónoma Regional de La Guajira (</w:t>
      </w:r>
      <w:proofErr w:type="spellStart"/>
      <w:r w:rsidRPr="001E18F0">
        <w:rPr>
          <w:rFonts w:ascii="Arial Narrow" w:eastAsia="Times New Roman" w:hAnsi="Arial Narrow" w:cs="Times New Roman"/>
          <w:i/>
          <w:sz w:val="22"/>
          <w:szCs w:val="22"/>
        </w:rPr>
        <w:t>Corpoguajira</w:t>
      </w:r>
      <w:proofErr w:type="spellEnd"/>
      <w:r w:rsidRPr="001E18F0">
        <w:rPr>
          <w:rFonts w:ascii="Arial Narrow" w:eastAsia="Times New Roman" w:hAnsi="Arial Narrow" w:cs="Times New Roman"/>
          <w:i/>
          <w:sz w:val="22"/>
          <w:szCs w:val="22"/>
        </w:rPr>
        <w:t>), y cuyas coordenadas se encuentran en la Tabla número 41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42 Cortadera: Ubicado en jurisdicción de la Corporación Autónoma Regional de Boyacá (</w:t>
      </w:r>
      <w:proofErr w:type="spellStart"/>
      <w:r w:rsidRPr="001E18F0">
        <w:rPr>
          <w:rFonts w:ascii="Arial Narrow" w:eastAsia="Times New Roman" w:hAnsi="Arial Narrow" w:cs="Times New Roman"/>
          <w:i/>
          <w:sz w:val="22"/>
          <w:szCs w:val="22"/>
        </w:rPr>
        <w:t>Corpoboyacá</w:t>
      </w:r>
      <w:proofErr w:type="spellEnd"/>
      <w:r w:rsidRPr="001E18F0">
        <w:rPr>
          <w:rFonts w:ascii="Arial Narrow" w:eastAsia="Times New Roman" w:hAnsi="Arial Narrow" w:cs="Times New Roman"/>
          <w:i/>
          <w:sz w:val="22"/>
          <w:szCs w:val="22"/>
        </w:rPr>
        <w:t>), y cuyas coordenadas se encuentran en la Tabla número 42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43 Laguna </w:t>
      </w:r>
      <w:proofErr w:type="spellStart"/>
      <w:r w:rsidRPr="001E18F0">
        <w:rPr>
          <w:rFonts w:ascii="Arial Narrow" w:eastAsia="Times New Roman" w:hAnsi="Arial Narrow" w:cs="Times New Roman"/>
          <w:i/>
          <w:sz w:val="22"/>
          <w:szCs w:val="22"/>
        </w:rPr>
        <w:t>Carimagua</w:t>
      </w:r>
      <w:proofErr w:type="spellEnd"/>
      <w:r w:rsidRPr="001E18F0">
        <w:rPr>
          <w:rFonts w:ascii="Arial Narrow" w:eastAsia="Times New Roman" w:hAnsi="Arial Narrow" w:cs="Times New Roman"/>
          <w:i/>
          <w:sz w:val="22"/>
          <w:szCs w:val="22"/>
        </w:rPr>
        <w:t>: Ubicado en jurisdicción de la Corporación para el Desarrollo Sostenible del Área de Manejo Especial de La Macarena - y cuyas coordenadas se encuentran en la Tabla número 43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44 Bosques </w:t>
      </w:r>
      <w:proofErr w:type="spellStart"/>
      <w:r w:rsidRPr="001E18F0">
        <w:rPr>
          <w:rFonts w:ascii="Arial Narrow" w:eastAsia="Times New Roman" w:hAnsi="Arial Narrow" w:cs="Times New Roman"/>
          <w:i/>
          <w:sz w:val="22"/>
          <w:szCs w:val="22"/>
        </w:rPr>
        <w:t>Guayupe</w:t>
      </w:r>
      <w:proofErr w:type="spellEnd"/>
      <w:r w:rsidRPr="001E18F0">
        <w:rPr>
          <w:rFonts w:ascii="Arial Narrow" w:eastAsia="Times New Roman" w:hAnsi="Arial Narrow" w:cs="Times New Roman"/>
          <w:i/>
          <w:sz w:val="22"/>
          <w:szCs w:val="22"/>
        </w:rPr>
        <w:t>: Ubicado en jurisdicción de la Corporación para el Desarrollo Sostenible del Área de Manejo Especial de La Macarena (Cormacarena), y cuyas coordenadas se encuentran en la Tabla número 44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45 Piedemonte-Páramos-Bosque de Niebla: Ubicado en jurisdicción de la Corporación para el Desarrollo Sostenible del Sur de la Amazonia (</w:t>
      </w:r>
      <w:proofErr w:type="spellStart"/>
      <w:r w:rsidRPr="001E18F0">
        <w:rPr>
          <w:rFonts w:ascii="Arial Narrow" w:eastAsia="Times New Roman" w:hAnsi="Arial Narrow" w:cs="Times New Roman"/>
          <w:i/>
          <w:sz w:val="22"/>
          <w:szCs w:val="22"/>
        </w:rPr>
        <w:t>Corpoamazonia</w:t>
      </w:r>
      <w:proofErr w:type="spellEnd"/>
      <w:r w:rsidRPr="001E18F0">
        <w:rPr>
          <w:rFonts w:ascii="Arial Narrow" w:eastAsia="Times New Roman" w:hAnsi="Arial Narrow" w:cs="Times New Roman"/>
          <w:i/>
          <w:sz w:val="22"/>
          <w:szCs w:val="22"/>
        </w:rPr>
        <w:t>); en el departamento de Caquetá, y cuyas coordenadas se encuentran en la Tabla número 45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lastRenderedPageBreak/>
        <w:t xml:space="preserve">Polígono 46 Zona árida Cañón Río </w:t>
      </w:r>
      <w:proofErr w:type="spellStart"/>
      <w:r w:rsidRPr="001E18F0">
        <w:rPr>
          <w:rFonts w:ascii="Arial Narrow" w:eastAsia="Times New Roman" w:hAnsi="Arial Narrow" w:cs="Times New Roman"/>
          <w:i/>
          <w:sz w:val="22"/>
          <w:szCs w:val="22"/>
        </w:rPr>
        <w:t>Chicamocha</w:t>
      </w:r>
      <w:proofErr w:type="spellEnd"/>
      <w:r w:rsidRPr="001E18F0">
        <w:rPr>
          <w:rFonts w:ascii="Arial Narrow" w:eastAsia="Times New Roman" w:hAnsi="Arial Narrow" w:cs="Times New Roman"/>
          <w:i/>
          <w:sz w:val="22"/>
          <w:szCs w:val="22"/>
        </w:rPr>
        <w:t>: Ubicado en jurisdicción de la Corporación Autónoma Regional para la Defensa de la Meseta de Bucaramanga (CDMB), en el departamento de Santander, municipio de Piedecuesta, y cuyas coordenadas se encuentran en la Tabla número 46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47 Cañón Rio Lebrija: Ubicado en jurisdicción de la Corporación Autónoma Regional para la Defensa de la Meseta de Bucaramanga (CDMB), en el departamento de Santander, municipios de </w:t>
      </w:r>
      <w:proofErr w:type="spellStart"/>
      <w:r w:rsidRPr="001E18F0">
        <w:rPr>
          <w:rFonts w:ascii="Arial Narrow" w:eastAsia="Times New Roman" w:hAnsi="Arial Narrow" w:cs="Times New Roman"/>
          <w:i/>
          <w:sz w:val="22"/>
          <w:szCs w:val="22"/>
        </w:rPr>
        <w:t>Rionegro</w:t>
      </w:r>
      <w:proofErr w:type="spellEnd"/>
      <w:r w:rsidRPr="001E18F0">
        <w:rPr>
          <w:rFonts w:ascii="Arial Narrow" w:eastAsia="Times New Roman" w:hAnsi="Arial Narrow" w:cs="Times New Roman"/>
          <w:i/>
          <w:sz w:val="22"/>
          <w:szCs w:val="22"/>
        </w:rPr>
        <w:t>, Lebrija, Bucaramanga, y cuyas coordenadas se encuentran en la Tabla número 47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48 Bosques El Aburrido Honduras: Ubicado en jurisdicción de la Corporación Autónoma Regional para la Defensa de la Meseta de Bucaramanga (CDMB), y cuyas coordenadas se encuentran en la Tabla número 48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49 Área protegida microcuenca Río </w:t>
      </w:r>
      <w:proofErr w:type="spellStart"/>
      <w:r w:rsidRPr="001E18F0">
        <w:rPr>
          <w:rFonts w:ascii="Arial Narrow" w:eastAsia="Times New Roman" w:hAnsi="Arial Narrow" w:cs="Times New Roman"/>
          <w:i/>
          <w:sz w:val="22"/>
          <w:szCs w:val="22"/>
        </w:rPr>
        <w:t>Tona</w:t>
      </w:r>
      <w:proofErr w:type="spellEnd"/>
      <w:r w:rsidRPr="001E18F0">
        <w:rPr>
          <w:rFonts w:ascii="Arial Narrow" w:eastAsia="Times New Roman" w:hAnsi="Arial Narrow" w:cs="Times New Roman"/>
          <w:i/>
          <w:sz w:val="22"/>
          <w:szCs w:val="22"/>
        </w:rPr>
        <w:t xml:space="preserve">: Ubicado en jurisdicción de la Corporación Autónoma Regional para la Defensa de la Meseta de Bucaramanga (CDMB), en el departamento de Santander, municipio de </w:t>
      </w:r>
      <w:proofErr w:type="spellStart"/>
      <w:r w:rsidRPr="001E18F0">
        <w:rPr>
          <w:rFonts w:ascii="Arial Narrow" w:eastAsia="Times New Roman" w:hAnsi="Arial Narrow" w:cs="Times New Roman"/>
          <w:i/>
          <w:sz w:val="22"/>
          <w:szCs w:val="22"/>
        </w:rPr>
        <w:t>Tona</w:t>
      </w:r>
      <w:proofErr w:type="spellEnd"/>
      <w:r w:rsidRPr="001E18F0">
        <w:rPr>
          <w:rFonts w:ascii="Arial Narrow" w:eastAsia="Times New Roman" w:hAnsi="Arial Narrow" w:cs="Times New Roman"/>
          <w:i/>
          <w:sz w:val="22"/>
          <w:szCs w:val="22"/>
        </w:rPr>
        <w:t xml:space="preserve"> y cuyas coordenadas se encuentran en la Tabla número 49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50 Cerro </w:t>
      </w:r>
      <w:proofErr w:type="spellStart"/>
      <w:r w:rsidRPr="001E18F0">
        <w:rPr>
          <w:rFonts w:ascii="Arial Narrow" w:eastAsia="Times New Roman" w:hAnsi="Arial Narrow" w:cs="Times New Roman"/>
          <w:i/>
          <w:sz w:val="22"/>
          <w:szCs w:val="22"/>
        </w:rPr>
        <w:t>Chimayoy</w:t>
      </w:r>
      <w:proofErr w:type="spellEnd"/>
      <w:r w:rsidRPr="001E18F0">
        <w:rPr>
          <w:rFonts w:ascii="Arial Narrow" w:eastAsia="Times New Roman" w:hAnsi="Arial Narrow" w:cs="Times New Roman"/>
          <w:i/>
          <w:sz w:val="22"/>
          <w:szCs w:val="22"/>
        </w:rPr>
        <w:t>: Ubicado en jurisdicción de la Corporación Autónoma Regional de Nariño (Corponariño), en el departamento de Nariño, municipios de La Unión, Belén, San Bernardo, San Pedro de Cartago, y cuyas coordenadas se encuentran en la Tabla número 50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51 Piedemonte Andino Pacífico: Ubicado en jurisdicción de la Corporación Autónoma Regional de Nariño (Corponariño), en el departamento de Nariño, municipios de Samaniego, La Llanada, Sotomayor y </w:t>
      </w:r>
      <w:proofErr w:type="spellStart"/>
      <w:r w:rsidRPr="001E18F0">
        <w:rPr>
          <w:rFonts w:ascii="Arial Narrow" w:eastAsia="Times New Roman" w:hAnsi="Arial Narrow" w:cs="Times New Roman"/>
          <w:i/>
          <w:sz w:val="22"/>
          <w:szCs w:val="22"/>
        </w:rPr>
        <w:t>Cumbitara</w:t>
      </w:r>
      <w:proofErr w:type="spellEnd"/>
      <w:r w:rsidRPr="001E18F0">
        <w:rPr>
          <w:rFonts w:ascii="Arial Narrow" w:eastAsia="Times New Roman" w:hAnsi="Arial Narrow" w:cs="Times New Roman"/>
          <w:i/>
          <w:sz w:val="22"/>
          <w:szCs w:val="22"/>
        </w:rPr>
        <w:t>, y cuyas coordenadas se encuentran en la Tabla número 51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52 Enclave </w:t>
      </w:r>
      <w:proofErr w:type="spellStart"/>
      <w:r w:rsidRPr="001E18F0">
        <w:rPr>
          <w:rFonts w:ascii="Arial Narrow" w:eastAsia="Times New Roman" w:hAnsi="Arial Narrow" w:cs="Times New Roman"/>
          <w:i/>
          <w:sz w:val="22"/>
          <w:szCs w:val="22"/>
        </w:rPr>
        <w:t>Subxerofitico</w:t>
      </w:r>
      <w:proofErr w:type="spellEnd"/>
      <w:r w:rsidRPr="001E18F0">
        <w:rPr>
          <w:rFonts w:ascii="Arial Narrow" w:eastAsia="Times New Roman" w:hAnsi="Arial Narrow" w:cs="Times New Roman"/>
          <w:i/>
          <w:sz w:val="22"/>
          <w:szCs w:val="22"/>
        </w:rPr>
        <w:t xml:space="preserve"> del Patía: Ubicado en jurisdicción de la Corporación Autónoma Regional de Nariño (Corponariño), en el departamento de Nariño, municipios de El Tambo, El Peñol y </w:t>
      </w:r>
      <w:proofErr w:type="spellStart"/>
      <w:r w:rsidRPr="001E18F0">
        <w:rPr>
          <w:rFonts w:ascii="Arial Narrow" w:eastAsia="Times New Roman" w:hAnsi="Arial Narrow" w:cs="Times New Roman"/>
          <w:i/>
          <w:sz w:val="22"/>
          <w:szCs w:val="22"/>
        </w:rPr>
        <w:t>Taminango</w:t>
      </w:r>
      <w:proofErr w:type="spellEnd"/>
      <w:r w:rsidRPr="001E18F0">
        <w:rPr>
          <w:rFonts w:ascii="Arial Narrow" w:eastAsia="Times New Roman" w:hAnsi="Arial Narrow" w:cs="Times New Roman"/>
          <w:i/>
          <w:sz w:val="22"/>
          <w:szCs w:val="22"/>
        </w:rPr>
        <w:t>, y cuyas coordenadas se encuentran en la Tabla número 52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53 Ampliación del Distrito de conservación de suelos Cañón de Río grande: Ubicado en jurisdicción de la Corporación Autónoma Regional del Valle del Cauca (CVC), municipios de Restrepo y La Cumbre y cuyas coordenadas se encuentran en la Tabla número 53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 xml:space="preserve">Polígono 54 Serranía de los Paraguas: Ubicado en jurisdicción de la Corporación Autónoma Regional del Valle del Cauca (CVC), municipios de El Cairo, El </w:t>
      </w:r>
      <w:proofErr w:type="spellStart"/>
      <w:r w:rsidRPr="001E18F0">
        <w:rPr>
          <w:rFonts w:ascii="Arial Narrow" w:eastAsia="Times New Roman" w:hAnsi="Arial Narrow" w:cs="Times New Roman"/>
          <w:i/>
          <w:sz w:val="22"/>
          <w:szCs w:val="22"/>
        </w:rPr>
        <w:t>Dovio</w:t>
      </w:r>
      <w:proofErr w:type="spellEnd"/>
      <w:r w:rsidRPr="001E18F0">
        <w:rPr>
          <w:rFonts w:ascii="Arial Narrow" w:eastAsia="Times New Roman" w:hAnsi="Arial Narrow" w:cs="Times New Roman"/>
          <w:i/>
          <w:sz w:val="22"/>
          <w:szCs w:val="22"/>
        </w:rPr>
        <w:t xml:space="preserve"> y Versalles, y cuyas coordenadas se encuentran en la Tabla número 54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lastRenderedPageBreak/>
        <w:t xml:space="preserve">Polígono 55 </w:t>
      </w:r>
      <w:proofErr w:type="spellStart"/>
      <w:r w:rsidRPr="001E18F0">
        <w:rPr>
          <w:rFonts w:ascii="Arial Narrow" w:eastAsia="Times New Roman" w:hAnsi="Arial Narrow" w:cs="Times New Roman"/>
          <w:i/>
          <w:sz w:val="22"/>
          <w:szCs w:val="22"/>
        </w:rPr>
        <w:t>Mateguadua</w:t>
      </w:r>
      <w:proofErr w:type="spellEnd"/>
      <w:r w:rsidRPr="001E18F0">
        <w:rPr>
          <w:rFonts w:ascii="Arial Narrow" w:eastAsia="Times New Roman" w:hAnsi="Arial Narrow" w:cs="Times New Roman"/>
          <w:i/>
          <w:sz w:val="22"/>
          <w:szCs w:val="22"/>
        </w:rPr>
        <w:t>: Ubicado en jurisdicción de la Corporación Autónoma Regional del Valle del Cauca (CVC), en el municipio de Tuluá y cuyas coordenadas se encuentran en la Tabla número 55 del Anexo número 1 que hace parte integral de la presente resolución.</w:t>
      </w:r>
    </w:p>
    <w:p w:rsidR="00EF43DA" w:rsidRPr="001E18F0" w:rsidRDefault="00EF43DA" w:rsidP="00EF43DA">
      <w:pPr>
        <w:spacing w:after="200" w:line="276" w:lineRule="auto"/>
        <w:rPr>
          <w:rFonts w:ascii="Arial Narrow" w:eastAsia="Times New Roman" w:hAnsi="Arial Narrow" w:cs="Times New Roman"/>
          <w:i/>
          <w:sz w:val="22"/>
          <w:szCs w:val="22"/>
        </w:rPr>
      </w:pPr>
      <w:r w:rsidRPr="001E18F0">
        <w:rPr>
          <w:rFonts w:ascii="Arial Narrow" w:eastAsia="Times New Roman" w:hAnsi="Arial Narrow" w:cs="Times New Roman"/>
          <w:i/>
          <w:sz w:val="22"/>
          <w:szCs w:val="22"/>
        </w:rPr>
        <w:t>Polígono 56 Reserva Natural de Río Bravo: Ubicado en jurisdicción de la Corporación Autónoma Regional del Valle del Cauca (CVC), en el municipio de Calima y cuyas coordenadas se encuentran en la Tabla número 56 del Anexo número 1 que hace parte integral de la presente resolución.</w:t>
      </w:r>
    </w:p>
    <w:p w:rsidR="00A2434B" w:rsidRPr="001E18F0" w:rsidRDefault="00EF43DA" w:rsidP="00EF43DA">
      <w:pPr>
        <w:spacing w:after="200" w:line="276" w:lineRule="auto"/>
        <w:rPr>
          <w:rFonts w:ascii="Arial Narrow" w:eastAsia="Times New Roman" w:hAnsi="Arial Narrow" w:cs="Times New Roman"/>
        </w:rPr>
      </w:pPr>
      <w:r w:rsidRPr="001E18F0">
        <w:rPr>
          <w:rFonts w:ascii="Arial Narrow" w:eastAsia="Times New Roman" w:hAnsi="Arial Narrow" w:cs="Times New Roman"/>
          <w:i/>
          <w:sz w:val="22"/>
          <w:szCs w:val="22"/>
        </w:rPr>
        <w:t xml:space="preserve">Polígono 57 Reserva Natural Laguna de Sonso DRMI: Ubicado en jurisdicción de la Corporación Autónoma Regional del Valle del Cauca (CVC), y cuyas coordenadas se encuentran en la Tabla número 57 del Anexo </w:t>
      </w:r>
      <w:r w:rsidRPr="001E18F0">
        <w:rPr>
          <w:rFonts w:ascii="Arial Narrow" w:eastAsia="Times New Roman" w:hAnsi="Arial Narrow" w:cs="Times New Roman"/>
          <w:i/>
        </w:rPr>
        <w:t xml:space="preserve">número 1 que hace parte integral de la presente resolución. </w:t>
      </w:r>
      <w:r w:rsidR="00A2434B" w:rsidRPr="001E18F0">
        <w:rPr>
          <w:rFonts w:ascii="Arial Narrow" w:eastAsia="Times New Roman" w:hAnsi="Arial Narrow" w:cs="Times New Roman"/>
          <w:i/>
        </w:rPr>
        <w:t>[…]”</w:t>
      </w:r>
    </w:p>
    <w:p w:rsidR="00231BDB" w:rsidRPr="001E18F0" w:rsidRDefault="00231BDB" w:rsidP="00747C30">
      <w:pPr>
        <w:spacing w:after="200" w:line="276" w:lineRule="auto"/>
        <w:jc w:val="both"/>
        <w:rPr>
          <w:rFonts w:ascii="Arial Narrow" w:eastAsia="Times New Roman" w:hAnsi="Arial Narrow" w:cs="Times New Roman"/>
        </w:rPr>
      </w:pPr>
      <w:r w:rsidRPr="001E18F0">
        <w:rPr>
          <w:rFonts w:ascii="Arial Narrow" w:eastAsia="Times New Roman" w:hAnsi="Arial Narrow" w:cs="Times New Roman"/>
        </w:rPr>
        <w:t xml:space="preserve">Por su parte, </w:t>
      </w:r>
      <w:r w:rsidR="00270356" w:rsidRPr="001E18F0">
        <w:rPr>
          <w:rFonts w:ascii="Arial Narrow" w:eastAsia="Times New Roman" w:hAnsi="Arial Narrow" w:cs="Times New Roman"/>
        </w:rPr>
        <w:t xml:space="preserve">fundamentada en los avances reportados por cada una de las Autoridades </w:t>
      </w:r>
      <w:r w:rsidR="001C5C55" w:rsidRPr="001E18F0">
        <w:rPr>
          <w:rFonts w:ascii="Arial Narrow" w:eastAsia="Times New Roman" w:hAnsi="Arial Narrow" w:cs="Times New Roman"/>
        </w:rPr>
        <w:t>Ambientales</w:t>
      </w:r>
      <w:r w:rsidR="00270356" w:rsidRPr="001E18F0">
        <w:rPr>
          <w:rFonts w:ascii="Arial Narrow" w:eastAsia="Times New Roman" w:hAnsi="Arial Narrow" w:cs="Times New Roman"/>
        </w:rPr>
        <w:t xml:space="preserve"> Regionales</w:t>
      </w:r>
      <w:r w:rsidR="00270356" w:rsidRPr="001E18F0">
        <w:rPr>
          <w:rStyle w:val="Refdenotaalpie"/>
          <w:rFonts w:ascii="Arial Narrow" w:eastAsia="Times New Roman" w:hAnsi="Arial Narrow" w:cs="Times New Roman"/>
        </w:rPr>
        <w:footnoteReference w:id="12"/>
      </w:r>
      <w:r w:rsidR="001C5C55" w:rsidRPr="001E18F0">
        <w:rPr>
          <w:rFonts w:ascii="Arial Narrow" w:eastAsia="Times New Roman" w:hAnsi="Arial Narrow" w:cs="Times New Roman"/>
        </w:rPr>
        <w:t xml:space="preserve">, y evidenciados por este Ministerio a través del informe presentado por Parques </w:t>
      </w:r>
      <w:r w:rsidR="000B4604" w:rsidRPr="001E18F0">
        <w:rPr>
          <w:rFonts w:ascii="Arial Narrow" w:eastAsia="Times New Roman" w:hAnsi="Arial Narrow" w:cs="Times New Roman"/>
        </w:rPr>
        <w:t>Nacionales Naturales</w:t>
      </w:r>
      <w:r w:rsidR="00872E9F" w:rsidRPr="001E18F0">
        <w:rPr>
          <w:rFonts w:ascii="Arial Narrow" w:eastAsia="Times New Roman" w:hAnsi="Arial Narrow" w:cs="Times New Roman"/>
        </w:rPr>
        <w:t>, mediante radicado E1-2018-029670</w:t>
      </w:r>
      <w:r w:rsidR="001C5C55" w:rsidRPr="001E18F0">
        <w:rPr>
          <w:rFonts w:ascii="Arial Narrow" w:eastAsia="Times New Roman" w:hAnsi="Arial Narrow" w:cs="Times New Roman"/>
        </w:rPr>
        <w:t xml:space="preserve">, como Coordinador del SINAP, </w:t>
      </w:r>
      <w:r w:rsidRPr="001E18F0">
        <w:rPr>
          <w:rFonts w:ascii="Arial Narrow" w:eastAsia="Times New Roman" w:hAnsi="Arial Narrow" w:cs="Times New Roman"/>
        </w:rPr>
        <w:t>la Resolución 2157 de 2017 determinó:</w:t>
      </w:r>
    </w:p>
    <w:p w:rsidR="00231BDB" w:rsidRPr="001E18F0" w:rsidRDefault="008B4CBF" w:rsidP="00231BDB">
      <w:pPr>
        <w:jc w:val="both"/>
        <w:rPr>
          <w:rFonts w:ascii="Arial Narrow" w:hAnsi="Arial Narrow" w:cs="Arial"/>
          <w:i/>
          <w:lang w:val="es-CO"/>
        </w:rPr>
      </w:pPr>
      <w:bookmarkStart w:id="1" w:name="OLE_LINK1"/>
      <w:r w:rsidRPr="001E18F0">
        <w:rPr>
          <w:rFonts w:ascii="Arial Narrow" w:hAnsi="Arial Narrow" w:cs="Arial"/>
          <w:i/>
          <w:lang w:val="es-CO"/>
        </w:rPr>
        <w:t>“</w:t>
      </w:r>
      <w:r w:rsidR="00231BDB" w:rsidRPr="001E18F0">
        <w:rPr>
          <w:rFonts w:ascii="Arial Narrow" w:hAnsi="Arial Narrow" w:cs="Arial"/>
          <w:b/>
          <w:i/>
          <w:lang w:val="es-CO"/>
        </w:rPr>
        <w:t>Artículo 1.-</w:t>
      </w:r>
      <w:bookmarkEnd w:id="1"/>
      <w:r w:rsidR="00231BDB" w:rsidRPr="001E18F0">
        <w:rPr>
          <w:rFonts w:ascii="Arial Narrow" w:hAnsi="Arial Narrow" w:cs="Arial"/>
          <w:i/>
          <w:lang w:val="es-CO"/>
        </w:rPr>
        <w:t xml:space="preserve"> Prórroga. </w:t>
      </w:r>
      <w:r w:rsidR="00231BDB" w:rsidRPr="001E18F0">
        <w:rPr>
          <w:rFonts w:ascii="Arial Narrow" w:hAnsi="Arial Narrow" w:cs="Arial"/>
          <w:i/>
          <w:color w:val="000000"/>
        </w:rPr>
        <w:t xml:space="preserve">Prorrogar por el término de un (1) año, contado a partir de la publicación del presente acto administrativo, </w:t>
      </w:r>
      <w:r w:rsidR="00231BDB" w:rsidRPr="001E18F0">
        <w:rPr>
          <w:rFonts w:ascii="Arial Narrow" w:hAnsi="Arial Narrow" w:cs="Arial"/>
          <w:i/>
        </w:rPr>
        <w:t xml:space="preserve">las </w:t>
      </w:r>
      <w:r w:rsidR="00231BDB" w:rsidRPr="001E18F0">
        <w:rPr>
          <w:rFonts w:ascii="Arial Narrow" w:hAnsi="Arial Narrow" w:cs="Arial"/>
          <w:i/>
          <w:color w:val="000000"/>
        </w:rPr>
        <w:t xml:space="preserve">siguientes </w:t>
      </w:r>
      <w:r w:rsidR="00231BDB" w:rsidRPr="001E18F0">
        <w:rPr>
          <w:rFonts w:ascii="Arial Narrow" w:hAnsi="Arial Narrow" w:cs="Arial"/>
          <w:i/>
        </w:rPr>
        <w:t xml:space="preserve">zonas de protección y desarrollo de los recursos naturales renovables y del medio ambiente, establecidas en </w:t>
      </w:r>
      <w:r w:rsidR="00231BDB" w:rsidRPr="001E18F0">
        <w:rPr>
          <w:rFonts w:ascii="Arial Narrow" w:hAnsi="Arial Narrow" w:cs="Arial"/>
          <w:i/>
          <w:lang w:val="es-CO"/>
        </w:rPr>
        <w:t xml:space="preserve">la Resolución 1814 de 12 de agosto de 2015: </w:t>
      </w:r>
    </w:p>
    <w:p w:rsidR="00231BDB" w:rsidRPr="001E18F0" w:rsidRDefault="00231BDB" w:rsidP="00231BDB">
      <w:pPr>
        <w:jc w:val="both"/>
        <w:rPr>
          <w:rFonts w:ascii="Arial Narrow" w:hAnsi="Arial Narrow" w:cs="Arial"/>
          <w:i/>
          <w:color w:val="000000"/>
        </w:rPr>
      </w:pP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3 Relictos de Caoba de </w:t>
      </w:r>
      <w:proofErr w:type="spellStart"/>
      <w:r w:rsidRPr="001E18F0">
        <w:rPr>
          <w:rFonts w:ascii="Arial Narrow" w:hAnsi="Arial Narrow" w:cs="Arial"/>
          <w:i/>
          <w:color w:val="000000"/>
        </w:rPr>
        <w:t>Juradó</w:t>
      </w:r>
      <w:proofErr w:type="spellEnd"/>
      <w:r w:rsidRPr="001E18F0">
        <w:rPr>
          <w:rFonts w:ascii="Arial Narrow" w:hAnsi="Arial Narrow" w:cs="Arial"/>
          <w:i/>
          <w:color w:val="000000"/>
        </w:rPr>
        <w:t xml:space="preserve">: Ubicado en jurisdicción de Corporación Autónoma Regional para el Desarrollo Sostenible del Chocó (Codechocó), en el departamento del Chocó, municipios de </w:t>
      </w:r>
      <w:proofErr w:type="spellStart"/>
      <w:r w:rsidRPr="001E18F0">
        <w:rPr>
          <w:rFonts w:ascii="Arial Narrow" w:hAnsi="Arial Narrow" w:cs="Arial"/>
          <w:i/>
          <w:color w:val="000000"/>
        </w:rPr>
        <w:t>Juradó-Riosucio</w:t>
      </w:r>
      <w:proofErr w:type="spellEnd"/>
      <w:r w:rsidRPr="001E18F0">
        <w:rPr>
          <w:rFonts w:ascii="Arial Narrow" w:hAnsi="Arial Narrow" w:cs="Arial"/>
          <w:i/>
          <w:color w:val="000000"/>
        </w:rPr>
        <w:t xml:space="preserve">. </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8 Bajo Cauca </w:t>
      </w:r>
      <w:proofErr w:type="spellStart"/>
      <w:r w:rsidRPr="001E18F0">
        <w:rPr>
          <w:rFonts w:ascii="Arial Narrow" w:hAnsi="Arial Narrow" w:cs="Arial"/>
          <w:i/>
          <w:color w:val="000000"/>
        </w:rPr>
        <w:t>Nechí</w:t>
      </w:r>
      <w:proofErr w:type="spellEnd"/>
      <w:r w:rsidRPr="001E18F0">
        <w:rPr>
          <w:rFonts w:ascii="Arial Narrow" w:hAnsi="Arial Narrow" w:cs="Arial"/>
          <w:i/>
          <w:color w:val="000000"/>
        </w:rPr>
        <w:t>: Ubicado en jurisdicción de la Corporación Autónoma Regional del Centro de Antioquia (</w:t>
      </w:r>
      <w:proofErr w:type="spellStart"/>
      <w:r w:rsidRPr="001E18F0">
        <w:rPr>
          <w:rFonts w:ascii="Arial Narrow" w:hAnsi="Arial Narrow" w:cs="Arial"/>
          <w:i/>
          <w:color w:val="000000"/>
        </w:rPr>
        <w:t>Corantioquia</w:t>
      </w:r>
      <w:proofErr w:type="spellEnd"/>
      <w:r w:rsidRPr="001E18F0">
        <w:rPr>
          <w:rFonts w:ascii="Arial Narrow" w:hAnsi="Arial Narrow" w:cs="Arial"/>
          <w:i/>
          <w:color w:val="000000"/>
        </w:rPr>
        <w:t>), en el departamento de Antioquia.</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9 Bosque del Gigante: Ubicado en jurisdicción de la Corporación Autónoma Regional de Caldas (</w:t>
      </w:r>
      <w:proofErr w:type="spellStart"/>
      <w:r w:rsidRPr="001E18F0">
        <w:rPr>
          <w:rFonts w:ascii="Arial Narrow" w:hAnsi="Arial Narrow" w:cs="Arial"/>
          <w:i/>
          <w:color w:val="000000"/>
        </w:rPr>
        <w:t>Corpocaldas</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10 </w:t>
      </w:r>
      <w:proofErr w:type="gramStart"/>
      <w:r w:rsidRPr="001E18F0">
        <w:rPr>
          <w:rFonts w:ascii="Arial Narrow" w:hAnsi="Arial Narrow" w:cs="Arial"/>
          <w:i/>
          <w:color w:val="000000"/>
        </w:rPr>
        <w:t>Cerro</w:t>
      </w:r>
      <w:proofErr w:type="gramEnd"/>
      <w:r w:rsidRPr="001E18F0">
        <w:rPr>
          <w:rFonts w:ascii="Arial Narrow" w:hAnsi="Arial Narrow" w:cs="Arial"/>
          <w:i/>
          <w:color w:val="000000"/>
        </w:rPr>
        <w:t xml:space="preserve"> Guadalupe: Ubicado en jurisdicción de la Corporación Autónoma Regional de Caldas (</w:t>
      </w:r>
      <w:proofErr w:type="spellStart"/>
      <w:r w:rsidRPr="001E18F0">
        <w:rPr>
          <w:rFonts w:ascii="Arial Narrow" w:hAnsi="Arial Narrow" w:cs="Arial"/>
          <w:i/>
          <w:color w:val="000000"/>
        </w:rPr>
        <w:t>Corpocaldas</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11 Área Corozal: Ubicado en jurisdicción de la Corporación Autónoma Regional de Caldas (</w:t>
      </w:r>
      <w:proofErr w:type="spellStart"/>
      <w:r w:rsidRPr="001E18F0">
        <w:rPr>
          <w:rFonts w:ascii="Arial Narrow" w:hAnsi="Arial Narrow" w:cs="Arial"/>
          <w:i/>
          <w:color w:val="000000"/>
        </w:rPr>
        <w:t>Corpocaldas</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lastRenderedPageBreak/>
        <w:t xml:space="preserve">Polígono 12 Cuchilla El Varal: Ubicado en jurisdicción de la Corporación Autónoma Regional de </w:t>
      </w:r>
      <w:proofErr w:type="spellStart"/>
      <w:r w:rsidRPr="001E18F0">
        <w:rPr>
          <w:rFonts w:ascii="Arial Narrow" w:hAnsi="Arial Narrow" w:cs="Arial"/>
          <w:i/>
          <w:color w:val="000000"/>
        </w:rPr>
        <w:t>Chivor</w:t>
      </w:r>
      <w:proofErr w:type="spellEnd"/>
      <w:r w:rsidRPr="001E18F0">
        <w:rPr>
          <w:rFonts w:ascii="Arial Narrow" w:hAnsi="Arial Narrow" w:cs="Arial"/>
          <w:i/>
          <w:color w:val="000000"/>
        </w:rPr>
        <w:t xml:space="preserve"> (</w:t>
      </w:r>
      <w:proofErr w:type="spellStart"/>
      <w:r w:rsidRPr="001E18F0">
        <w:rPr>
          <w:rFonts w:ascii="Arial Narrow" w:hAnsi="Arial Narrow" w:cs="Arial"/>
          <w:i/>
          <w:color w:val="000000"/>
        </w:rPr>
        <w:t>Corpochivor</w:t>
      </w:r>
      <w:proofErr w:type="spellEnd"/>
      <w:r w:rsidRPr="001E18F0">
        <w:rPr>
          <w:rFonts w:ascii="Arial Narrow" w:hAnsi="Arial Narrow" w:cs="Arial"/>
          <w:i/>
          <w:color w:val="000000"/>
        </w:rPr>
        <w:t xml:space="preserve">), también se conoce como cuchilla el volador y el varal, entre los municipios de </w:t>
      </w:r>
      <w:proofErr w:type="spellStart"/>
      <w:r w:rsidRPr="001E18F0">
        <w:rPr>
          <w:rFonts w:ascii="Arial Narrow" w:hAnsi="Arial Narrow" w:cs="Arial"/>
          <w:i/>
          <w:color w:val="000000"/>
        </w:rPr>
        <w:t>Macanal</w:t>
      </w:r>
      <w:proofErr w:type="spellEnd"/>
      <w:r w:rsidRPr="001E18F0">
        <w:rPr>
          <w:rFonts w:ascii="Arial Narrow" w:hAnsi="Arial Narrow" w:cs="Arial"/>
          <w:i/>
          <w:color w:val="000000"/>
        </w:rPr>
        <w:t xml:space="preserve"> y </w:t>
      </w:r>
      <w:proofErr w:type="spellStart"/>
      <w:r w:rsidRPr="001E18F0">
        <w:rPr>
          <w:rFonts w:ascii="Arial Narrow" w:hAnsi="Arial Narrow" w:cs="Arial"/>
          <w:i/>
          <w:color w:val="000000"/>
        </w:rPr>
        <w:t>Garagoa</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14 Cerro </w:t>
      </w:r>
      <w:proofErr w:type="spellStart"/>
      <w:r w:rsidRPr="001E18F0">
        <w:rPr>
          <w:rFonts w:ascii="Arial Narrow" w:hAnsi="Arial Narrow" w:cs="Arial"/>
          <w:i/>
          <w:color w:val="000000"/>
        </w:rPr>
        <w:t>Zamaricote</w:t>
      </w:r>
      <w:proofErr w:type="spellEnd"/>
      <w:r w:rsidRPr="001E18F0">
        <w:rPr>
          <w:rFonts w:ascii="Arial Narrow" w:hAnsi="Arial Narrow" w:cs="Arial"/>
          <w:i/>
          <w:color w:val="000000"/>
        </w:rPr>
        <w:t>: Ubicado en jurisdicción de la Corporación Autónoma Regional de la Orinoquía (</w:t>
      </w:r>
      <w:proofErr w:type="spellStart"/>
      <w:r w:rsidRPr="001E18F0">
        <w:rPr>
          <w:rFonts w:ascii="Arial Narrow" w:hAnsi="Arial Narrow" w:cs="Arial"/>
          <w:i/>
          <w:color w:val="000000"/>
        </w:rPr>
        <w:t>Corporinoquia</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15 Bosque Seco: Ubicado en jurisdicción de la Corporación Autónoma Regional del Centro de Antioquia (</w:t>
      </w:r>
      <w:proofErr w:type="spellStart"/>
      <w:r w:rsidRPr="001E18F0">
        <w:rPr>
          <w:rFonts w:ascii="Arial Narrow" w:hAnsi="Arial Narrow" w:cs="Arial"/>
          <w:i/>
          <w:color w:val="000000"/>
        </w:rPr>
        <w:t>Corantioquia</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17 Los Limones: Ubicado en jurisdicción de la Corporación Autónoma Regional del Tolima (Cortolima)</w:t>
      </w:r>
      <w:proofErr w:type="gramStart"/>
      <w:r w:rsidRPr="001E18F0">
        <w:rPr>
          <w:rFonts w:ascii="Arial Narrow" w:hAnsi="Arial Narrow" w:cs="Arial"/>
          <w:i/>
          <w:color w:val="000000"/>
        </w:rPr>
        <w:t>,.</w:t>
      </w:r>
      <w:proofErr w:type="gramEnd"/>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19 </w:t>
      </w:r>
      <w:proofErr w:type="spellStart"/>
      <w:r w:rsidRPr="001E18F0">
        <w:rPr>
          <w:rFonts w:ascii="Arial Narrow" w:hAnsi="Arial Narrow" w:cs="Arial"/>
          <w:i/>
          <w:color w:val="000000"/>
        </w:rPr>
        <w:t>Anaime</w:t>
      </w:r>
      <w:proofErr w:type="spellEnd"/>
      <w:r w:rsidRPr="001E18F0">
        <w:rPr>
          <w:rFonts w:ascii="Arial Narrow" w:hAnsi="Arial Narrow" w:cs="Arial"/>
          <w:i/>
          <w:color w:val="000000"/>
        </w:rPr>
        <w:t xml:space="preserve"> Chili: ubicado en jurisdicción de la Corporación Autónoma Regional del Tolima (Cortolima), en el corredor ambiental entre los PNN Los Nevados y Las Hermosas y está incluido en la Reserva Forestal Central.</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21 DMRI Humedales Serranía </w:t>
      </w:r>
      <w:proofErr w:type="spellStart"/>
      <w:r w:rsidRPr="001E18F0">
        <w:rPr>
          <w:rFonts w:ascii="Arial Narrow" w:hAnsi="Arial Narrow" w:cs="Arial"/>
          <w:i/>
          <w:color w:val="000000"/>
        </w:rPr>
        <w:t>Abibe</w:t>
      </w:r>
      <w:proofErr w:type="spellEnd"/>
      <w:r w:rsidRPr="001E18F0">
        <w:rPr>
          <w:rFonts w:ascii="Arial Narrow" w:hAnsi="Arial Narrow" w:cs="Arial"/>
          <w:i/>
          <w:color w:val="000000"/>
        </w:rPr>
        <w:t>: Ubicado en jurisdicción de la Corporación para el Desarrollo Sostenible del Urabá (</w:t>
      </w:r>
      <w:proofErr w:type="spellStart"/>
      <w:r w:rsidRPr="001E18F0">
        <w:rPr>
          <w:rFonts w:ascii="Arial Narrow" w:hAnsi="Arial Narrow" w:cs="Arial"/>
          <w:i/>
          <w:color w:val="000000"/>
        </w:rPr>
        <w:t>Corpourabá</w:t>
      </w:r>
      <w:proofErr w:type="spellEnd"/>
      <w:r w:rsidRPr="001E18F0">
        <w:rPr>
          <w:rFonts w:ascii="Arial Narrow" w:hAnsi="Arial Narrow" w:cs="Arial"/>
          <w:i/>
          <w:color w:val="000000"/>
        </w:rPr>
        <w:t xml:space="preserve">), en los municipios de Apartadó, </w:t>
      </w:r>
      <w:proofErr w:type="spellStart"/>
      <w:r w:rsidRPr="001E18F0">
        <w:rPr>
          <w:rFonts w:ascii="Arial Narrow" w:hAnsi="Arial Narrow" w:cs="Arial"/>
          <w:i/>
          <w:color w:val="000000"/>
        </w:rPr>
        <w:t>Carepa</w:t>
      </w:r>
      <w:proofErr w:type="spellEnd"/>
      <w:r w:rsidRPr="001E18F0">
        <w:rPr>
          <w:rFonts w:ascii="Arial Narrow" w:hAnsi="Arial Narrow" w:cs="Arial"/>
          <w:i/>
          <w:color w:val="000000"/>
        </w:rPr>
        <w:t xml:space="preserve">, </w:t>
      </w:r>
      <w:proofErr w:type="spellStart"/>
      <w:r w:rsidRPr="001E18F0">
        <w:rPr>
          <w:rFonts w:ascii="Arial Narrow" w:hAnsi="Arial Narrow" w:cs="Arial"/>
          <w:i/>
          <w:color w:val="000000"/>
        </w:rPr>
        <w:t>Chigorodó</w:t>
      </w:r>
      <w:proofErr w:type="spellEnd"/>
      <w:r w:rsidRPr="001E18F0">
        <w:rPr>
          <w:rFonts w:ascii="Arial Narrow" w:hAnsi="Arial Narrow" w:cs="Arial"/>
          <w:i/>
          <w:color w:val="000000"/>
        </w:rPr>
        <w:t xml:space="preserve"> y Turbo</w:t>
      </w:r>
      <w:proofErr w:type="gramStart"/>
      <w:r w:rsidRPr="001E18F0">
        <w:rPr>
          <w:rFonts w:ascii="Arial Narrow" w:hAnsi="Arial Narrow" w:cs="Arial"/>
          <w:i/>
          <w:color w:val="000000"/>
        </w:rPr>
        <w:t>,.</w:t>
      </w:r>
      <w:proofErr w:type="gramEnd"/>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23 DRMI Zona Norte: Ubicado en jurisdicción de la Corporación para el Desarrollo Sostenible del Urabá (</w:t>
      </w:r>
      <w:proofErr w:type="spellStart"/>
      <w:r w:rsidRPr="001E18F0">
        <w:rPr>
          <w:rFonts w:ascii="Arial Narrow" w:hAnsi="Arial Narrow" w:cs="Arial"/>
          <w:i/>
          <w:color w:val="000000"/>
        </w:rPr>
        <w:t>Corpourabá</w:t>
      </w:r>
      <w:proofErr w:type="spellEnd"/>
      <w:r w:rsidRPr="001E18F0">
        <w:rPr>
          <w:rFonts w:ascii="Arial Narrow" w:hAnsi="Arial Narrow" w:cs="Arial"/>
          <w:i/>
          <w:color w:val="000000"/>
        </w:rPr>
        <w:t xml:space="preserve">), en los municipios de Arboletes, San Juan, </w:t>
      </w:r>
      <w:proofErr w:type="spellStart"/>
      <w:r w:rsidRPr="001E18F0">
        <w:rPr>
          <w:rFonts w:ascii="Arial Narrow" w:hAnsi="Arial Narrow" w:cs="Arial"/>
          <w:i/>
          <w:color w:val="000000"/>
        </w:rPr>
        <w:t>Necoclí</w:t>
      </w:r>
      <w:proofErr w:type="spellEnd"/>
      <w:r w:rsidRPr="001E18F0">
        <w:rPr>
          <w:rFonts w:ascii="Arial Narrow" w:hAnsi="Arial Narrow" w:cs="Arial"/>
          <w:i/>
          <w:color w:val="000000"/>
        </w:rPr>
        <w:t xml:space="preserve"> y San Pedro.</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24 Reserva Forestal Protectora Jurisdicciones: Ubicado en jurisdicción de la Corporación Autónoma Regional de Norte de Santander (Corponor), en el departamento de Norte de Santander; municipios de Ábrego, La Esperanza.</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25 DMI Bosque Seco Tropical Sur: Ubicado en jurisdicción de la Corporación Autónoma Regional de Norte de Santander (Corponor), en el departamento de Norte de Santander, municipios de Cúcuta, </w:t>
      </w:r>
      <w:proofErr w:type="spellStart"/>
      <w:r w:rsidRPr="001E18F0">
        <w:rPr>
          <w:rFonts w:ascii="Arial Narrow" w:hAnsi="Arial Narrow" w:cs="Arial"/>
          <w:i/>
          <w:color w:val="000000"/>
        </w:rPr>
        <w:t>Bochalema</w:t>
      </w:r>
      <w:proofErr w:type="spellEnd"/>
      <w:r w:rsidRPr="001E18F0">
        <w:rPr>
          <w:rFonts w:ascii="Arial Narrow" w:hAnsi="Arial Narrow" w:cs="Arial"/>
          <w:i/>
          <w:color w:val="000000"/>
        </w:rPr>
        <w:t xml:space="preserve">, </w:t>
      </w:r>
      <w:proofErr w:type="spellStart"/>
      <w:r w:rsidRPr="001E18F0">
        <w:rPr>
          <w:rFonts w:ascii="Arial Narrow" w:hAnsi="Arial Narrow" w:cs="Arial"/>
          <w:i/>
          <w:color w:val="000000"/>
        </w:rPr>
        <w:t>Durania</w:t>
      </w:r>
      <w:proofErr w:type="spellEnd"/>
      <w:r w:rsidRPr="001E18F0">
        <w:rPr>
          <w:rFonts w:ascii="Arial Narrow" w:hAnsi="Arial Narrow" w:cs="Arial"/>
          <w:i/>
          <w:color w:val="000000"/>
        </w:rPr>
        <w:t>, San Cayetano, Santiago.</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34 </w:t>
      </w:r>
      <w:proofErr w:type="spellStart"/>
      <w:r w:rsidRPr="001E18F0">
        <w:rPr>
          <w:rFonts w:ascii="Arial Narrow" w:hAnsi="Arial Narrow" w:cs="Arial"/>
          <w:i/>
          <w:color w:val="000000"/>
        </w:rPr>
        <w:t>Mejue</w:t>
      </w:r>
      <w:proofErr w:type="spellEnd"/>
      <w:r w:rsidRPr="001E18F0">
        <w:rPr>
          <w:rFonts w:ascii="Arial Narrow" w:hAnsi="Arial Narrow" w:cs="Arial"/>
          <w:i/>
          <w:color w:val="000000"/>
        </w:rPr>
        <w:t xml:space="preserve">: Ubicado en jurisdicción de la Corporación Autónoma Regional de Norte de Santander (Corponor), en el departamento de Norte de Santander, municipios de </w:t>
      </w:r>
      <w:proofErr w:type="spellStart"/>
      <w:r w:rsidRPr="001E18F0">
        <w:rPr>
          <w:rFonts w:ascii="Arial Narrow" w:hAnsi="Arial Narrow" w:cs="Arial"/>
          <w:i/>
          <w:color w:val="000000"/>
        </w:rPr>
        <w:t>Chinácota</w:t>
      </w:r>
      <w:proofErr w:type="spellEnd"/>
      <w:r w:rsidRPr="001E18F0">
        <w:rPr>
          <w:rFonts w:ascii="Arial Narrow" w:hAnsi="Arial Narrow" w:cs="Arial"/>
          <w:i/>
          <w:color w:val="000000"/>
        </w:rPr>
        <w:t>, Herrán, Pamplonita, Toledo.</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37 Cerro Tasajero: Ubicado en jurisdicción de la Corporación Autónoma Regional de Norte de Santander (Corponor).</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lastRenderedPageBreak/>
        <w:t xml:space="preserve">Polígono 40 PNR </w:t>
      </w:r>
      <w:proofErr w:type="spellStart"/>
      <w:r w:rsidRPr="001E18F0">
        <w:rPr>
          <w:rFonts w:ascii="Arial Narrow" w:hAnsi="Arial Narrow" w:cs="Arial"/>
          <w:i/>
          <w:color w:val="000000"/>
        </w:rPr>
        <w:t>Almorzadero</w:t>
      </w:r>
      <w:proofErr w:type="spellEnd"/>
      <w:r w:rsidRPr="001E18F0">
        <w:rPr>
          <w:rFonts w:ascii="Arial Narrow" w:hAnsi="Arial Narrow" w:cs="Arial"/>
          <w:i/>
          <w:color w:val="000000"/>
        </w:rPr>
        <w:t xml:space="preserve"> este: Ubicado en jurisdicción de la Corporación Autónoma Regional de Norte de Santander (Corponor), en el departamento de Norte de Santander.</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41 Bahía Honda-Hondita: Ubicado en jurisdicción de la Corporación Autónoma Regional de La Guajira (</w:t>
      </w:r>
      <w:proofErr w:type="spellStart"/>
      <w:r w:rsidRPr="001E18F0">
        <w:rPr>
          <w:rFonts w:ascii="Arial Narrow" w:hAnsi="Arial Narrow" w:cs="Arial"/>
          <w:i/>
          <w:color w:val="000000"/>
        </w:rPr>
        <w:t>Corpoguajira</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45 Piedemonte-Páramos-Bosque de Niebla: Ubicado en jurisdicción de la Corporación para el Desarrollo Sostenible del Sur de la Amazonia (</w:t>
      </w:r>
      <w:proofErr w:type="spellStart"/>
      <w:r w:rsidRPr="001E18F0">
        <w:rPr>
          <w:rFonts w:ascii="Arial Narrow" w:hAnsi="Arial Narrow" w:cs="Arial"/>
          <w:i/>
          <w:color w:val="000000"/>
        </w:rPr>
        <w:t>Corpoamazonia</w:t>
      </w:r>
      <w:proofErr w:type="spellEnd"/>
      <w:r w:rsidRPr="001E18F0">
        <w:rPr>
          <w:rFonts w:ascii="Arial Narrow" w:hAnsi="Arial Narrow" w:cs="Arial"/>
          <w:i/>
          <w:color w:val="000000"/>
        </w:rPr>
        <w:t>); en el departamento de Caquetá.</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46 Zona árida Cañón Río </w:t>
      </w:r>
      <w:proofErr w:type="spellStart"/>
      <w:r w:rsidRPr="001E18F0">
        <w:rPr>
          <w:rFonts w:ascii="Arial Narrow" w:hAnsi="Arial Narrow" w:cs="Arial"/>
          <w:i/>
          <w:color w:val="000000"/>
        </w:rPr>
        <w:t>Chicamocha</w:t>
      </w:r>
      <w:proofErr w:type="spellEnd"/>
      <w:r w:rsidRPr="001E18F0">
        <w:rPr>
          <w:rFonts w:ascii="Arial Narrow" w:hAnsi="Arial Narrow" w:cs="Arial"/>
          <w:i/>
          <w:color w:val="000000"/>
        </w:rPr>
        <w:t>: Ubicado en jurisdicción de la Corporación Autónoma Regional para la Defensa de la Meseta de Bucaramanga (CDMB), en el departamento de Santander, municipio de Piedecuesta.</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47 Cañón Rio Lebrija: Ubicado en jurisdicción de la Corporación Autónoma Regional para la Defensa de la Meseta de Bucaramanga (CDMB), en el departamento de Santander, municipios de </w:t>
      </w:r>
      <w:proofErr w:type="spellStart"/>
      <w:r w:rsidRPr="001E18F0">
        <w:rPr>
          <w:rFonts w:ascii="Arial Narrow" w:hAnsi="Arial Narrow" w:cs="Arial"/>
          <w:i/>
          <w:color w:val="000000"/>
        </w:rPr>
        <w:t>Rionegro</w:t>
      </w:r>
      <w:proofErr w:type="spellEnd"/>
      <w:r w:rsidRPr="001E18F0">
        <w:rPr>
          <w:rFonts w:ascii="Arial Narrow" w:hAnsi="Arial Narrow" w:cs="Arial"/>
          <w:i/>
          <w:color w:val="000000"/>
        </w:rPr>
        <w:t>, Lebrija, Bucaramanga.</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Polígono 48 Bosques El Aburrido Honduras: Ubicado en jurisdicción de la Corporación Autónoma Regional para la Defensa de la Meseta de Bucaramanga (CDMB).</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49 Área protegida microcuenca Río </w:t>
      </w:r>
      <w:proofErr w:type="spellStart"/>
      <w:r w:rsidRPr="001E18F0">
        <w:rPr>
          <w:rFonts w:ascii="Arial Narrow" w:hAnsi="Arial Narrow" w:cs="Arial"/>
          <w:i/>
          <w:color w:val="000000"/>
        </w:rPr>
        <w:t>Tona</w:t>
      </w:r>
      <w:proofErr w:type="spellEnd"/>
      <w:r w:rsidRPr="001E18F0">
        <w:rPr>
          <w:rFonts w:ascii="Arial Narrow" w:hAnsi="Arial Narrow" w:cs="Arial"/>
          <w:i/>
          <w:color w:val="000000"/>
        </w:rPr>
        <w:t xml:space="preserve">: Ubicado en jurisdicción de la Corporación Autónoma Regional para la Defensa de la Meseta de Bucaramanga (CDMB), en el departamento de Santander, municipio de </w:t>
      </w:r>
      <w:proofErr w:type="spellStart"/>
      <w:r w:rsidRPr="001E18F0">
        <w:rPr>
          <w:rFonts w:ascii="Arial Narrow" w:hAnsi="Arial Narrow" w:cs="Arial"/>
          <w:i/>
          <w:color w:val="000000"/>
        </w:rPr>
        <w:t>Tona</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52 Enclave </w:t>
      </w:r>
      <w:proofErr w:type="spellStart"/>
      <w:r w:rsidRPr="001E18F0">
        <w:rPr>
          <w:rFonts w:ascii="Arial Narrow" w:hAnsi="Arial Narrow" w:cs="Arial"/>
          <w:i/>
          <w:color w:val="000000"/>
        </w:rPr>
        <w:t>Subxerofitico</w:t>
      </w:r>
      <w:proofErr w:type="spellEnd"/>
      <w:r w:rsidRPr="001E18F0">
        <w:rPr>
          <w:rFonts w:ascii="Arial Narrow" w:hAnsi="Arial Narrow" w:cs="Arial"/>
          <w:i/>
          <w:color w:val="000000"/>
        </w:rPr>
        <w:t xml:space="preserve"> del Patía: Ubicado en jurisdicción de la Corporación Autónoma Regional de Nariño (Corponariño), en el departamento de Nariño, municipios de El Tambo, El Peñol y </w:t>
      </w:r>
      <w:proofErr w:type="spellStart"/>
      <w:r w:rsidRPr="001E18F0">
        <w:rPr>
          <w:rFonts w:ascii="Arial Narrow" w:hAnsi="Arial Narrow" w:cs="Arial"/>
          <w:i/>
          <w:color w:val="000000"/>
        </w:rPr>
        <w:t>Taminango</w:t>
      </w:r>
      <w:proofErr w:type="spellEnd"/>
      <w:r w:rsidRPr="001E18F0">
        <w:rPr>
          <w:rFonts w:ascii="Arial Narrow" w:hAnsi="Arial Narrow" w:cs="Arial"/>
          <w:i/>
          <w:color w:val="000000"/>
        </w:rPr>
        <w:t>.</w:t>
      </w:r>
    </w:p>
    <w:p w:rsidR="00231BDB" w:rsidRPr="001E18F0" w:rsidRDefault="00231BDB" w:rsidP="00231BDB">
      <w:pPr>
        <w:spacing w:after="200" w:line="276" w:lineRule="auto"/>
        <w:jc w:val="both"/>
        <w:rPr>
          <w:rFonts w:ascii="Arial Narrow" w:hAnsi="Arial Narrow" w:cs="Arial"/>
          <w:i/>
          <w:color w:val="000000"/>
        </w:rPr>
      </w:pPr>
      <w:r w:rsidRPr="001E18F0">
        <w:rPr>
          <w:rFonts w:ascii="Arial Narrow" w:hAnsi="Arial Narrow" w:cs="Arial"/>
          <w:i/>
          <w:color w:val="000000"/>
        </w:rPr>
        <w:t xml:space="preserve">Polígono 54 Serranía de los Paraguas: Ubicado en jurisdicción de la Corporación Autónoma Regional del Valle del Cauca (CVC), municipios de El Cairo, El </w:t>
      </w:r>
      <w:proofErr w:type="spellStart"/>
      <w:r w:rsidRPr="001E18F0">
        <w:rPr>
          <w:rFonts w:ascii="Arial Narrow" w:hAnsi="Arial Narrow" w:cs="Arial"/>
          <w:i/>
          <w:color w:val="000000"/>
        </w:rPr>
        <w:t>Dovio</w:t>
      </w:r>
      <w:proofErr w:type="spellEnd"/>
      <w:r w:rsidRPr="001E18F0">
        <w:rPr>
          <w:rFonts w:ascii="Arial Narrow" w:hAnsi="Arial Narrow" w:cs="Arial"/>
          <w:i/>
          <w:color w:val="000000"/>
        </w:rPr>
        <w:t xml:space="preserve"> y Versalles.</w:t>
      </w:r>
    </w:p>
    <w:p w:rsidR="00231BDB" w:rsidRPr="001E18F0" w:rsidRDefault="00231BDB" w:rsidP="00231BDB">
      <w:pPr>
        <w:jc w:val="both"/>
        <w:rPr>
          <w:rFonts w:ascii="Arial Narrow" w:hAnsi="Arial Narrow" w:cs="Arial"/>
          <w:i/>
        </w:rPr>
      </w:pPr>
      <w:r w:rsidRPr="001E18F0">
        <w:rPr>
          <w:rFonts w:ascii="Arial Narrow" w:hAnsi="Arial Narrow" w:cs="Arial"/>
          <w:i/>
          <w:color w:val="000000"/>
        </w:rPr>
        <w:t xml:space="preserve">Parágrafo.-  La cartografía de los polígonos descritos anteriormente corresponde a la contenida en la </w:t>
      </w:r>
      <w:r w:rsidRPr="001E18F0">
        <w:rPr>
          <w:rFonts w:ascii="Arial Narrow" w:hAnsi="Arial Narrow" w:cs="Arial"/>
          <w:i/>
          <w:lang w:val="es-CO"/>
        </w:rPr>
        <w:t xml:space="preserve">Resolución 1814 de 12 de agosto de 2015. </w:t>
      </w:r>
    </w:p>
    <w:p w:rsidR="00231BDB" w:rsidRPr="001E18F0" w:rsidRDefault="00231BDB" w:rsidP="00231BDB">
      <w:pPr>
        <w:jc w:val="both"/>
        <w:rPr>
          <w:rFonts w:ascii="Arial Narrow" w:hAnsi="Arial Narrow" w:cs="Arial"/>
          <w:i/>
        </w:rPr>
      </w:pPr>
    </w:p>
    <w:p w:rsidR="00231BDB" w:rsidRPr="001E18F0" w:rsidRDefault="00231BDB" w:rsidP="00231BDB">
      <w:pPr>
        <w:jc w:val="both"/>
        <w:rPr>
          <w:rFonts w:ascii="Arial Narrow" w:hAnsi="Arial Narrow"/>
          <w:i/>
          <w:color w:val="FF0000"/>
        </w:rPr>
      </w:pPr>
      <w:r w:rsidRPr="001E18F0">
        <w:rPr>
          <w:rFonts w:ascii="Arial Narrow" w:hAnsi="Arial Narrow" w:cs="Arial"/>
          <w:b/>
          <w:i/>
          <w:lang w:val="es-CO"/>
        </w:rPr>
        <w:t>Artículo 2.-</w:t>
      </w:r>
      <w:r w:rsidRPr="001E18F0">
        <w:rPr>
          <w:rFonts w:ascii="Arial Narrow" w:hAnsi="Arial Narrow" w:cs="Arial"/>
          <w:i/>
          <w:lang w:val="es-CO"/>
        </w:rPr>
        <w:t xml:space="preserve"> Modificación de los polígonos 1, 2, 4, 5, 6, 22, 44, 50, 51 y 56 de la </w:t>
      </w:r>
      <w:r w:rsidRPr="001E18F0">
        <w:rPr>
          <w:rFonts w:ascii="Arial Narrow" w:hAnsi="Arial Narrow" w:cs="Arial"/>
          <w:i/>
        </w:rPr>
        <w:t>Resolución 1814 de 2015</w:t>
      </w:r>
      <w:r w:rsidRPr="001E18F0">
        <w:rPr>
          <w:rFonts w:ascii="Arial Narrow" w:hAnsi="Arial Narrow" w:cs="Arial"/>
          <w:i/>
          <w:lang w:val="es-CO"/>
        </w:rPr>
        <w:t>.</w:t>
      </w:r>
      <w:r w:rsidRPr="001E18F0">
        <w:rPr>
          <w:rFonts w:ascii="Arial Narrow" w:hAnsi="Arial Narrow"/>
          <w:i/>
          <w:color w:val="FF0000"/>
        </w:rPr>
        <w:t xml:space="preserve"> </w:t>
      </w:r>
      <w:r w:rsidRPr="001E18F0">
        <w:rPr>
          <w:rFonts w:ascii="Arial Narrow" w:hAnsi="Arial Narrow" w:cs="Arial"/>
          <w:i/>
        </w:rPr>
        <w:t>Modificar los</w:t>
      </w:r>
      <w:r w:rsidRPr="001E18F0">
        <w:rPr>
          <w:rFonts w:ascii="Arial Narrow" w:hAnsi="Arial Narrow" w:cs="Arial"/>
          <w:i/>
          <w:lang w:val="es-CO"/>
        </w:rPr>
        <w:t xml:space="preserve"> polígonos 1, 2, 4, 5, 6, 22, 44, 50, 51 y 56 contenidos en la </w:t>
      </w:r>
      <w:r w:rsidRPr="001E18F0">
        <w:rPr>
          <w:rFonts w:ascii="Arial Narrow" w:hAnsi="Arial Narrow" w:cs="Arial"/>
          <w:i/>
        </w:rPr>
        <w:t xml:space="preserve">Resolución 1814 de 2015, en el sentido de ampliar sus áreas y extender </w:t>
      </w:r>
      <w:r w:rsidRPr="001E18F0">
        <w:rPr>
          <w:rFonts w:ascii="Arial Narrow" w:hAnsi="Arial Narrow" w:cs="Arial"/>
          <w:i/>
          <w:lang w:val="es-CO"/>
        </w:rPr>
        <w:t xml:space="preserve">los efectos jurídicos de las </w:t>
      </w:r>
      <w:r w:rsidRPr="001E18F0">
        <w:rPr>
          <w:rFonts w:ascii="Arial Narrow" w:hAnsi="Arial Narrow" w:cs="Arial"/>
          <w:i/>
        </w:rPr>
        <w:t>zonas de protección y desarrollo de los recursos naturales renovables y del medio ambiente, relacionados así:</w:t>
      </w:r>
      <w:r w:rsidRPr="001E18F0">
        <w:rPr>
          <w:rFonts w:ascii="Arial Narrow" w:hAnsi="Arial Narrow"/>
          <w:i/>
        </w:rPr>
        <w:t xml:space="preserve"> </w:t>
      </w:r>
    </w:p>
    <w:p w:rsidR="00231BDB" w:rsidRPr="001E18F0" w:rsidRDefault="00231BDB" w:rsidP="00231BDB">
      <w:pPr>
        <w:jc w:val="both"/>
        <w:rPr>
          <w:rFonts w:ascii="Arial Narrow" w:hAnsi="Arial Narrow" w:cs="Arial"/>
          <w:i/>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lastRenderedPageBreak/>
        <w:t xml:space="preserve">Polígono 1 Peñas Blancas: Ubicado en jurisdicción de la Corporación Autónoma Regional del Alto Magdalena (CAM) en el departamento del Huila, municipios de Palestina, Pitalito, </w:t>
      </w:r>
      <w:proofErr w:type="spellStart"/>
      <w:r w:rsidRPr="001E18F0">
        <w:rPr>
          <w:rFonts w:ascii="Arial Narrow" w:hAnsi="Arial Narrow" w:cs="Arial"/>
          <w:i/>
          <w:lang w:val="es-CO"/>
        </w:rPr>
        <w:t>Timaná</w:t>
      </w:r>
      <w:proofErr w:type="spellEnd"/>
      <w:r w:rsidRPr="001E18F0">
        <w:rPr>
          <w:rFonts w:ascii="Arial Narrow" w:hAnsi="Arial Narrow" w:cs="Arial"/>
          <w:i/>
          <w:lang w:val="es-CO"/>
        </w:rPr>
        <w:t>, Suaza, Acevedo.</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 xml:space="preserve">Polígono 2 Ampliación del PNR Serranía de las Minas: en jurisdicción de la Corporación Autónoma Regional del Alto Magdalena (CAM), departamento de Huila, municipios de </w:t>
      </w:r>
      <w:proofErr w:type="spellStart"/>
      <w:r w:rsidRPr="001E18F0">
        <w:rPr>
          <w:rFonts w:ascii="Arial Narrow" w:hAnsi="Arial Narrow" w:cs="Arial"/>
          <w:i/>
          <w:lang w:val="es-CO"/>
        </w:rPr>
        <w:t>Oporapa</w:t>
      </w:r>
      <w:proofErr w:type="spellEnd"/>
      <w:r w:rsidRPr="001E18F0">
        <w:rPr>
          <w:rFonts w:ascii="Arial Narrow" w:hAnsi="Arial Narrow" w:cs="Arial"/>
          <w:i/>
          <w:lang w:val="es-CO"/>
        </w:rPr>
        <w:t xml:space="preserve">, </w:t>
      </w:r>
      <w:proofErr w:type="spellStart"/>
      <w:r w:rsidRPr="001E18F0">
        <w:rPr>
          <w:rFonts w:ascii="Arial Narrow" w:hAnsi="Arial Narrow" w:cs="Arial"/>
          <w:i/>
          <w:lang w:val="es-CO"/>
        </w:rPr>
        <w:t>Saladoblanco</w:t>
      </w:r>
      <w:proofErr w:type="spellEnd"/>
      <w:r w:rsidRPr="001E18F0">
        <w:rPr>
          <w:rFonts w:ascii="Arial Narrow" w:hAnsi="Arial Narrow" w:cs="Arial"/>
          <w:i/>
          <w:lang w:val="es-CO"/>
        </w:rPr>
        <w:t xml:space="preserve">, </w:t>
      </w:r>
      <w:proofErr w:type="spellStart"/>
      <w:r w:rsidRPr="001E18F0">
        <w:rPr>
          <w:rFonts w:ascii="Arial Narrow" w:hAnsi="Arial Narrow" w:cs="Arial"/>
          <w:i/>
          <w:lang w:val="es-CO"/>
        </w:rPr>
        <w:t>Isnos</w:t>
      </w:r>
      <w:proofErr w:type="spellEnd"/>
      <w:r w:rsidRPr="001E18F0">
        <w:rPr>
          <w:rFonts w:ascii="Arial Narrow" w:hAnsi="Arial Narrow" w:cs="Arial"/>
          <w:i/>
          <w:lang w:val="es-CO"/>
        </w:rPr>
        <w:t>, La Plata y La Argentina.</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Polígono 4 Humedal El Sapo 1: Ubicado en jurisdicción de la Corporación Autónoma Regional del Centro de Antioquia (</w:t>
      </w:r>
      <w:proofErr w:type="spellStart"/>
      <w:r w:rsidRPr="001E18F0">
        <w:rPr>
          <w:rFonts w:ascii="Arial Narrow" w:hAnsi="Arial Narrow" w:cs="Arial"/>
          <w:i/>
          <w:lang w:val="es-CO"/>
        </w:rPr>
        <w:t>Corantioquia</w:t>
      </w:r>
      <w:proofErr w:type="spellEnd"/>
      <w:r w:rsidRPr="001E18F0">
        <w:rPr>
          <w:rFonts w:ascii="Arial Narrow" w:hAnsi="Arial Narrow" w:cs="Arial"/>
          <w:i/>
          <w:lang w:val="es-CO"/>
        </w:rPr>
        <w:t>), en el departamento de Antioquia.</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Polígono 5 Humedal El Sapo 2: Ubicado en jurisdicción de la Corporación Autónoma Regional del Centro de Antioquia (</w:t>
      </w:r>
      <w:proofErr w:type="spellStart"/>
      <w:r w:rsidRPr="001E18F0">
        <w:rPr>
          <w:rFonts w:ascii="Arial Narrow" w:hAnsi="Arial Narrow" w:cs="Arial"/>
          <w:i/>
          <w:lang w:val="es-CO"/>
        </w:rPr>
        <w:t>Corantioquia</w:t>
      </w:r>
      <w:proofErr w:type="spellEnd"/>
      <w:r w:rsidRPr="001E18F0">
        <w:rPr>
          <w:rFonts w:ascii="Arial Narrow" w:hAnsi="Arial Narrow" w:cs="Arial"/>
          <w:i/>
          <w:lang w:val="es-CO"/>
        </w:rPr>
        <w:t>); en el departamento de Antioquia.</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Polígono 6 Humedal Chiqueros: Ubicado en jurisdicción de la Corporación Autónoma Regional del Centro de Antioquia (</w:t>
      </w:r>
      <w:proofErr w:type="spellStart"/>
      <w:r w:rsidRPr="001E18F0">
        <w:rPr>
          <w:rFonts w:ascii="Arial Narrow" w:hAnsi="Arial Narrow" w:cs="Arial"/>
          <w:i/>
          <w:lang w:val="es-CO"/>
        </w:rPr>
        <w:t>Corantioquia</w:t>
      </w:r>
      <w:proofErr w:type="spellEnd"/>
      <w:r w:rsidRPr="001E18F0">
        <w:rPr>
          <w:rFonts w:ascii="Arial Narrow" w:hAnsi="Arial Narrow" w:cs="Arial"/>
          <w:i/>
          <w:lang w:val="es-CO"/>
        </w:rPr>
        <w:t>), en el departamento de Antioquia.</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Polígono 22 DMRI Peque: Ubicado en jurisdicción de la Corporación para el Desarrollo Sostenible del Urabá (</w:t>
      </w:r>
      <w:proofErr w:type="spellStart"/>
      <w:r w:rsidRPr="001E18F0">
        <w:rPr>
          <w:rFonts w:ascii="Arial Narrow" w:hAnsi="Arial Narrow" w:cs="Arial"/>
          <w:i/>
          <w:lang w:val="es-CO"/>
        </w:rPr>
        <w:t>Corpourabá</w:t>
      </w:r>
      <w:proofErr w:type="spellEnd"/>
      <w:r w:rsidRPr="001E18F0">
        <w:rPr>
          <w:rFonts w:ascii="Arial Narrow" w:hAnsi="Arial Narrow" w:cs="Arial"/>
          <w:i/>
          <w:lang w:val="es-CO"/>
        </w:rPr>
        <w:t>).</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 xml:space="preserve">Polígono 44 Bosques </w:t>
      </w:r>
      <w:proofErr w:type="spellStart"/>
      <w:r w:rsidRPr="001E18F0">
        <w:rPr>
          <w:rFonts w:ascii="Arial Narrow" w:hAnsi="Arial Narrow" w:cs="Arial"/>
          <w:i/>
          <w:lang w:val="es-CO"/>
        </w:rPr>
        <w:t>Guayupe</w:t>
      </w:r>
      <w:proofErr w:type="spellEnd"/>
      <w:r w:rsidRPr="001E18F0">
        <w:rPr>
          <w:rFonts w:ascii="Arial Narrow" w:hAnsi="Arial Narrow" w:cs="Arial"/>
          <w:i/>
          <w:lang w:val="es-CO"/>
        </w:rPr>
        <w:t>: Ubicado en jurisdicción de la Corporación para el Desarrollo Sostenible del Área de Manejo Especial de La Macarena (Cormacarena).</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 xml:space="preserve">Polígono 50 Cerro </w:t>
      </w:r>
      <w:proofErr w:type="spellStart"/>
      <w:r w:rsidRPr="001E18F0">
        <w:rPr>
          <w:rFonts w:ascii="Arial Narrow" w:hAnsi="Arial Narrow" w:cs="Arial"/>
          <w:i/>
          <w:lang w:val="es-CO"/>
        </w:rPr>
        <w:t>Chimayoy</w:t>
      </w:r>
      <w:proofErr w:type="spellEnd"/>
      <w:r w:rsidRPr="001E18F0">
        <w:rPr>
          <w:rFonts w:ascii="Arial Narrow" w:hAnsi="Arial Narrow" w:cs="Arial"/>
          <w:i/>
          <w:lang w:val="es-CO"/>
        </w:rPr>
        <w:t>: Ubicado en jurisdicción de la Corporación Autónoma Regional de Nariño (Corponariño), en el departamento de Nariño, municipios de La Unión, Belén, San Bernardo, San Pedro de Cartago.</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 xml:space="preserve">Polígono 51 Piedemonte Andino Pacífico: Ubicado en jurisdicción de la Corporación Autónoma Regional de Nariño (Corponariño), en el departamento de Nariño, municipios de Samaniego, La Llanada, Sotomayor y </w:t>
      </w:r>
      <w:proofErr w:type="spellStart"/>
      <w:r w:rsidRPr="001E18F0">
        <w:rPr>
          <w:rFonts w:ascii="Arial Narrow" w:hAnsi="Arial Narrow" w:cs="Arial"/>
          <w:i/>
          <w:lang w:val="es-CO"/>
        </w:rPr>
        <w:t>Cumbitara</w:t>
      </w:r>
      <w:proofErr w:type="spellEnd"/>
      <w:r w:rsidRPr="001E18F0">
        <w:rPr>
          <w:rFonts w:ascii="Arial Narrow" w:hAnsi="Arial Narrow" w:cs="Arial"/>
          <w:i/>
          <w:lang w:val="es-CO"/>
        </w:rPr>
        <w:t>.</w:t>
      </w:r>
    </w:p>
    <w:p w:rsidR="00231BDB" w:rsidRPr="001E18F0" w:rsidRDefault="00231BDB" w:rsidP="00231BDB">
      <w:pPr>
        <w:jc w:val="both"/>
        <w:rPr>
          <w:rFonts w:ascii="Arial Narrow" w:hAnsi="Arial Narrow" w:cs="Arial"/>
          <w:i/>
          <w:lang w:val="es-CO"/>
        </w:rPr>
      </w:pPr>
    </w:p>
    <w:p w:rsidR="00231BDB" w:rsidRPr="001E18F0" w:rsidRDefault="00231BDB" w:rsidP="00231BDB">
      <w:pPr>
        <w:jc w:val="both"/>
        <w:rPr>
          <w:rFonts w:ascii="Arial Narrow" w:hAnsi="Arial Narrow" w:cs="Arial"/>
          <w:i/>
          <w:lang w:val="es-CO"/>
        </w:rPr>
      </w:pPr>
      <w:r w:rsidRPr="001E18F0">
        <w:rPr>
          <w:rFonts w:ascii="Arial Narrow" w:hAnsi="Arial Narrow" w:cs="Arial"/>
          <w:i/>
          <w:lang w:val="es-CO"/>
        </w:rPr>
        <w:t>Polígono 56 Reserva Natural de Río Bravo: Ubicado en jurisdicción de la Corporación Autónoma Regional del Valle del Cauca (CVC), en el municipio de Calima.”</w:t>
      </w:r>
    </w:p>
    <w:p w:rsidR="00AC720D" w:rsidRPr="001E18F0" w:rsidRDefault="00AC720D" w:rsidP="00232303">
      <w:pPr>
        <w:jc w:val="both"/>
        <w:rPr>
          <w:rFonts w:ascii="Arial Narrow" w:eastAsia="Times New Roman" w:hAnsi="Arial Narrow" w:cs="Times New Roman"/>
        </w:rPr>
      </w:pPr>
    </w:p>
    <w:p w:rsidR="003A7E9A" w:rsidRPr="001E18F0" w:rsidRDefault="00887F97" w:rsidP="00232303">
      <w:pPr>
        <w:jc w:val="both"/>
        <w:rPr>
          <w:rFonts w:ascii="Arial Narrow" w:eastAsia="Times New Roman" w:hAnsi="Arial Narrow" w:cs="Times New Roman"/>
        </w:rPr>
      </w:pPr>
      <w:r w:rsidRPr="001E18F0">
        <w:rPr>
          <w:rFonts w:ascii="Arial Narrow" w:eastAsia="Times New Roman" w:hAnsi="Arial Narrow" w:cs="Times New Roman"/>
        </w:rPr>
        <w:t xml:space="preserve">Teniendo en cuenta </w:t>
      </w:r>
      <w:r w:rsidR="00F57C96" w:rsidRPr="001E18F0">
        <w:rPr>
          <w:rFonts w:ascii="Arial Narrow" w:eastAsia="Times New Roman" w:hAnsi="Arial Narrow" w:cs="Times New Roman"/>
        </w:rPr>
        <w:t xml:space="preserve">lo anterior, </w:t>
      </w:r>
      <w:r w:rsidRPr="001E18F0">
        <w:rPr>
          <w:rFonts w:ascii="Arial Narrow" w:eastAsia="Times New Roman" w:hAnsi="Arial Narrow" w:cs="Times New Roman"/>
        </w:rPr>
        <w:t>a continuación se presenta el</w:t>
      </w:r>
      <w:r w:rsidR="003A7E9A" w:rsidRPr="001E18F0">
        <w:rPr>
          <w:rFonts w:ascii="Arial Narrow" w:eastAsia="Times New Roman" w:hAnsi="Arial Narrow" w:cs="Times New Roman"/>
        </w:rPr>
        <w:t xml:space="preserve"> estado </w:t>
      </w:r>
      <w:r w:rsidRPr="001E18F0">
        <w:rPr>
          <w:rFonts w:ascii="Arial Narrow" w:eastAsia="Times New Roman" w:hAnsi="Arial Narrow" w:cs="Times New Roman"/>
        </w:rPr>
        <w:t xml:space="preserve">actual de </w:t>
      </w:r>
      <w:r w:rsidR="003A7E9A" w:rsidRPr="001E18F0">
        <w:rPr>
          <w:rFonts w:ascii="Arial Narrow" w:eastAsia="Times New Roman" w:hAnsi="Arial Narrow" w:cs="Times New Roman"/>
        </w:rPr>
        <w:t xml:space="preserve">cada uno de los procesos </w:t>
      </w:r>
      <w:r w:rsidRPr="001E18F0">
        <w:rPr>
          <w:rFonts w:ascii="Arial Narrow" w:eastAsia="Times New Roman" w:hAnsi="Arial Narrow" w:cs="Times New Roman"/>
        </w:rPr>
        <w:t xml:space="preserve">de declaratoria </w:t>
      </w:r>
      <w:r w:rsidR="003A7E9A" w:rsidRPr="001E18F0">
        <w:rPr>
          <w:rFonts w:ascii="Arial Narrow" w:eastAsia="Times New Roman" w:hAnsi="Arial Narrow" w:cs="Times New Roman"/>
        </w:rPr>
        <w:t xml:space="preserve">adelantados </w:t>
      </w:r>
      <w:r w:rsidRPr="001E18F0">
        <w:rPr>
          <w:rFonts w:ascii="Arial Narrow" w:eastAsia="Times New Roman" w:hAnsi="Arial Narrow" w:cs="Times New Roman"/>
        </w:rPr>
        <w:t>por las Corporaciones Autónomas Regionales,</w:t>
      </w:r>
      <w:r w:rsidR="005B41E5" w:rsidRPr="001E18F0">
        <w:rPr>
          <w:rFonts w:ascii="Arial Narrow" w:eastAsia="Times New Roman" w:hAnsi="Arial Narrow" w:cs="Times New Roman"/>
        </w:rPr>
        <w:t xml:space="preserve"> y contenidos en la Resolución 2157</w:t>
      </w:r>
      <w:r w:rsidR="00EB0BED" w:rsidRPr="001E18F0">
        <w:rPr>
          <w:rFonts w:ascii="Arial Narrow" w:eastAsia="Times New Roman" w:hAnsi="Arial Narrow" w:cs="Times New Roman"/>
        </w:rPr>
        <w:t xml:space="preserve"> de 201</w:t>
      </w:r>
      <w:r w:rsidR="005B41E5" w:rsidRPr="001E18F0">
        <w:rPr>
          <w:rFonts w:ascii="Arial Narrow" w:eastAsia="Times New Roman" w:hAnsi="Arial Narrow" w:cs="Times New Roman"/>
        </w:rPr>
        <w:t>7</w:t>
      </w:r>
      <w:r w:rsidR="00EB0BED" w:rsidRPr="001E18F0">
        <w:rPr>
          <w:rFonts w:ascii="Arial Narrow" w:eastAsia="Times New Roman" w:hAnsi="Arial Narrow" w:cs="Times New Roman"/>
        </w:rPr>
        <w:t>;</w:t>
      </w:r>
      <w:r w:rsidRPr="001E18F0">
        <w:rPr>
          <w:rFonts w:ascii="Arial Narrow" w:eastAsia="Times New Roman" w:hAnsi="Arial Narrow" w:cs="Times New Roman"/>
        </w:rPr>
        <w:t xml:space="preserve"> dicha información fue </w:t>
      </w:r>
      <w:r w:rsidR="00EB0BED" w:rsidRPr="001E18F0">
        <w:rPr>
          <w:rFonts w:ascii="Arial Narrow" w:eastAsia="Times New Roman" w:hAnsi="Arial Narrow" w:cs="Times New Roman"/>
        </w:rPr>
        <w:t>analizada</w:t>
      </w:r>
      <w:r w:rsidRPr="001E18F0">
        <w:rPr>
          <w:rFonts w:ascii="Arial Narrow" w:eastAsia="Times New Roman" w:hAnsi="Arial Narrow" w:cs="Times New Roman"/>
        </w:rPr>
        <w:t xml:space="preserve"> por Parques Nacionales Naturales con base en lo reportado por las corporaciones y presentada ante este Ministerio</w:t>
      </w:r>
      <w:r w:rsidR="00F57C96" w:rsidRPr="001E18F0">
        <w:rPr>
          <w:rFonts w:ascii="Arial Narrow" w:eastAsia="Times New Roman" w:hAnsi="Arial Narrow" w:cs="Times New Roman"/>
        </w:rPr>
        <w:t>:</w:t>
      </w:r>
    </w:p>
    <w:p w:rsidR="00A55202" w:rsidRPr="001E18F0" w:rsidRDefault="00A55202" w:rsidP="00A55202">
      <w:pPr>
        <w:rPr>
          <w:rFonts w:ascii="Arial Narrow" w:hAnsi="Arial Narrow"/>
          <w:b/>
        </w:rPr>
        <w:sectPr w:rsidR="00A55202" w:rsidRPr="001E18F0" w:rsidSect="00F57C96">
          <w:headerReference w:type="default" r:id="rId8"/>
          <w:footerReference w:type="default" r:id="rId9"/>
          <w:pgSz w:w="12240" w:h="15840"/>
          <w:pgMar w:top="1418" w:right="1701" w:bottom="1418" w:left="1701" w:header="709" w:footer="709" w:gutter="0"/>
          <w:cols w:space="708"/>
          <w:docGrid w:linePitch="360"/>
        </w:sectPr>
      </w:pPr>
    </w:p>
    <w:p w:rsidR="00A55202" w:rsidRPr="001E18F0" w:rsidRDefault="00A55202" w:rsidP="00A55202">
      <w:pPr>
        <w:rPr>
          <w:rFonts w:ascii="Arial Narrow" w:hAnsi="Arial Narrow"/>
          <w:b/>
        </w:rPr>
      </w:pPr>
      <w:r w:rsidRPr="001E18F0">
        <w:rPr>
          <w:rFonts w:ascii="Arial Narrow" w:hAnsi="Arial Narrow"/>
          <w:b/>
        </w:rPr>
        <w:lastRenderedPageBreak/>
        <w:t>PROCESOS YA DECLARADOS</w:t>
      </w:r>
    </w:p>
    <w:tbl>
      <w:tblPr>
        <w:tblW w:w="5000" w:type="pct"/>
        <w:tblCellMar>
          <w:left w:w="70" w:type="dxa"/>
          <w:right w:w="70" w:type="dxa"/>
        </w:tblCellMar>
        <w:tblLook w:val="04A0" w:firstRow="1" w:lastRow="0" w:firstColumn="1" w:lastColumn="0" w:noHBand="0" w:noVBand="1"/>
      </w:tblPr>
      <w:tblGrid>
        <w:gridCol w:w="378"/>
        <w:gridCol w:w="1475"/>
        <w:gridCol w:w="2685"/>
        <w:gridCol w:w="1954"/>
        <w:gridCol w:w="1442"/>
        <w:gridCol w:w="1837"/>
        <w:gridCol w:w="972"/>
        <w:gridCol w:w="2251"/>
      </w:tblGrid>
      <w:tr w:rsidR="00771FFF" w:rsidRPr="001E18F0" w:rsidTr="00311863">
        <w:trPr>
          <w:trHeight w:val="20"/>
        </w:trPr>
        <w:tc>
          <w:tcPr>
            <w:tcW w:w="5000" w:type="pct"/>
            <w:gridSpan w:val="8"/>
            <w:tcBorders>
              <w:top w:val="single" w:sz="8" w:space="0" w:color="auto"/>
              <w:left w:val="single" w:sz="8" w:space="0" w:color="auto"/>
              <w:bottom w:val="single" w:sz="8" w:space="0" w:color="auto"/>
              <w:right w:val="nil"/>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Áreas protegidas declaradas, Resolución 2157 de 2017</w:t>
            </w:r>
          </w:p>
        </w:tc>
      </w:tr>
      <w:tr w:rsidR="00771FFF" w:rsidRPr="001E18F0" w:rsidTr="00311863">
        <w:trPr>
          <w:trHeight w:val="20"/>
        </w:trPr>
        <w:tc>
          <w:tcPr>
            <w:tcW w:w="145" w:type="pct"/>
            <w:tcBorders>
              <w:top w:val="nil"/>
              <w:left w:val="single" w:sz="8" w:space="0" w:color="auto"/>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No. </w:t>
            </w:r>
          </w:p>
        </w:tc>
        <w:tc>
          <w:tcPr>
            <w:tcW w:w="568" w:type="pct"/>
            <w:tcBorders>
              <w:top w:val="nil"/>
              <w:left w:val="nil"/>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Autoridad Ambiental  </w:t>
            </w:r>
          </w:p>
        </w:tc>
        <w:tc>
          <w:tcPr>
            <w:tcW w:w="1033" w:type="pct"/>
            <w:tcBorders>
              <w:top w:val="nil"/>
              <w:left w:val="nil"/>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Nombre del Área Protegida</w:t>
            </w:r>
          </w:p>
        </w:tc>
        <w:tc>
          <w:tcPr>
            <w:tcW w:w="752" w:type="pct"/>
            <w:tcBorders>
              <w:top w:val="nil"/>
              <w:left w:val="nil"/>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Categoría de Manejo</w:t>
            </w:r>
          </w:p>
        </w:tc>
        <w:tc>
          <w:tcPr>
            <w:tcW w:w="555" w:type="pct"/>
            <w:tcBorders>
              <w:top w:val="nil"/>
              <w:left w:val="nil"/>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Res. 2157 de 2017</w:t>
            </w:r>
          </w:p>
        </w:tc>
        <w:tc>
          <w:tcPr>
            <w:tcW w:w="707" w:type="pct"/>
            <w:tcBorders>
              <w:top w:val="nil"/>
              <w:left w:val="nil"/>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Hectáreas acto administrativo</w:t>
            </w:r>
          </w:p>
        </w:tc>
        <w:tc>
          <w:tcPr>
            <w:tcW w:w="374" w:type="pct"/>
            <w:tcBorders>
              <w:top w:val="nil"/>
              <w:left w:val="nil"/>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liberada</w:t>
            </w:r>
          </w:p>
        </w:tc>
        <w:tc>
          <w:tcPr>
            <w:tcW w:w="866" w:type="pct"/>
            <w:tcBorders>
              <w:top w:val="nil"/>
              <w:left w:val="nil"/>
              <w:bottom w:val="nil"/>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Acto Administrativo </w:t>
            </w:r>
          </w:p>
        </w:tc>
      </w:tr>
      <w:tr w:rsidR="00771FFF" w:rsidRPr="001E18F0" w:rsidTr="00311863">
        <w:trPr>
          <w:trHeight w:val="20"/>
        </w:trPr>
        <w:tc>
          <w:tcPr>
            <w:tcW w:w="145"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w:t>
            </w:r>
          </w:p>
        </w:tc>
        <w:tc>
          <w:tcPr>
            <w:tcW w:w="568" w:type="pct"/>
            <w:tcBorders>
              <w:top w:val="single" w:sz="8" w:space="0" w:color="auto"/>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CORANTIOQUIA</w:t>
            </w:r>
          </w:p>
        </w:tc>
        <w:tc>
          <w:tcPr>
            <w:tcW w:w="1033" w:type="pct"/>
            <w:tcBorders>
              <w:top w:val="single" w:sz="8" w:space="0" w:color="auto"/>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Ciénagas El Sapo y Hoyo Grande</w:t>
            </w:r>
          </w:p>
        </w:tc>
        <w:tc>
          <w:tcPr>
            <w:tcW w:w="752" w:type="pct"/>
            <w:tcBorders>
              <w:top w:val="single" w:sz="8" w:space="0" w:color="auto"/>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Distrito Regional de Manejo Integrado </w:t>
            </w:r>
          </w:p>
        </w:tc>
        <w:tc>
          <w:tcPr>
            <w:tcW w:w="555" w:type="pct"/>
            <w:tcBorders>
              <w:top w:val="single" w:sz="8" w:space="0" w:color="auto"/>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12.614,15</w:t>
            </w:r>
          </w:p>
        </w:tc>
        <w:tc>
          <w:tcPr>
            <w:tcW w:w="707" w:type="pct"/>
            <w:tcBorders>
              <w:top w:val="single" w:sz="8" w:space="0" w:color="auto"/>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12.227,20</w:t>
            </w:r>
          </w:p>
        </w:tc>
        <w:tc>
          <w:tcPr>
            <w:tcW w:w="374" w:type="pct"/>
            <w:tcBorders>
              <w:top w:val="single" w:sz="8" w:space="0" w:color="auto"/>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386,95</w:t>
            </w:r>
          </w:p>
        </w:tc>
        <w:tc>
          <w:tcPr>
            <w:tcW w:w="866" w:type="pct"/>
            <w:tcBorders>
              <w:top w:val="single" w:sz="8" w:space="0" w:color="auto"/>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Acuerdo 508 del 26 de octubre de 2017</w:t>
            </w:r>
          </w:p>
        </w:tc>
      </w:tr>
      <w:tr w:rsidR="00771FFF" w:rsidRPr="001E18F0" w:rsidTr="00311863">
        <w:trPr>
          <w:trHeight w:val="20"/>
        </w:trPr>
        <w:tc>
          <w:tcPr>
            <w:tcW w:w="145" w:type="pct"/>
            <w:tcBorders>
              <w:top w:val="nil"/>
              <w:left w:val="single" w:sz="8" w:space="0" w:color="auto"/>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2</w:t>
            </w:r>
          </w:p>
        </w:tc>
        <w:tc>
          <w:tcPr>
            <w:tcW w:w="568"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CORTOLIMA</w:t>
            </w:r>
          </w:p>
        </w:tc>
        <w:tc>
          <w:tcPr>
            <w:tcW w:w="1033"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proofErr w:type="spellStart"/>
            <w:r w:rsidRPr="001E18F0">
              <w:rPr>
                <w:rFonts w:ascii="Arial Narrow" w:eastAsia="Times New Roman" w:hAnsi="Arial Narrow" w:cs="Times New Roman"/>
                <w:sz w:val="18"/>
                <w:szCs w:val="18"/>
                <w:lang w:val="es-CO" w:eastAsia="es-CO"/>
              </w:rPr>
              <w:t>Anaime</w:t>
            </w:r>
            <w:proofErr w:type="spellEnd"/>
            <w:r w:rsidRPr="001E18F0">
              <w:rPr>
                <w:rFonts w:ascii="Arial Narrow" w:eastAsia="Times New Roman" w:hAnsi="Arial Narrow" w:cs="Times New Roman"/>
                <w:sz w:val="18"/>
                <w:szCs w:val="18"/>
                <w:lang w:val="es-CO" w:eastAsia="es-CO"/>
              </w:rPr>
              <w:t xml:space="preserve"> - </w:t>
            </w:r>
            <w:proofErr w:type="spellStart"/>
            <w:r w:rsidRPr="001E18F0">
              <w:rPr>
                <w:rFonts w:ascii="Arial Narrow" w:eastAsia="Times New Roman" w:hAnsi="Arial Narrow" w:cs="Times New Roman"/>
                <w:sz w:val="18"/>
                <w:szCs w:val="18"/>
                <w:lang w:val="es-CO" w:eastAsia="es-CO"/>
              </w:rPr>
              <w:t>Chilí</w:t>
            </w:r>
            <w:proofErr w:type="spellEnd"/>
          </w:p>
        </w:tc>
        <w:tc>
          <w:tcPr>
            <w:tcW w:w="752"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Parque Natural Regional </w:t>
            </w:r>
          </w:p>
        </w:tc>
        <w:tc>
          <w:tcPr>
            <w:tcW w:w="555"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30.444,48</w:t>
            </w:r>
          </w:p>
        </w:tc>
        <w:tc>
          <w:tcPr>
            <w:tcW w:w="707"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12.946</w:t>
            </w:r>
          </w:p>
        </w:tc>
        <w:tc>
          <w:tcPr>
            <w:tcW w:w="374"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17.498,48</w:t>
            </w:r>
          </w:p>
        </w:tc>
        <w:tc>
          <w:tcPr>
            <w:tcW w:w="866"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Acuerdo 023 del 27 de diciembre de 2017</w:t>
            </w:r>
          </w:p>
        </w:tc>
      </w:tr>
      <w:tr w:rsidR="00771FFF" w:rsidRPr="001E18F0" w:rsidTr="00311863">
        <w:trPr>
          <w:trHeight w:val="20"/>
        </w:trPr>
        <w:tc>
          <w:tcPr>
            <w:tcW w:w="145" w:type="pct"/>
            <w:tcBorders>
              <w:top w:val="nil"/>
              <w:left w:val="single" w:sz="8" w:space="0" w:color="auto"/>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3</w:t>
            </w:r>
          </w:p>
        </w:tc>
        <w:tc>
          <w:tcPr>
            <w:tcW w:w="568"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CORPOCALDAS</w:t>
            </w:r>
          </w:p>
        </w:tc>
        <w:tc>
          <w:tcPr>
            <w:tcW w:w="1033"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Cerro de Guadalupe</w:t>
            </w:r>
          </w:p>
        </w:tc>
        <w:tc>
          <w:tcPr>
            <w:tcW w:w="752"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Distrito Regional de Manejo Integrado </w:t>
            </w:r>
          </w:p>
        </w:tc>
        <w:tc>
          <w:tcPr>
            <w:tcW w:w="555"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1.608,13</w:t>
            </w:r>
          </w:p>
        </w:tc>
        <w:tc>
          <w:tcPr>
            <w:tcW w:w="707"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1.608</w:t>
            </w:r>
          </w:p>
        </w:tc>
        <w:tc>
          <w:tcPr>
            <w:tcW w:w="374"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0,13</w:t>
            </w:r>
          </w:p>
        </w:tc>
        <w:tc>
          <w:tcPr>
            <w:tcW w:w="866"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Acuerdo 25 del 3 de octubre de 2017</w:t>
            </w:r>
          </w:p>
        </w:tc>
      </w:tr>
      <w:tr w:rsidR="00771FFF" w:rsidRPr="001E18F0" w:rsidTr="00311863">
        <w:trPr>
          <w:trHeight w:val="20"/>
        </w:trPr>
        <w:tc>
          <w:tcPr>
            <w:tcW w:w="145" w:type="pct"/>
            <w:tcBorders>
              <w:top w:val="nil"/>
              <w:left w:val="single" w:sz="8" w:space="0" w:color="auto"/>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4</w:t>
            </w:r>
          </w:p>
        </w:tc>
        <w:tc>
          <w:tcPr>
            <w:tcW w:w="568"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CAM </w:t>
            </w:r>
          </w:p>
        </w:tc>
        <w:tc>
          <w:tcPr>
            <w:tcW w:w="1033"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Serranía de Peñas Blancas </w:t>
            </w:r>
          </w:p>
        </w:tc>
        <w:tc>
          <w:tcPr>
            <w:tcW w:w="752"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Distrito Regional de Manejo Integrado </w:t>
            </w:r>
          </w:p>
        </w:tc>
        <w:tc>
          <w:tcPr>
            <w:tcW w:w="555"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33.821,11</w:t>
            </w:r>
          </w:p>
        </w:tc>
        <w:tc>
          <w:tcPr>
            <w:tcW w:w="707"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32.793</w:t>
            </w:r>
          </w:p>
        </w:tc>
        <w:tc>
          <w:tcPr>
            <w:tcW w:w="374"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1.028,11</w:t>
            </w:r>
          </w:p>
        </w:tc>
        <w:tc>
          <w:tcPr>
            <w:tcW w:w="866"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Acuerdo 003 del 22 de marzo de 2018</w:t>
            </w:r>
          </w:p>
        </w:tc>
      </w:tr>
      <w:tr w:rsidR="00771FFF" w:rsidRPr="001E18F0" w:rsidTr="00311863">
        <w:trPr>
          <w:trHeight w:val="20"/>
        </w:trPr>
        <w:tc>
          <w:tcPr>
            <w:tcW w:w="145" w:type="pct"/>
            <w:tcBorders>
              <w:top w:val="nil"/>
              <w:left w:val="single" w:sz="8" w:space="0" w:color="auto"/>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5</w:t>
            </w:r>
          </w:p>
        </w:tc>
        <w:tc>
          <w:tcPr>
            <w:tcW w:w="568"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CORANTIOQUIA</w:t>
            </w:r>
          </w:p>
        </w:tc>
        <w:tc>
          <w:tcPr>
            <w:tcW w:w="1033"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Ciénaga de Chiqueros </w:t>
            </w:r>
          </w:p>
        </w:tc>
        <w:tc>
          <w:tcPr>
            <w:tcW w:w="752"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Distrito Regional de Manejo Integrado </w:t>
            </w:r>
          </w:p>
        </w:tc>
        <w:tc>
          <w:tcPr>
            <w:tcW w:w="555"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6.772,41</w:t>
            </w:r>
          </w:p>
        </w:tc>
        <w:tc>
          <w:tcPr>
            <w:tcW w:w="707"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6.764,94</w:t>
            </w:r>
          </w:p>
        </w:tc>
        <w:tc>
          <w:tcPr>
            <w:tcW w:w="374"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7,47</w:t>
            </w:r>
          </w:p>
        </w:tc>
        <w:tc>
          <w:tcPr>
            <w:tcW w:w="866"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Acuerdo 543 del 22 de agosto de 2018</w:t>
            </w:r>
          </w:p>
        </w:tc>
      </w:tr>
      <w:tr w:rsidR="00771FFF" w:rsidRPr="001E18F0" w:rsidTr="00311863">
        <w:trPr>
          <w:trHeight w:val="20"/>
        </w:trPr>
        <w:tc>
          <w:tcPr>
            <w:tcW w:w="145" w:type="pct"/>
            <w:tcBorders>
              <w:top w:val="nil"/>
              <w:left w:val="single" w:sz="8" w:space="0" w:color="auto"/>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6</w:t>
            </w:r>
          </w:p>
        </w:tc>
        <w:tc>
          <w:tcPr>
            <w:tcW w:w="568"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CAM </w:t>
            </w:r>
          </w:p>
        </w:tc>
        <w:tc>
          <w:tcPr>
            <w:tcW w:w="1033"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El Dorado (</w:t>
            </w:r>
            <w:r w:rsidR="00463EFA" w:rsidRPr="001E18F0">
              <w:rPr>
                <w:rFonts w:ascii="Arial Narrow" w:eastAsia="Times New Roman" w:hAnsi="Arial Narrow" w:cs="Times New Roman"/>
                <w:sz w:val="18"/>
                <w:szCs w:val="18"/>
                <w:lang w:val="es-CO" w:eastAsia="es-CO"/>
              </w:rPr>
              <w:t>Ampliación</w:t>
            </w:r>
            <w:r w:rsidRPr="001E18F0">
              <w:rPr>
                <w:rFonts w:ascii="Arial Narrow" w:eastAsia="Times New Roman" w:hAnsi="Arial Narrow" w:cs="Times New Roman"/>
                <w:sz w:val="18"/>
                <w:szCs w:val="18"/>
                <w:lang w:val="es-CO" w:eastAsia="es-CO"/>
              </w:rPr>
              <w:t xml:space="preserve"> del PNR Serranía de las Minas)</w:t>
            </w:r>
          </w:p>
        </w:tc>
        <w:tc>
          <w:tcPr>
            <w:tcW w:w="752"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 xml:space="preserve">Parque Natural Regional </w:t>
            </w:r>
          </w:p>
        </w:tc>
        <w:tc>
          <w:tcPr>
            <w:tcW w:w="555"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31.464,38</w:t>
            </w:r>
          </w:p>
        </w:tc>
        <w:tc>
          <w:tcPr>
            <w:tcW w:w="707"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28.573,00</w:t>
            </w:r>
          </w:p>
        </w:tc>
        <w:tc>
          <w:tcPr>
            <w:tcW w:w="374"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2.891,38</w:t>
            </w:r>
          </w:p>
        </w:tc>
        <w:tc>
          <w:tcPr>
            <w:tcW w:w="866" w:type="pct"/>
            <w:tcBorders>
              <w:top w:val="nil"/>
              <w:left w:val="nil"/>
              <w:bottom w:val="single" w:sz="8" w:space="0" w:color="auto"/>
              <w:right w:val="single" w:sz="8" w:space="0" w:color="auto"/>
            </w:tcBorders>
            <w:shd w:val="clear" w:color="000000" w:fill="FFFFFF"/>
            <w:vAlign w:val="center"/>
            <w:hideMark/>
          </w:tcPr>
          <w:p w:rsidR="00771FFF" w:rsidRPr="001E18F0" w:rsidRDefault="00771FFF" w:rsidP="00771FFF">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CO" w:eastAsia="es-CO"/>
              </w:rPr>
              <w:t>Acuerdo 011 del 26 de julio de 2018</w:t>
            </w:r>
          </w:p>
        </w:tc>
      </w:tr>
      <w:tr w:rsidR="00771FFF" w:rsidRPr="001E18F0" w:rsidTr="00311863">
        <w:trPr>
          <w:trHeight w:val="20"/>
        </w:trPr>
        <w:tc>
          <w:tcPr>
            <w:tcW w:w="2498" w:type="pct"/>
            <w:gridSpan w:val="4"/>
            <w:tcBorders>
              <w:top w:val="single" w:sz="8" w:space="0" w:color="auto"/>
              <w:left w:val="single" w:sz="8" w:space="0" w:color="auto"/>
              <w:bottom w:val="single" w:sz="8" w:space="0" w:color="auto"/>
              <w:right w:val="single" w:sz="8" w:space="0" w:color="000000"/>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Total hectáreas </w:t>
            </w:r>
          </w:p>
        </w:tc>
        <w:tc>
          <w:tcPr>
            <w:tcW w:w="555" w:type="pct"/>
            <w:tcBorders>
              <w:top w:val="nil"/>
              <w:left w:val="nil"/>
              <w:bottom w:val="single" w:sz="8" w:space="0" w:color="auto"/>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116.724,67</w:t>
            </w:r>
          </w:p>
        </w:tc>
        <w:tc>
          <w:tcPr>
            <w:tcW w:w="707" w:type="pct"/>
            <w:tcBorders>
              <w:top w:val="nil"/>
              <w:left w:val="nil"/>
              <w:bottom w:val="single" w:sz="8" w:space="0" w:color="auto"/>
              <w:right w:val="single" w:sz="8" w:space="0" w:color="auto"/>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sz w:val="18"/>
                <w:szCs w:val="18"/>
                <w:lang w:val="es-CO" w:eastAsia="es-CO"/>
              </w:rPr>
            </w:pPr>
            <w:r w:rsidRPr="001E18F0">
              <w:rPr>
                <w:rFonts w:ascii="Arial Narrow" w:eastAsia="Times New Roman" w:hAnsi="Arial Narrow" w:cs="Times New Roman"/>
                <w:b/>
                <w:bCs/>
                <w:sz w:val="18"/>
                <w:szCs w:val="18"/>
                <w:lang w:val="es-CO" w:eastAsia="es-CO"/>
              </w:rPr>
              <w:t>94.912,14</w:t>
            </w:r>
          </w:p>
        </w:tc>
        <w:tc>
          <w:tcPr>
            <w:tcW w:w="374" w:type="pct"/>
            <w:tcBorders>
              <w:top w:val="nil"/>
              <w:left w:val="nil"/>
              <w:bottom w:val="nil"/>
              <w:right w:val="nil"/>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sz w:val="18"/>
                <w:szCs w:val="18"/>
                <w:lang w:val="es-CO" w:eastAsia="es-CO"/>
              </w:rPr>
            </w:pPr>
            <w:r w:rsidRPr="001E18F0">
              <w:rPr>
                <w:rFonts w:ascii="Arial Narrow" w:eastAsia="Times New Roman" w:hAnsi="Arial Narrow" w:cs="Times New Roman"/>
                <w:b/>
                <w:bCs/>
                <w:sz w:val="18"/>
                <w:szCs w:val="18"/>
                <w:lang w:val="es-CO" w:eastAsia="es-CO"/>
              </w:rPr>
              <w:t>21.812,53</w:t>
            </w:r>
          </w:p>
        </w:tc>
        <w:tc>
          <w:tcPr>
            <w:tcW w:w="866" w:type="pct"/>
            <w:tcBorders>
              <w:top w:val="nil"/>
              <w:left w:val="nil"/>
              <w:bottom w:val="nil"/>
              <w:right w:val="nil"/>
            </w:tcBorders>
            <w:shd w:val="clear" w:color="auto" w:fill="92D050"/>
            <w:vAlign w:val="center"/>
            <w:hideMark/>
          </w:tcPr>
          <w:p w:rsidR="00771FFF" w:rsidRPr="001E18F0" w:rsidRDefault="00771FFF" w:rsidP="00771FFF">
            <w:pPr>
              <w:jc w:val="center"/>
              <w:rPr>
                <w:rFonts w:ascii="Arial Narrow" w:eastAsia="Times New Roman" w:hAnsi="Arial Narrow" w:cs="Times New Roman"/>
                <w:b/>
                <w:bCs/>
                <w:sz w:val="18"/>
                <w:szCs w:val="18"/>
                <w:lang w:val="es-CO" w:eastAsia="es-CO"/>
              </w:rPr>
            </w:pPr>
          </w:p>
        </w:tc>
      </w:tr>
    </w:tbl>
    <w:p w:rsidR="00A55202" w:rsidRPr="001E18F0" w:rsidRDefault="00A55202" w:rsidP="00A55202">
      <w:pPr>
        <w:rPr>
          <w:rFonts w:ascii="Arial Narrow" w:hAnsi="Arial Narrow"/>
        </w:rPr>
      </w:pPr>
    </w:p>
    <w:p w:rsidR="00A55202" w:rsidRPr="001E18F0" w:rsidRDefault="00A55202" w:rsidP="00A55202">
      <w:pPr>
        <w:rPr>
          <w:rFonts w:ascii="Arial Narrow" w:hAnsi="Arial Narrow"/>
          <w:b/>
        </w:rPr>
      </w:pPr>
      <w:r w:rsidRPr="001E18F0">
        <w:rPr>
          <w:rFonts w:ascii="Arial Narrow" w:hAnsi="Arial Narrow"/>
          <w:b/>
        </w:rPr>
        <w:t xml:space="preserve">ÁREAS QUE PRESENTARON MODIFICACIÓN DEL ÁREA </w:t>
      </w:r>
    </w:p>
    <w:p w:rsidR="00A55202" w:rsidRPr="001E18F0" w:rsidRDefault="00A55202" w:rsidP="00A55202">
      <w:pPr>
        <w:rPr>
          <w:rFonts w:ascii="Arial Narrow" w:hAnsi="Arial Narrow"/>
          <w:b/>
        </w:rPr>
      </w:pPr>
    </w:p>
    <w:tbl>
      <w:tblPr>
        <w:tblW w:w="0" w:type="auto"/>
        <w:tblInd w:w="-5" w:type="dxa"/>
        <w:tblCellMar>
          <w:left w:w="70" w:type="dxa"/>
          <w:right w:w="70" w:type="dxa"/>
        </w:tblCellMar>
        <w:tblLook w:val="04A0" w:firstRow="1" w:lastRow="0" w:firstColumn="1" w:lastColumn="0" w:noHBand="0" w:noVBand="1"/>
      </w:tblPr>
      <w:tblGrid>
        <w:gridCol w:w="699"/>
        <w:gridCol w:w="1281"/>
        <w:gridCol w:w="1403"/>
        <w:gridCol w:w="1403"/>
        <w:gridCol w:w="751"/>
        <w:gridCol w:w="819"/>
        <w:gridCol w:w="810"/>
        <w:gridCol w:w="810"/>
        <w:gridCol w:w="723"/>
        <w:gridCol w:w="818"/>
        <w:gridCol w:w="1143"/>
        <w:gridCol w:w="2339"/>
      </w:tblGrid>
      <w:tr w:rsidR="004F3F21" w:rsidRPr="001E18F0" w:rsidTr="00C3178B">
        <w:trPr>
          <w:trHeight w:val="20"/>
          <w:tblHeader/>
        </w:trPr>
        <w:tc>
          <w:tcPr>
            <w:tcW w:w="0" w:type="auto"/>
            <w:gridSpan w:val="12"/>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AUMENTARON</w:t>
            </w:r>
          </w:p>
        </w:tc>
      </w:tr>
      <w:tr w:rsidR="004F3F21" w:rsidRPr="001E18F0" w:rsidTr="00184173">
        <w:trPr>
          <w:trHeight w:val="20"/>
          <w:tblHeader/>
        </w:trPr>
        <w:tc>
          <w:tcPr>
            <w:tcW w:w="0" w:type="auto"/>
            <w:tcBorders>
              <w:top w:val="nil"/>
              <w:left w:val="single" w:sz="4" w:space="0" w:color="auto"/>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Numero </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Corporación</w:t>
            </w:r>
          </w:p>
        </w:tc>
        <w:tc>
          <w:tcPr>
            <w:tcW w:w="0" w:type="auto"/>
            <w:gridSpan w:val="2"/>
            <w:tcBorders>
              <w:top w:val="single" w:sz="4" w:space="0" w:color="auto"/>
              <w:left w:val="nil"/>
              <w:bottom w:val="single" w:sz="4" w:space="0" w:color="auto"/>
              <w:right w:val="single" w:sz="4" w:space="0" w:color="000000"/>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Estado / Fase</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Proceso</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Posible categoría</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2157</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Área actual </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Área liberada </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Aumento de área</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Información Minera</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Principales aspectos que justifican la  modificación</w:t>
            </w:r>
          </w:p>
        </w:tc>
      </w:tr>
      <w:tr w:rsidR="004F3F21" w:rsidRPr="001E18F0" w:rsidTr="00184173">
        <w:trPr>
          <w:trHeight w:val="20"/>
          <w:tblHeader/>
        </w:trPr>
        <w:tc>
          <w:tcPr>
            <w:tcW w:w="0" w:type="auto"/>
            <w:tcBorders>
              <w:top w:val="nil"/>
              <w:left w:val="single" w:sz="4" w:space="0" w:color="auto"/>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En 2157</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Actualmente</w:t>
            </w: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r>
      <w:tr w:rsidR="004F3F21" w:rsidRPr="001E18F0" w:rsidTr="00C3178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CORANTIOQUIA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Bosque Seco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000000" w:fill="FFFFFF"/>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44.116,32</w:t>
            </w:r>
          </w:p>
        </w:tc>
        <w:tc>
          <w:tcPr>
            <w:tcW w:w="0" w:type="auto"/>
            <w:tcBorders>
              <w:top w:val="nil"/>
              <w:left w:val="nil"/>
              <w:bottom w:val="single" w:sz="4" w:space="0" w:color="auto"/>
              <w:right w:val="single" w:sz="4" w:space="0" w:color="auto"/>
            </w:tcBorders>
            <w:shd w:val="clear" w:color="000000" w:fill="FFFFFF"/>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74.596,96</w:t>
            </w:r>
          </w:p>
        </w:tc>
        <w:tc>
          <w:tcPr>
            <w:tcW w:w="0" w:type="auto"/>
            <w:tcBorders>
              <w:top w:val="nil"/>
              <w:left w:val="nil"/>
              <w:bottom w:val="single" w:sz="4" w:space="0" w:color="auto"/>
              <w:right w:val="single" w:sz="4" w:space="0" w:color="auto"/>
            </w:tcBorders>
            <w:shd w:val="clear" w:color="000000" w:fill="FFFFFF"/>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0" w:type="auto"/>
            <w:tcBorders>
              <w:top w:val="nil"/>
              <w:left w:val="nil"/>
              <w:bottom w:val="single" w:sz="4" w:space="0" w:color="auto"/>
              <w:right w:val="single" w:sz="4" w:space="0" w:color="auto"/>
            </w:tcBorders>
            <w:shd w:val="clear" w:color="000000" w:fill="FFFFFF"/>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30.480,64</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Traslape con AEM 30.788,72 ha</w:t>
            </w:r>
            <w:r w:rsidRPr="001E18F0">
              <w:rPr>
                <w:rFonts w:ascii="Arial Narrow" w:eastAsia="Times New Roman" w:hAnsi="Arial Narrow" w:cs="Times New Roman"/>
                <w:color w:val="000000"/>
                <w:sz w:val="18"/>
                <w:szCs w:val="18"/>
                <w:lang w:val="es-CO" w:eastAsia="es-CO"/>
              </w:rPr>
              <w:br/>
              <w:t>102 solicitudes de título con 29.125,72 ha</w:t>
            </w:r>
            <w:r w:rsidRPr="001E18F0">
              <w:rPr>
                <w:rFonts w:ascii="Arial Narrow" w:eastAsia="Times New Roman" w:hAnsi="Arial Narrow" w:cs="Times New Roman"/>
                <w:color w:val="000000"/>
                <w:sz w:val="18"/>
                <w:szCs w:val="18"/>
                <w:lang w:val="es-CO" w:eastAsia="es-CO"/>
              </w:rPr>
              <w:br/>
              <w:t>29 títulos mineros vigentes con superficie de 29.125,65 ha</w:t>
            </w:r>
            <w:r w:rsidRPr="001E18F0">
              <w:rPr>
                <w:rFonts w:ascii="Arial Narrow" w:eastAsia="Times New Roman" w:hAnsi="Arial Narrow" w:cs="Times New Roman"/>
                <w:color w:val="000000"/>
                <w:sz w:val="18"/>
                <w:szCs w:val="18"/>
                <w:lang w:val="es-CO" w:eastAsia="es-CO"/>
              </w:rPr>
              <w:br/>
              <w:t xml:space="preserve">5 Procesos formalización y </w:t>
            </w:r>
            <w:r w:rsidRPr="001E18F0">
              <w:rPr>
                <w:rFonts w:ascii="Arial Narrow" w:eastAsia="Times New Roman" w:hAnsi="Arial Narrow" w:cs="Times New Roman"/>
                <w:color w:val="000000"/>
                <w:sz w:val="18"/>
                <w:szCs w:val="18"/>
                <w:lang w:val="es-CO" w:eastAsia="es-CO"/>
              </w:rPr>
              <w:lastRenderedPageBreak/>
              <w:t>legalización con superficie 278,39 ha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lastRenderedPageBreak/>
              <w:t>Distribución de los valores objeto de conservación y conectividad ecológica</w:t>
            </w:r>
            <w:r w:rsidRPr="001E18F0">
              <w:rPr>
                <w:rFonts w:ascii="Arial Narrow" w:eastAsia="Times New Roman" w:hAnsi="Arial Narrow" w:cs="Times New Roman"/>
                <w:color w:val="000000"/>
                <w:sz w:val="18"/>
                <w:szCs w:val="18"/>
                <w:lang w:val="es-CO" w:eastAsia="es-CO"/>
              </w:rPr>
              <w:br/>
              <w:t>Presencia de comunidades afrodescendientes e indígenas (proceso adicional de concertación con estas comunidades y demás actores.</w:t>
            </w:r>
          </w:p>
        </w:tc>
      </w:tr>
      <w:tr w:rsidR="004F3F21" w:rsidRPr="001E18F0" w:rsidTr="00C3178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lastRenderedPageBreak/>
              <w:t>2</w:t>
            </w:r>
          </w:p>
        </w:tc>
        <w:tc>
          <w:tcPr>
            <w:tcW w:w="0" w:type="auto"/>
            <w:tcBorders>
              <w:top w:val="nil"/>
              <w:left w:val="nil"/>
              <w:bottom w:val="single" w:sz="4" w:space="0" w:color="auto"/>
              <w:right w:val="single" w:sz="4" w:space="0" w:color="auto"/>
            </w:tcBorders>
            <w:shd w:val="clear" w:color="auto" w:fill="auto"/>
            <w:noWrap/>
            <w:vAlign w:val="center"/>
            <w:hideMark/>
          </w:tcPr>
          <w:p w:rsidR="004F3F21" w:rsidRPr="001E18F0" w:rsidRDefault="004F3F21" w:rsidP="004F3F21">
            <w:pPr>
              <w:jc w:val="center"/>
              <w:rPr>
                <w:rFonts w:ascii="Arial Narrow" w:eastAsia="Times New Roman" w:hAnsi="Arial Narrow" w:cs="Times New Roman"/>
                <w:sz w:val="18"/>
                <w:szCs w:val="18"/>
                <w:lang w:val="es-CO" w:eastAsia="es-CO"/>
              </w:rPr>
            </w:pPr>
            <w:proofErr w:type="spellStart"/>
            <w:r w:rsidRPr="001E18F0">
              <w:rPr>
                <w:rFonts w:ascii="Arial Narrow" w:eastAsia="Times New Roman" w:hAnsi="Arial Narrow" w:cs="Times New Roman"/>
                <w:sz w:val="18"/>
                <w:szCs w:val="18"/>
                <w:lang w:val="es-CO" w:eastAsia="es-CO"/>
              </w:rPr>
              <w:t>Corpocaldas</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Bosque del Gigante</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DCS</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296,03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729,10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433,07</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AEM con una superficie de 54,30</w:t>
            </w:r>
            <w:r w:rsidRPr="001E18F0">
              <w:rPr>
                <w:rFonts w:ascii="Arial Narrow" w:eastAsia="Times New Roman" w:hAnsi="Arial Narrow" w:cs="Times New Roman"/>
                <w:color w:val="000000"/>
                <w:sz w:val="18"/>
                <w:szCs w:val="18"/>
                <w:lang w:val="es-CO" w:eastAsia="es-CO"/>
              </w:rPr>
              <w:br/>
              <w:t>2 solicitudes de títulos mineros con 443,02</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Necesidad del municipio de Salamina de proteger los recursos naturales existentes en esta zona y que son el referente para la producción de bienes y servicios ecosistémicos para los habitantes del municipio de Salamina con énfasis en el recurso hídrico para el abastecimiento de la población del casco urbano donde residen más de 10.400 personas para un total de 2600 usuarios del recurso agua.</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El área cuenta con documento técnico de soporte y concepto previo favorable del Instituto Alexander Von Humboldt, a la espera de certificación del </w:t>
            </w:r>
            <w:proofErr w:type="spellStart"/>
            <w:r w:rsidRPr="001E18F0">
              <w:rPr>
                <w:rFonts w:ascii="Arial Narrow" w:eastAsia="Times New Roman" w:hAnsi="Arial Narrow" w:cs="Times New Roman"/>
                <w:color w:val="000000"/>
                <w:sz w:val="18"/>
                <w:szCs w:val="18"/>
                <w:lang w:val="es-CO" w:eastAsia="es-CO"/>
              </w:rPr>
              <w:t>Minterior</w:t>
            </w:r>
            <w:proofErr w:type="spellEnd"/>
            <w:r w:rsidRPr="001E18F0">
              <w:rPr>
                <w:rFonts w:ascii="Arial Narrow" w:eastAsia="Times New Roman" w:hAnsi="Arial Narrow" w:cs="Times New Roman"/>
                <w:color w:val="000000"/>
                <w:sz w:val="18"/>
                <w:szCs w:val="18"/>
                <w:lang w:val="es-CO" w:eastAsia="es-CO"/>
              </w:rPr>
              <w:t xml:space="preserve"> sobre la presencia de grupos étnicos, el cual una vez obtenido se presentará ante el Consejo Directivo de </w:t>
            </w:r>
            <w:proofErr w:type="spellStart"/>
            <w:r w:rsidRPr="001E18F0">
              <w:rPr>
                <w:rFonts w:ascii="Arial Narrow" w:eastAsia="Times New Roman" w:hAnsi="Arial Narrow" w:cs="Times New Roman"/>
                <w:color w:val="000000"/>
                <w:sz w:val="18"/>
                <w:szCs w:val="18"/>
                <w:lang w:val="es-CO" w:eastAsia="es-CO"/>
              </w:rPr>
              <w:t>Corpocaldas</w:t>
            </w:r>
            <w:proofErr w:type="spellEnd"/>
            <w:r w:rsidRPr="001E18F0">
              <w:rPr>
                <w:rFonts w:ascii="Arial Narrow" w:eastAsia="Times New Roman" w:hAnsi="Arial Narrow" w:cs="Times New Roman"/>
                <w:color w:val="000000"/>
                <w:sz w:val="18"/>
                <w:szCs w:val="18"/>
                <w:lang w:val="es-CO" w:eastAsia="es-CO"/>
              </w:rPr>
              <w:t xml:space="preserve"> para la respectiva declaratoria, estado de avance del 90%</w:t>
            </w:r>
          </w:p>
        </w:tc>
      </w:tr>
      <w:tr w:rsidR="004F3F21" w:rsidRPr="001E18F0" w:rsidTr="00C3178B">
        <w:trPr>
          <w:trHeight w:val="20"/>
        </w:trPr>
        <w:tc>
          <w:tcPr>
            <w:tcW w:w="0" w:type="auto"/>
            <w:gridSpan w:val="6"/>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Total aumento</w:t>
            </w:r>
          </w:p>
        </w:tc>
        <w:tc>
          <w:tcPr>
            <w:tcW w:w="0" w:type="auto"/>
            <w:tcBorders>
              <w:top w:val="nil"/>
              <w:left w:val="nil"/>
              <w:bottom w:val="single" w:sz="4" w:space="0" w:color="auto"/>
              <w:right w:val="single" w:sz="4" w:space="0" w:color="auto"/>
            </w:tcBorders>
            <w:shd w:val="clear" w:color="000000" w:fill="BFBFBF"/>
            <w:noWrap/>
            <w:vAlign w:val="bottom"/>
            <w:hideMark/>
          </w:tcPr>
          <w:p w:rsidR="004F3F21" w:rsidRPr="001E18F0" w:rsidRDefault="004F3F21" w:rsidP="004F3F21">
            <w:pPr>
              <w:jc w:val="right"/>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44.412,35</w:t>
            </w:r>
          </w:p>
        </w:tc>
        <w:tc>
          <w:tcPr>
            <w:tcW w:w="0" w:type="auto"/>
            <w:tcBorders>
              <w:top w:val="nil"/>
              <w:left w:val="nil"/>
              <w:bottom w:val="single" w:sz="4" w:space="0" w:color="auto"/>
              <w:right w:val="single" w:sz="4" w:space="0" w:color="auto"/>
            </w:tcBorders>
            <w:shd w:val="clear" w:color="000000" w:fill="BFBFBF"/>
            <w:noWrap/>
            <w:vAlign w:val="bottom"/>
            <w:hideMark/>
          </w:tcPr>
          <w:p w:rsidR="004F3F21" w:rsidRPr="001E18F0" w:rsidRDefault="004F3F21" w:rsidP="004F3F21">
            <w:pPr>
              <w:jc w:val="right"/>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75.326,06</w:t>
            </w:r>
          </w:p>
        </w:tc>
        <w:tc>
          <w:tcPr>
            <w:tcW w:w="0" w:type="auto"/>
            <w:tcBorders>
              <w:top w:val="nil"/>
              <w:left w:val="nil"/>
              <w:bottom w:val="single" w:sz="4" w:space="0" w:color="auto"/>
              <w:right w:val="single" w:sz="4" w:space="0" w:color="auto"/>
            </w:tcBorders>
            <w:shd w:val="clear" w:color="000000" w:fill="BFBFBF"/>
            <w:noWrap/>
            <w:vAlign w:val="bottom"/>
            <w:hideMark/>
          </w:tcPr>
          <w:p w:rsidR="004F3F21" w:rsidRPr="001E18F0" w:rsidRDefault="004F3F21" w:rsidP="004F3F21">
            <w:pP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c>
          <w:tcPr>
            <w:tcW w:w="0" w:type="auto"/>
            <w:tcBorders>
              <w:top w:val="nil"/>
              <w:left w:val="nil"/>
              <w:bottom w:val="single" w:sz="4" w:space="0" w:color="auto"/>
              <w:right w:val="single" w:sz="4" w:space="0" w:color="auto"/>
            </w:tcBorders>
            <w:shd w:val="clear" w:color="000000" w:fill="BFBFBF"/>
            <w:noWrap/>
            <w:vAlign w:val="bottom"/>
            <w:hideMark/>
          </w:tcPr>
          <w:p w:rsidR="004F3F21" w:rsidRPr="001E18F0" w:rsidRDefault="004F3F21" w:rsidP="004F3F21">
            <w:pPr>
              <w:jc w:val="right"/>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30.913,71</w:t>
            </w:r>
          </w:p>
        </w:tc>
        <w:tc>
          <w:tcPr>
            <w:tcW w:w="0" w:type="auto"/>
            <w:tcBorders>
              <w:top w:val="nil"/>
              <w:left w:val="nil"/>
              <w:bottom w:val="single" w:sz="4" w:space="0" w:color="auto"/>
              <w:right w:val="single" w:sz="4" w:space="0" w:color="auto"/>
            </w:tcBorders>
            <w:shd w:val="clear" w:color="auto" w:fill="auto"/>
            <w:noWrap/>
            <w:vAlign w:val="bottom"/>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r>
    </w:tbl>
    <w:p w:rsidR="004F3F21" w:rsidRPr="001E18F0" w:rsidRDefault="004F3F21" w:rsidP="00A55202">
      <w:pPr>
        <w:rPr>
          <w:rFonts w:ascii="Arial Narrow" w:hAnsi="Arial Narrow"/>
          <w:b/>
        </w:rPr>
      </w:pPr>
    </w:p>
    <w:p w:rsidR="004F3F21" w:rsidRPr="001E18F0" w:rsidRDefault="004F3F21" w:rsidP="00A55202">
      <w:pPr>
        <w:rPr>
          <w:rFonts w:ascii="Arial Narrow" w:hAnsi="Arial Narrow"/>
          <w:b/>
        </w:rPr>
      </w:pPr>
    </w:p>
    <w:tbl>
      <w:tblPr>
        <w:tblW w:w="0" w:type="auto"/>
        <w:tblInd w:w="-5" w:type="dxa"/>
        <w:tblCellMar>
          <w:left w:w="70" w:type="dxa"/>
          <w:right w:w="70" w:type="dxa"/>
        </w:tblCellMar>
        <w:tblLook w:val="04A0" w:firstRow="1" w:lastRow="0" w:firstColumn="1" w:lastColumn="0" w:noHBand="0" w:noVBand="1"/>
      </w:tblPr>
      <w:tblGrid>
        <w:gridCol w:w="698"/>
        <w:gridCol w:w="1305"/>
        <w:gridCol w:w="1403"/>
        <w:gridCol w:w="1289"/>
        <w:gridCol w:w="961"/>
        <w:gridCol w:w="826"/>
        <w:gridCol w:w="892"/>
        <w:gridCol w:w="814"/>
        <w:gridCol w:w="814"/>
        <w:gridCol w:w="809"/>
        <w:gridCol w:w="1192"/>
        <w:gridCol w:w="1996"/>
      </w:tblGrid>
      <w:tr w:rsidR="004F3F21" w:rsidRPr="001E18F0" w:rsidTr="004F3F21">
        <w:trPr>
          <w:trHeight w:val="20"/>
          <w:tblHeader/>
        </w:trPr>
        <w:tc>
          <w:tcPr>
            <w:tcW w:w="0" w:type="auto"/>
            <w:gridSpan w:val="12"/>
            <w:tcBorders>
              <w:top w:val="single" w:sz="4" w:space="0" w:color="auto"/>
              <w:left w:val="single" w:sz="4" w:space="0" w:color="auto"/>
              <w:bottom w:val="single" w:sz="4" w:space="0" w:color="auto"/>
              <w:right w:val="single" w:sz="4" w:space="0" w:color="000000"/>
            </w:tcBorders>
            <w:shd w:val="clear" w:color="000000" w:fill="92D050"/>
            <w:noWrap/>
            <w:vAlign w:val="bottom"/>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lastRenderedPageBreak/>
              <w:t>REDUJERON</w:t>
            </w:r>
          </w:p>
        </w:tc>
      </w:tr>
      <w:tr w:rsidR="004F3F21" w:rsidRPr="001E18F0" w:rsidTr="00184173">
        <w:trPr>
          <w:trHeight w:val="20"/>
          <w:tblHeader/>
        </w:trPr>
        <w:tc>
          <w:tcPr>
            <w:tcW w:w="0" w:type="auto"/>
            <w:tcBorders>
              <w:top w:val="nil"/>
              <w:left w:val="single" w:sz="4" w:space="0" w:color="auto"/>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Numero </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Corporación</w:t>
            </w:r>
          </w:p>
        </w:tc>
        <w:tc>
          <w:tcPr>
            <w:tcW w:w="0" w:type="auto"/>
            <w:gridSpan w:val="2"/>
            <w:tcBorders>
              <w:top w:val="single" w:sz="4" w:space="0" w:color="auto"/>
              <w:left w:val="nil"/>
              <w:bottom w:val="single" w:sz="4" w:space="0" w:color="auto"/>
              <w:right w:val="single" w:sz="4" w:space="0" w:color="000000"/>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Estado / Fase</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Proceso</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Posible categoría</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2157</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Área actual </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Área liberada </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Aumento de área</w:t>
            </w:r>
          </w:p>
        </w:tc>
        <w:tc>
          <w:tcPr>
            <w:tcW w:w="0" w:type="auto"/>
            <w:tcBorders>
              <w:top w:val="nil"/>
              <w:left w:val="nil"/>
              <w:bottom w:val="nil"/>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Información minera</w:t>
            </w:r>
          </w:p>
        </w:tc>
        <w:tc>
          <w:tcPr>
            <w:tcW w:w="0" w:type="auto"/>
            <w:vMerge w:val="restart"/>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Observación</w:t>
            </w:r>
          </w:p>
        </w:tc>
      </w:tr>
      <w:tr w:rsidR="004F3F21" w:rsidRPr="001E18F0" w:rsidTr="00184173">
        <w:trPr>
          <w:trHeight w:val="20"/>
          <w:tblHeader/>
        </w:trPr>
        <w:tc>
          <w:tcPr>
            <w:tcW w:w="0" w:type="auto"/>
            <w:tcBorders>
              <w:top w:val="nil"/>
              <w:left w:val="single" w:sz="4" w:space="0" w:color="auto"/>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En 2157</w:t>
            </w: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Actualmente</w:t>
            </w: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c>
          <w:tcPr>
            <w:tcW w:w="0" w:type="auto"/>
            <w:tcBorders>
              <w:top w:val="nil"/>
              <w:left w:val="nil"/>
              <w:bottom w:val="single" w:sz="4" w:space="0" w:color="auto"/>
              <w:right w:val="single" w:sz="4" w:space="0" w:color="auto"/>
            </w:tcBorders>
            <w:shd w:val="clear" w:color="auto" w:fill="92D050"/>
            <w:vAlign w:val="center"/>
            <w:hideMark/>
          </w:tcPr>
          <w:p w:rsidR="004F3F21" w:rsidRPr="001E18F0" w:rsidRDefault="004F3F21" w:rsidP="004F3F21">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c>
          <w:tcPr>
            <w:tcW w:w="0" w:type="auto"/>
            <w:vMerge/>
            <w:tcBorders>
              <w:top w:val="nil"/>
              <w:left w:val="single" w:sz="4" w:space="0" w:color="auto"/>
              <w:bottom w:val="single" w:sz="4" w:space="0" w:color="000000"/>
              <w:right w:val="single" w:sz="4" w:space="0" w:color="auto"/>
            </w:tcBorders>
            <w:shd w:val="clear" w:color="auto" w:fill="92D050"/>
            <w:vAlign w:val="center"/>
            <w:hideMark/>
          </w:tcPr>
          <w:p w:rsidR="004F3F21" w:rsidRPr="001E18F0" w:rsidRDefault="004F3F21" w:rsidP="004F3F21">
            <w:pPr>
              <w:rPr>
                <w:rFonts w:ascii="Arial Narrow" w:eastAsia="Times New Roman" w:hAnsi="Arial Narrow" w:cs="Times New Roman"/>
                <w:b/>
                <w:bCs/>
                <w:color w:val="000000"/>
                <w:sz w:val="18"/>
                <w:szCs w:val="18"/>
                <w:lang w:val="es-CO" w:eastAsia="es-CO"/>
              </w:rPr>
            </w:pPr>
          </w:p>
        </w:tc>
      </w:tr>
      <w:tr w:rsidR="004F3F21" w:rsidRPr="001E18F0" w:rsidTr="004F3F2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w:t>
            </w:r>
          </w:p>
        </w:tc>
        <w:tc>
          <w:tcPr>
            <w:tcW w:w="0" w:type="auto"/>
            <w:tcBorders>
              <w:top w:val="nil"/>
              <w:left w:val="nil"/>
              <w:bottom w:val="single" w:sz="4" w:space="0" w:color="auto"/>
              <w:right w:val="single" w:sz="4" w:space="0" w:color="auto"/>
            </w:tcBorders>
            <w:shd w:val="clear" w:color="auto" w:fill="auto"/>
            <w:noWrap/>
            <w:vAlign w:val="center"/>
            <w:hideMark/>
          </w:tcPr>
          <w:p w:rsidR="004F3F21" w:rsidRPr="001E18F0" w:rsidRDefault="004F3F21" w:rsidP="004F3F21">
            <w:pPr>
              <w:jc w:val="center"/>
              <w:rPr>
                <w:rFonts w:ascii="Arial Narrow" w:eastAsia="Times New Roman" w:hAnsi="Arial Narrow" w:cs="Times New Roman"/>
                <w:sz w:val="18"/>
                <w:szCs w:val="18"/>
                <w:lang w:val="es-CO" w:eastAsia="es-CO"/>
              </w:rPr>
            </w:pPr>
            <w:proofErr w:type="spellStart"/>
            <w:r w:rsidRPr="001E18F0">
              <w:rPr>
                <w:rFonts w:ascii="Arial Narrow" w:eastAsia="Times New Roman" w:hAnsi="Arial Narrow" w:cs="Times New Roman"/>
                <w:sz w:val="18"/>
                <w:szCs w:val="18"/>
                <w:lang w:val="es-CO" w:eastAsia="es-CO"/>
              </w:rPr>
              <w:t>Corpouraba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DMRI Humedales Serranía </w:t>
            </w:r>
            <w:proofErr w:type="spellStart"/>
            <w:r w:rsidRPr="001E18F0">
              <w:rPr>
                <w:rFonts w:ascii="Arial Narrow" w:eastAsia="Times New Roman" w:hAnsi="Arial Narrow" w:cs="Times New Roman"/>
                <w:color w:val="000000"/>
                <w:sz w:val="18"/>
                <w:szCs w:val="18"/>
                <w:lang w:val="es-CO" w:eastAsia="es-CO"/>
              </w:rPr>
              <w:t>Abibe</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140.728,34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41.732,54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98.995,80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4 solicitudes con 168,28 ha</w:t>
            </w:r>
            <w:r w:rsidRPr="001E18F0">
              <w:rPr>
                <w:rFonts w:ascii="Arial Narrow" w:eastAsia="Times New Roman" w:hAnsi="Arial Narrow" w:cs="Times New Roman"/>
                <w:color w:val="000000"/>
                <w:sz w:val="18"/>
                <w:szCs w:val="18"/>
                <w:lang w:val="es-CO" w:eastAsia="es-CO"/>
              </w:rPr>
              <w:br/>
              <w:t>7 títulos vigentes con 12.815,63 ha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Identificación de zonas de alto valor biológico, principalmente asociadas a:</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recurso hídrico (nacimiento y recarga) y regulación hídrica de humedales.</w:t>
            </w:r>
            <w:r w:rsidRPr="001E18F0">
              <w:rPr>
                <w:rFonts w:ascii="Arial Narrow" w:eastAsia="Times New Roman" w:hAnsi="Arial Narrow" w:cs="Times New Roman"/>
                <w:color w:val="000000"/>
                <w:sz w:val="18"/>
                <w:szCs w:val="18"/>
                <w:lang w:val="es-CO" w:eastAsia="es-CO"/>
              </w:rPr>
              <w:br/>
              <w:t>Provisión de servicios ecosistémicos</w:t>
            </w:r>
            <w:r w:rsidRPr="001E18F0">
              <w:rPr>
                <w:rFonts w:ascii="Arial Narrow" w:eastAsia="Times New Roman" w:hAnsi="Arial Narrow" w:cs="Times New Roman"/>
                <w:color w:val="000000"/>
                <w:sz w:val="18"/>
                <w:szCs w:val="18"/>
                <w:lang w:val="es-CO" w:eastAsia="es-CO"/>
              </w:rPr>
              <w:br/>
              <w:t>productos del bosque</w:t>
            </w:r>
            <w:r w:rsidRPr="001E18F0">
              <w:rPr>
                <w:rFonts w:ascii="Arial Narrow" w:eastAsia="Times New Roman" w:hAnsi="Arial Narrow" w:cs="Times New Roman"/>
                <w:color w:val="000000"/>
                <w:sz w:val="18"/>
                <w:szCs w:val="18"/>
                <w:lang w:val="es-CO" w:eastAsia="es-CO"/>
              </w:rPr>
              <w:br/>
              <w:t>fijación de CO2</w:t>
            </w:r>
          </w:p>
        </w:tc>
      </w:tr>
      <w:tr w:rsidR="004F3F21" w:rsidRPr="001E18F0" w:rsidTr="004F3F2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2</w:t>
            </w:r>
          </w:p>
        </w:tc>
        <w:tc>
          <w:tcPr>
            <w:tcW w:w="0" w:type="auto"/>
            <w:tcBorders>
              <w:top w:val="nil"/>
              <w:left w:val="nil"/>
              <w:bottom w:val="single" w:sz="4" w:space="0" w:color="auto"/>
              <w:right w:val="single" w:sz="4" w:space="0" w:color="auto"/>
            </w:tcBorders>
            <w:shd w:val="clear" w:color="auto" w:fill="auto"/>
            <w:noWrap/>
            <w:vAlign w:val="center"/>
            <w:hideMark/>
          </w:tcPr>
          <w:p w:rsidR="004F3F21" w:rsidRPr="001E18F0" w:rsidRDefault="004F3F21" w:rsidP="004F3F21">
            <w:pPr>
              <w:jc w:val="center"/>
              <w:rPr>
                <w:rFonts w:ascii="Arial Narrow" w:eastAsia="Times New Roman" w:hAnsi="Arial Narrow" w:cs="Times New Roman"/>
                <w:sz w:val="18"/>
                <w:szCs w:val="18"/>
                <w:lang w:val="es-CO" w:eastAsia="es-CO"/>
              </w:rPr>
            </w:pPr>
            <w:proofErr w:type="spellStart"/>
            <w:r w:rsidRPr="001E18F0">
              <w:rPr>
                <w:rFonts w:ascii="Arial Narrow" w:eastAsia="Times New Roman" w:hAnsi="Arial Narrow" w:cs="Times New Roman"/>
                <w:sz w:val="18"/>
                <w:szCs w:val="18"/>
                <w:lang w:val="es-CO" w:eastAsia="es-CO"/>
              </w:rPr>
              <w:t>Corpouraba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DMRI Peque</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29.765,00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21.126,76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8.638,24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AEM 1.726,15 ha</w:t>
            </w:r>
            <w:r w:rsidRPr="001E18F0">
              <w:rPr>
                <w:rFonts w:ascii="Arial Narrow" w:eastAsia="Times New Roman" w:hAnsi="Arial Narrow" w:cs="Times New Roman"/>
                <w:color w:val="000000"/>
                <w:sz w:val="18"/>
                <w:szCs w:val="18"/>
                <w:lang w:val="es-CO" w:eastAsia="es-CO"/>
              </w:rPr>
              <w:br/>
              <w:t>4 solicitudes de títulos mineros 3.847,03 ha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Redefinición de objetivos de conservación teniendo en cuenta la conectividad de los bosques secos con los bosques </w:t>
            </w:r>
            <w:proofErr w:type="spellStart"/>
            <w:r w:rsidRPr="001E18F0">
              <w:rPr>
                <w:rFonts w:ascii="Arial Narrow" w:eastAsia="Times New Roman" w:hAnsi="Arial Narrow" w:cs="Times New Roman"/>
                <w:color w:val="000000"/>
                <w:sz w:val="18"/>
                <w:szCs w:val="18"/>
                <w:lang w:val="es-CO" w:eastAsia="es-CO"/>
              </w:rPr>
              <w:t>subandinos</w:t>
            </w:r>
            <w:proofErr w:type="spellEnd"/>
            <w:r w:rsidRPr="001E18F0">
              <w:rPr>
                <w:rFonts w:ascii="Arial Narrow" w:eastAsia="Times New Roman" w:hAnsi="Arial Narrow" w:cs="Times New Roman"/>
                <w:color w:val="000000"/>
                <w:sz w:val="18"/>
                <w:szCs w:val="18"/>
                <w:lang w:val="es-CO" w:eastAsia="es-CO"/>
              </w:rPr>
              <w:t xml:space="preserve"> a través de sistemas de producción tradicionales.</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Se excluye el área de casco urbano que estaba incluida en el polígono inicial</w:t>
            </w:r>
          </w:p>
        </w:tc>
      </w:tr>
      <w:tr w:rsidR="004F3F21" w:rsidRPr="001E18F0" w:rsidTr="004F3F2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w:t>
            </w:r>
          </w:p>
        </w:tc>
        <w:tc>
          <w:tcPr>
            <w:tcW w:w="0" w:type="auto"/>
            <w:tcBorders>
              <w:top w:val="nil"/>
              <w:left w:val="nil"/>
              <w:bottom w:val="single" w:sz="4" w:space="0" w:color="auto"/>
              <w:right w:val="single" w:sz="4" w:space="0" w:color="auto"/>
            </w:tcBorders>
            <w:shd w:val="clear" w:color="auto" w:fill="auto"/>
            <w:noWrap/>
            <w:vAlign w:val="center"/>
            <w:hideMark/>
          </w:tcPr>
          <w:p w:rsidR="004F3F21" w:rsidRPr="001E18F0" w:rsidRDefault="004F3F21" w:rsidP="004F3F21">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CORPOCHIVOR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PREPRARACION</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Cuchilla El Varal</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5.705,88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3.390,57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2.315,31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 título minero de 11,06 ha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Se elaboró el documento síntesis y se envió para conceptuar al Instituto Von Humboldt el 14 de julio del 2018.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Se realizó una primera sustentación del proceso ante el Consejo Directivo de </w:t>
            </w:r>
            <w:proofErr w:type="spellStart"/>
            <w:r w:rsidRPr="001E18F0">
              <w:rPr>
                <w:rFonts w:ascii="Arial Narrow" w:eastAsia="Times New Roman" w:hAnsi="Arial Narrow" w:cs="Times New Roman"/>
                <w:color w:val="000000"/>
                <w:sz w:val="18"/>
                <w:szCs w:val="18"/>
                <w:lang w:val="es-CO" w:eastAsia="es-CO"/>
              </w:rPr>
              <w:t>Corpochivor</w:t>
            </w:r>
            <w:proofErr w:type="spellEnd"/>
            <w:r w:rsidRPr="001E18F0">
              <w:rPr>
                <w:rFonts w:ascii="Arial Narrow" w:eastAsia="Times New Roman" w:hAnsi="Arial Narrow" w:cs="Times New Roman"/>
                <w:color w:val="000000"/>
                <w:sz w:val="18"/>
                <w:szCs w:val="18"/>
                <w:lang w:val="es-CO" w:eastAsia="es-CO"/>
              </w:rPr>
              <w:t xml:space="preserve">, y en cuanto se reciba el concepto favorable por parte del Instituto Von </w:t>
            </w:r>
            <w:r w:rsidRPr="001E18F0">
              <w:rPr>
                <w:rFonts w:ascii="Arial Narrow" w:eastAsia="Times New Roman" w:hAnsi="Arial Narrow" w:cs="Times New Roman"/>
                <w:color w:val="000000"/>
                <w:sz w:val="18"/>
                <w:szCs w:val="18"/>
                <w:lang w:val="es-CO" w:eastAsia="es-CO"/>
              </w:rPr>
              <w:lastRenderedPageBreak/>
              <w:t>Humboldt, se abrirá comisión de gestión para su posterior aprobación por parte del consejo</w:t>
            </w:r>
          </w:p>
        </w:tc>
      </w:tr>
      <w:tr w:rsidR="004F3F21" w:rsidRPr="001E18F0" w:rsidTr="004F3F2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lastRenderedPageBreak/>
              <w:t>4</w:t>
            </w:r>
          </w:p>
        </w:tc>
        <w:tc>
          <w:tcPr>
            <w:tcW w:w="0" w:type="auto"/>
            <w:tcBorders>
              <w:top w:val="nil"/>
              <w:left w:val="nil"/>
              <w:bottom w:val="single" w:sz="4" w:space="0" w:color="auto"/>
              <w:right w:val="single" w:sz="4" w:space="0" w:color="auto"/>
            </w:tcBorders>
            <w:shd w:val="clear" w:color="auto" w:fill="auto"/>
            <w:noWrap/>
            <w:vAlign w:val="center"/>
            <w:hideMark/>
          </w:tcPr>
          <w:p w:rsidR="004F3F21" w:rsidRPr="001E18F0" w:rsidRDefault="004F3F21" w:rsidP="004F3F21">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CORMACARENA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Bosque de Los </w:t>
            </w:r>
            <w:proofErr w:type="spellStart"/>
            <w:r w:rsidRPr="001E18F0">
              <w:rPr>
                <w:rFonts w:ascii="Arial Narrow" w:eastAsia="Times New Roman" w:hAnsi="Arial Narrow" w:cs="Times New Roman"/>
                <w:sz w:val="18"/>
                <w:szCs w:val="18"/>
                <w:lang w:val="es-ES" w:eastAsia="es-CO"/>
              </w:rPr>
              <w:t>Guayupes</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PNR</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38.547,41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18.218,63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20.328,78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 solicitud de títulos mineros con 21,18 ha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La reducción del área se da por cuenta de los resultados obtenidos en los estudios adelantados en el marco de la ruta declaratoria.</w:t>
            </w:r>
          </w:p>
        </w:tc>
      </w:tr>
      <w:tr w:rsidR="004F3F21" w:rsidRPr="001E18F0" w:rsidTr="004F3F2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5</w:t>
            </w:r>
          </w:p>
        </w:tc>
        <w:tc>
          <w:tcPr>
            <w:tcW w:w="0" w:type="auto"/>
            <w:tcBorders>
              <w:top w:val="nil"/>
              <w:left w:val="nil"/>
              <w:bottom w:val="single" w:sz="4" w:space="0" w:color="auto"/>
              <w:right w:val="single" w:sz="4" w:space="0" w:color="auto"/>
            </w:tcBorders>
            <w:shd w:val="clear" w:color="auto" w:fill="auto"/>
            <w:noWrap/>
            <w:vAlign w:val="center"/>
            <w:hideMark/>
          </w:tcPr>
          <w:p w:rsidR="004F3F21" w:rsidRPr="001E18F0" w:rsidRDefault="004F3F21" w:rsidP="004F3F21">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CORPONARIÑO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Andino Pacífico</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37.008,46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19.448,57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17.559,89 </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AEM 1.188,45 ha</w:t>
            </w:r>
            <w:r w:rsidRPr="001E18F0">
              <w:rPr>
                <w:rFonts w:ascii="Arial Narrow" w:eastAsia="Times New Roman" w:hAnsi="Arial Narrow" w:cs="Times New Roman"/>
                <w:color w:val="000000"/>
                <w:sz w:val="18"/>
                <w:szCs w:val="18"/>
                <w:lang w:val="es-CO" w:eastAsia="es-CO"/>
              </w:rPr>
              <w:br/>
              <w:t>16 solicitudes de títulos mineros con 1.430,75 ha</w:t>
            </w:r>
            <w:r w:rsidRPr="001E18F0">
              <w:rPr>
                <w:rFonts w:ascii="Arial Narrow" w:eastAsia="Times New Roman" w:hAnsi="Arial Narrow" w:cs="Times New Roman"/>
                <w:color w:val="000000"/>
                <w:sz w:val="18"/>
                <w:szCs w:val="18"/>
                <w:lang w:val="es-CO" w:eastAsia="es-CO"/>
              </w:rPr>
              <w:br/>
              <w:t>Formalización y legalización 3 solicitudes con 50,5 ha</w:t>
            </w:r>
            <w:r w:rsidRPr="001E18F0">
              <w:rPr>
                <w:rFonts w:ascii="Arial Narrow" w:eastAsia="Times New Roman" w:hAnsi="Arial Narrow" w:cs="Times New Roman"/>
                <w:color w:val="000000"/>
                <w:sz w:val="18"/>
                <w:szCs w:val="18"/>
                <w:lang w:val="es-CO" w:eastAsia="es-CO"/>
              </w:rPr>
              <w:br/>
              <w:t>4 títulos vigentes con 289,70 ha</w:t>
            </w:r>
          </w:p>
        </w:tc>
        <w:tc>
          <w:tcPr>
            <w:tcW w:w="0" w:type="auto"/>
            <w:tcBorders>
              <w:top w:val="nil"/>
              <w:left w:val="nil"/>
              <w:bottom w:val="single" w:sz="4" w:space="0" w:color="auto"/>
              <w:right w:val="single" w:sz="4" w:space="0" w:color="auto"/>
            </w:tcBorders>
            <w:shd w:val="clear" w:color="auto" w:fill="auto"/>
            <w:vAlign w:val="center"/>
            <w:hideMark/>
          </w:tcPr>
          <w:p w:rsidR="004F3F21" w:rsidRPr="001E18F0" w:rsidRDefault="004F3F21" w:rsidP="004F3F21">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Se tiene proyectado declarar dos áreas, una correspondiente a un DCS con un área de 7.8684 ha y un DRMI con 111.694,17 ha</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el documento síntesis, actualmente se encuentra en revisión por el Equipo de Biodiversidad para enviarlo al </w:t>
            </w:r>
            <w:proofErr w:type="spellStart"/>
            <w:r w:rsidRPr="001E18F0">
              <w:rPr>
                <w:rFonts w:ascii="Arial Narrow" w:eastAsia="Times New Roman" w:hAnsi="Arial Narrow" w:cs="Times New Roman"/>
                <w:color w:val="000000"/>
                <w:sz w:val="18"/>
                <w:szCs w:val="18"/>
                <w:lang w:val="es-CO" w:eastAsia="es-CO"/>
              </w:rPr>
              <w:t>IAvH</w:t>
            </w:r>
            <w:proofErr w:type="spellEnd"/>
            <w:r w:rsidRPr="001E18F0">
              <w:rPr>
                <w:rFonts w:ascii="Arial Narrow" w:eastAsia="Times New Roman" w:hAnsi="Arial Narrow" w:cs="Times New Roman"/>
                <w:color w:val="000000"/>
                <w:sz w:val="18"/>
                <w:szCs w:val="18"/>
                <w:lang w:val="es-CO" w:eastAsia="es-CO"/>
              </w:rPr>
              <w:t xml:space="preserve"> para solicitar el concepto favorable para la declaratoria.</w:t>
            </w:r>
          </w:p>
        </w:tc>
      </w:tr>
    </w:tbl>
    <w:p w:rsidR="004F3F21" w:rsidRPr="001E18F0" w:rsidRDefault="004F3F21" w:rsidP="00A55202">
      <w:pPr>
        <w:rPr>
          <w:rFonts w:ascii="Arial Narrow" w:hAnsi="Arial Narrow"/>
          <w:b/>
          <w:lang w:val="es-CO"/>
        </w:rPr>
      </w:pPr>
    </w:p>
    <w:p w:rsidR="00A55202" w:rsidRPr="001E18F0" w:rsidRDefault="00A55202" w:rsidP="00A55202">
      <w:pPr>
        <w:rPr>
          <w:rFonts w:ascii="Arial Narrow" w:hAnsi="Arial Narrow"/>
          <w:b/>
        </w:rPr>
      </w:pPr>
      <w:r w:rsidRPr="001E18F0">
        <w:rPr>
          <w:rFonts w:ascii="Arial Narrow" w:hAnsi="Arial Narrow"/>
          <w:b/>
        </w:rPr>
        <w:t>POLIGONOS QUE NO SUFRIERON MODIFICACIONES</w:t>
      </w:r>
      <w:r w:rsidR="00C3178B" w:rsidRPr="001E18F0">
        <w:rPr>
          <w:rFonts w:ascii="Arial Narrow" w:hAnsi="Arial Narrow"/>
          <w:b/>
        </w:rPr>
        <w:t xml:space="preserve"> DE ÁREA</w:t>
      </w:r>
    </w:p>
    <w:p w:rsidR="00A55202" w:rsidRPr="001E18F0" w:rsidRDefault="00A55202" w:rsidP="00A55202">
      <w:pPr>
        <w:rPr>
          <w:rFonts w:ascii="Arial Narrow" w:hAnsi="Arial Narrow"/>
          <w:b/>
        </w:rPr>
      </w:pPr>
    </w:p>
    <w:p w:rsidR="00137C0C" w:rsidRPr="001E18F0" w:rsidRDefault="00137C0C" w:rsidP="00A55202">
      <w:pPr>
        <w:rPr>
          <w:rFonts w:ascii="Arial Narrow" w:hAnsi="Arial Narrow"/>
          <w:b/>
        </w:rPr>
      </w:pPr>
      <w:r w:rsidRPr="001E18F0">
        <w:rPr>
          <w:rFonts w:ascii="Arial Narrow" w:hAnsi="Arial Narrow"/>
          <w:b/>
        </w:rPr>
        <w:t>Procesos Que Se Encuentran Actualmente En Fase De Declaratoria</w:t>
      </w:r>
    </w:p>
    <w:tbl>
      <w:tblPr>
        <w:tblW w:w="0" w:type="auto"/>
        <w:tblInd w:w="-5" w:type="dxa"/>
        <w:tblCellMar>
          <w:left w:w="70" w:type="dxa"/>
          <w:right w:w="70" w:type="dxa"/>
        </w:tblCellMar>
        <w:tblLook w:val="04A0" w:firstRow="1" w:lastRow="0" w:firstColumn="1" w:lastColumn="0" w:noHBand="0" w:noVBand="1"/>
      </w:tblPr>
      <w:tblGrid>
        <w:gridCol w:w="698"/>
        <w:gridCol w:w="1321"/>
        <w:gridCol w:w="1403"/>
        <w:gridCol w:w="1289"/>
        <w:gridCol w:w="1049"/>
        <w:gridCol w:w="812"/>
        <w:gridCol w:w="886"/>
        <w:gridCol w:w="886"/>
        <w:gridCol w:w="718"/>
        <w:gridCol w:w="795"/>
        <w:gridCol w:w="999"/>
        <w:gridCol w:w="2143"/>
      </w:tblGrid>
      <w:tr w:rsidR="003217F9" w:rsidRPr="001E18F0" w:rsidTr="00184173">
        <w:trPr>
          <w:trHeight w:val="20"/>
          <w:tblHeader/>
        </w:trPr>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Numero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Corporación</w:t>
            </w:r>
          </w:p>
        </w:tc>
        <w:tc>
          <w:tcPr>
            <w:tcW w:w="0" w:type="auto"/>
            <w:gridSpan w:val="2"/>
            <w:tcBorders>
              <w:top w:val="single" w:sz="4" w:space="0" w:color="auto"/>
              <w:left w:val="nil"/>
              <w:bottom w:val="single" w:sz="4" w:space="0" w:color="auto"/>
              <w:right w:val="single" w:sz="4" w:space="0" w:color="000000"/>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Estado / Fase</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Proceso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Posible categoría</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2157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Área actual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Área liberada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Aumento de área</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Información minera</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Observación</w:t>
            </w:r>
          </w:p>
        </w:tc>
      </w:tr>
      <w:tr w:rsidR="003217F9" w:rsidRPr="001E18F0" w:rsidTr="00184173">
        <w:trPr>
          <w:trHeight w:val="20"/>
        </w:trPr>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tcBorders>
              <w:top w:val="nil"/>
              <w:left w:val="nil"/>
              <w:bottom w:val="single" w:sz="4" w:space="0" w:color="auto"/>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En 2157</w:t>
            </w:r>
          </w:p>
        </w:tc>
        <w:tc>
          <w:tcPr>
            <w:tcW w:w="0" w:type="auto"/>
            <w:tcBorders>
              <w:top w:val="nil"/>
              <w:left w:val="nil"/>
              <w:bottom w:val="single" w:sz="4" w:space="0" w:color="auto"/>
              <w:right w:val="single" w:sz="4" w:space="0" w:color="auto"/>
            </w:tcBorders>
            <w:shd w:val="clear" w:color="auto" w:fill="92D050"/>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Actualmente</w:t>
            </w: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3217F9" w:rsidRPr="001E18F0" w:rsidRDefault="003217F9" w:rsidP="003217F9">
            <w:pPr>
              <w:rPr>
                <w:rFonts w:ascii="Arial Narrow" w:eastAsia="Times New Roman" w:hAnsi="Arial Narrow" w:cs="Times New Roman"/>
                <w:b/>
                <w:bCs/>
                <w:color w:val="000000"/>
                <w:sz w:val="18"/>
                <w:szCs w:val="18"/>
                <w:lang w:val="es-CO" w:eastAsia="es-CO"/>
              </w:rPr>
            </w:pPr>
          </w:p>
        </w:tc>
      </w:tr>
      <w:tr w:rsidR="003217F9" w:rsidRPr="001E18F0" w:rsidTr="003217F9">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proofErr w:type="spellStart"/>
            <w:r w:rsidRPr="001E18F0">
              <w:rPr>
                <w:rFonts w:ascii="Arial Narrow" w:eastAsia="Times New Roman" w:hAnsi="Arial Narrow" w:cs="Times New Roman"/>
                <w:sz w:val="18"/>
                <w:szCs w:val="18"/>
                <w:lang w:val="es-CO" w:eastAsia="es-CO"/>
              </w:rPr>
              <w:t>Corpocaldas</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B34EA6"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Área</w:t>
            </w:r>
            <w:r w:rsidR="003217F9" w:rsidRPr="001E18F0">
              <w:rPr>
                <w:rFonts w:ascii="Arial Narrow" w:eastAsia="Times New Roman" w:hAnsi="Arial Narrow" w:cs="Times New Roman"/>
                <w:color w:val="000000"/>
                <w:sz w:val="18"/>
                <w:szCs w:val="18"/>
                <w:lang w:val="es-CO" w:eastAsia="es-CO"/>
              </w:rPr>
              <w:t xml:space="preserve"> Corozal</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1.189,77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1.189,77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El área cuenta con documento técnico de soporte y en ajuste del documento para solicitud de concepto previo para la </w:t>
            </w:r>
            <w:r w:rsidRPr="001E18F0">
              <w:rPr>
                <w:rFonts w:ascii="Arial Narrow" w:eastAsia="Times New Roman" w:hAnsi="Arial Narrow" w:cs="Times New Roman"/>
                <w:color w:val="000000"/>
                <w:sz w:val="18"/>
                <w:szCs w:val="18"/>
                <w:lang w:val="es-CO" w:eastAsia="es-CO"/>
              </w:rPr>
              <w:lastRenderedPageBreak/>
              <w:t>declaratoria del Instituto Alexander Von Humboldt; estado de avance del 80%.</w:t>
            </w:r>
          </w:p>
        </w:tc>
      </w:tr>
      <w:tr w:rsidR="003217F9" w:rsidRPr="001E18F0" w:rsidTr="003217F9">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lastRenderedPageBreak/>
              <w:t>2</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CDMB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El Aburrido - Honduras</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2.112,43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2.112,43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La Corporación está realizando los ajustes al Documento final de la propuesta del área protegida DRMI Aburrido. Se cuenta con concepto previo favorable del Instituto de Investigación de Recursos Biológicos Alexander von Humboldt.</w:t>
            </w:r>
          </w:p>
        </w:tc>
      </w:tr>
      <w:tr w:rsidR="003217F9" w:rsidRPr="001E18F0" w:rsidTr="003217F9">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CVC</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 </w:t>
            </w:r>
            <w:proofErr w:type="spellStart"/>
            <w:r w:rsidRPr="001E18F0">
              <w:rPr>
                <w:rFonts w:ascii="Arial Narrow" w:eastAsia="Times New Roman" w:hAnsi="Arial Narrow" w:cs="Times New Roman"/>
                <w:sz w:val="18"/>
                <w:szCs w:val="18"/>
                <w:lang w:val="es-ES" w:eastAsia="es-CO"/>
              </w:rPr>
              <w:t>Riobravo</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RFP</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44.914,77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44.914,77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No se ha podido avanzar ya que el Ministerio del Interior ha dado 5 certificaciones que no concuerdan entre sí. Se han dado espacios con funcionarios del Grupo de Certificaciones de Consulta Previa donde se han explicado las inconsistencias pero en la última comunicación enviada por ellos se presenta el mismo error. El día 31 de agosto de 2018 se envió nuevamente un oficio solicitando urgentemente una aclaración sobre dichas certificaciones.</w:t>
            </w:r>
          </w:p>
        </w:tc>
      </w:tr>
      <w:tr w:rsidR="003217F9" w:rsidRPr="001E18F0" w:rsidTr="003217F9">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4</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CVC</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 Serranía de los Paraguas,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39.901,24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39.901,24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Teniendo en cuenta que el proceso se surtió previo a la adopción de la ruta y que hubo dificultades en la certificación del </w:t>
            </w:r>
            <w:proofErr w:type="spellStart"/>
            <w:r w:rsidRPr="001E18F0">
              <w:rPr>
                <w:rFonts w:ascii="Arial Narrow" w:eastAsia="Times New Roman" w:hAnsi="Arial Narrow" w:cs="Times New Roman"/>
                <w:color w:val="000000"/>
                <w:sz w:val="18"/>
                <w:szCs w:val="18"/>
                <w:lang w:val="es-CO" w:eastAsia="es-CO"/>
              </w:rPr>
              <w:t>Mininterior</w:t>
            </w:r>
            <w:proofErr w:type="spellEnd"/>
            <w:r w:rsidRPr="001E18F0">
              <w:rPr>
                <w:rFonts w:ascii="Arial Narrow" w:eastAsia="Times New Roman" w:hAnsi="Arial Narrow" w:cs="Times New Roman"/>
                <w:color w:val="000000"/>
                <w:sz w:val="18"/>
                <w:szCs w:val="18"/>
                <w:lang w:val="es-CO" w:eastAsia="es-CO"/>
              </w:rPr>
              <w:t xml:space="preserve">, es posible asumir que el proceso surtió todas las fases de la </w:t>
            </w:r>
            <w:r w:rsidRPr="001E18F0">
              <w:rPr>
                <w:rFonts w:ascii="Arial Narrow" w:eastAsia="Times New Roman" w:hAnsi="Arial Narrow" w:cs="Times New Roman"/>
                <w:color w:val="000000"/>
                <w:sz w:val="18"/>
                <w:szCs w:val="18"/>
                <w:lang w:val="es-CO" w:eastAsia="es-CO"/>
              </w:rPr>
              <w:lastRenderedPageBreak/>
              <w:t xml:space="preserve">ruta, quedando pendiente únicamente la consulta previa, sin embargo teniendo en cuenta esto lo formalmente adoptado en la Res 1125 de 2015, se hará un ajuste para homologar los documentos existentes acorde con la mencionada Resolución y para incluir los resultados de la consulta previa. Una vez esto se haga se procederá a presentar al </w:t>
            </w:r>
            <w:proofErr w:type="spellStart"/>
            <w:r w:rsidRPr="001E18F0">
              <w:rPr>
                <w:rFonts w:ascii="Arial Narrow" w:eastAsia="Times New Roman" w:hAnsi="Arial Narrow" w:cs="Times New Roman"/>
                <w:color w:val="000000"/>
                <w:sz w:val="18"/>
                <w:szCs w:val="18"/>
                <w:lang w:val="es-CO" w:eastAsia="es-CO"/>
              </w:rPr>
              <w:t>IAvH</w:t>
            </w:r>
            <w:proofErr w:type="spellEnd"/>
            <w:r w:rsidRPr="001E18F0">
              <w:rPr>
                <w:rFonts w:ascii="Arial Narrow" w:eastAsia="Times New Roman" w:hAnsi="Arial Narrow" w:cs="Times New Roman"/>
                <w:color w:val="000000"/>
                <w:sz w:val="18"/>
                <w:szCs w:val="18"/>
                <w:lang w:val="es-CO" w:eastAsia="es-CO"/>
              </w:rPr>
              <w:t xml:space="preserve"> la documentación para el concepto previo requerido para la declaratoria del área. </w:t>
            </w:r>
          </w:p>
        </w:tc>
      </w:tr>
      <w:tr w:rsidR="003217F9" w:rsidRPr="001E18F0" w:rsidTr="00B34EA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lastRenderedPageBreak/>
              <w:t>5</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CORPOGUAJIRA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 Bahía Honda y Bahía Hondita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36.695,25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36.695,25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Se avanza en el proceso de consulta previa luego de </w:t>
            </w:r>
            <w:proofErr w:type="spellStart"/>
            <w:r w:rsidRPr="001E18F0">
              <w:rPr>
                <w:rFonts w:ascii="Arial Narrow" w:eastAsia="Times New Roman" w:hAnsi="Arial Narrow" w:cs="Times New Roman"/>
                <w:color w:val="000000"/>
                <w:sz w:val="18"/>
                <w:szCs w:val="18"/>
                <w:lang w:val="es-CO" w:eastAsia="es-CO"/>
              </w:rPr>
              <w:t>indentificarsen</w:t>
            </w:r>
            <w:proofErr w:type="spellEnd"/>
            <w:r w:rsidRPr="001E18F0">
              <w:rPr>
                <w:rFonts w:ascii="Arial Narrow" w:eastAsia="Times New Roman" w:hAnsi="Arial Narrow" w:cs="Times New Roman"/>
                <w:color w:val="000000"/>
                <w:sz w:val="18"/>
                <w:szCs w:val="18"/>
                <w:lang w:val="es-CO" w:eastAsia="es-CO"/>
              </w:rPr>
              <w:t xml:space="preserve"> 77 posibles comunidades indígenas en el área de estudio.</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Se evidencia, un flujo migratorio de Venezuela a Colombia en el sector, resultante de la situación sociopolítica del vecino país, que podría demandar más esfuerzos en los proceso de concertación con las comunidades indígenas.</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Por otra parte, ya se está culminando el proceso de declaratoria, se cuenta con objetivos de conservación, y </w:t>
            </w:r>
            <w:r w:rsidRPr="001E18F0">
              <w:rPr>
                <w:rFonts w:ascii="Arial Narrow" w:eastAsia="Times New Roman" w:hAnsi="Arial Narrow" w:cs="Times New Roman"/>
                <w:color w:val="000000"/>
                <w:sz w:val="18"/>
                <w:szCs w:val="18"/>
                <w:lang w:val="es-CO" w:eastAsia="es-CO"/>
              </w:rPr>
              <w:lastRenderedPageBreak/>
              <w:t>documento técnico para la declaratoria, se espera declarar el área aproximadamente en el primer semestre del 2019.</w:t>
            </w:r>
          </w:p>
        </w:tc>
      </w:tr>
      <w:tr w:rsidR="003217F9" w:rsidRPr="001E18F0" w:rsidTr="00B34EA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lastRenderedPageBreak/>
              <w:t>6</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CORPONARIÑO</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Enclave </w:t>
            </w:r>
            <w:proofErr w:type="spellStart"/>
            <w:r w:rsidRPr="001E18F0">
              <w:rPr>
                <w:rFonts w:ascii="Arial Narrow" w:eastAsia="Times New Roman" w:hAnsi="Arial Narrow" w:cs="Times New Roman"/>
                <w:sz w:val="18"/>
                <w:szCs w:val="18"/>
                <w:lang w:val="es-ES" w:eastAsia="es-CO"/>
              </w:rPr>
              <w:t>Subxerofítico</w:t>
            </w:r>
            <w:proofErr w:type="spellEnd"/>
            <w:r w:rsidRPr="001E18F0">
              <w:rPr>
                <w:rFonts w:ascii="Arial Narrow" w:eastAsia="Times New Roman" w:hAnsi="Arial Narrow" w:cs="Times New Roman"/>
                <w:sz w:val="18"/>
                <w:szCs w:val="18"/>
                <w:lang w:val="es-ES" w:eastAsia="es-CO"/>
              </w:rPr>
              <w:t xml:space="preserve"> del Patía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1.309,91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1.309,91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Se acordó en reunión con Parques Nacionales que el área propuesta por Corponariño para la declaratoria la cual cubre una extensión aproximada de 21291 ha, seguiría su proceso, conforme a los avances adelantados por la Institución, ya que esta hacia traslape con el polígono delimitado por Parques correspondiente a una propuesta de declaratoria de orden nacional, en este sentido se ha ajustado el documento síntesis de acuerdo a las recomendaciones hechas por el </w:t>
            </w:r>
            <w:proofErr w:type="spellStart"/>
            <w:r w:rsidRPr="001E18F0">
              <w:rPr>
                <w:rFonts w:ascii="Arial Narrow" w:eastAsia="Times New Roman" w:hAnsi="Arial Narrow" w:cs="Times New Roman"/>
                <w:color w:val="000000"/>
                <w:sz w:val="18"/>
                <w:szCs w:val="18"/>
                <w:lang w:val="es-ES" w:eastAsia="es-CO"/>
              </w:rPr>
              <w:t>IAvH</w:t>
            </w:r>
            <w:proofErr w:type="spellEnd"/>
            <w:r w:rsidRPr="001E18F0">
              <w:rPr>
                <w:rFonts w:ascii="Arial Narrow" w:eastAsia="Times New Roman" w:hAnsi="Arial Narrow" w:cs="Times New Roman"/>
                <w:color w:val="000000"/>
                <w:sz w:val="18"/>
                <w:szCs w:val="18"/>
                <w:lang w:val="es-ES" w:eastAsia="es-CO"/>
              </w:rPr>
              <w:t>, el cual será enviado a principios del mes de octubre para generación de concepto previo favorable</w:t>
            </w:r>
          </w:p>
        </w:tc>
      </w:tr>
      <w:tr w:rsidR="003217F9" w:rsidRPr="001E18F0" w:rsidTr="00B34EA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7</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CORPONARIÑO</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 xml:space="preserve">Cerro </w:t>
            </w:r>
            <w:proofErr w:type="spellStart"/>
            <w:r w:rsidRPr="001E18F0">
              <w:rPr>
                <w:rFonts w:ascii="Arial Narrow" w:eastAsia="Times New Roman" w:hAnsi="Arial Narrow" w:cs="Times New Roman"/>
                <w:sz w:val="18"/>
                <w:szCs w:val="18"/>
                <w:lang w:val="es-ES" w:eastAsia="es-CO"/>
              </w:rPr>
              <w:t>Chimayoy</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3.287,66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3.287,66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Se destaca que una vez hechas las observaciones por el </w:t>
            </w:r>
            <w:proofErr w:type="spellStart"/>
            <w:r w:rsidRPr="001E18F0">
              <w:rPr>
                <w:rFonts w:ascii="Arial Narrow" w:eastAsia="Times New Roman" w:hAnsi="Arial Narrow" w:cs="Times New Roman"/>
                <w:color w:val="000000"/>
                <w:sz w:val="18"/>
                <w:szCs w:val="18"/>
                <w:lang w:val="es-CO" w:eastAsia="es-CO"/>
              </w:rPr>
              <w:t>IAvH</w:t>
            </w:r>
            <w:proofErr w:type="spellEnd"/>
            <w:r w:rsidRPr="001E18F0">
              <w:rPr>
                <w:rFonts w:ascii="Arial Narrow" w:eastAsia="Times New Roman" w:hAnsi="Arial Narrow" w:cs="Times New Roman"/>
                <w:color w:val="000000"/>
                <w:sz w:val="18"/>
                <w:szCs w:val="18"/>
                <w:lang w:val="es-CO" w:eastAsia="es-CO"/>
              </w:rPr>
              <w:t xml:space="preserve"> se ajustaron los documentos para enviar a concepto favorable, este se estará enviando a mediados del mes de octubre del presente año, así mismo se </w:t>
            </w:r>
            <w:r w:rsidRPr="001E18F0">
              <w:rPr>
                <w:rFonts w:ascii="Arial Narrow" w:eastAsia="Times New Roman" w:hAnsi="Arial Narrow" w:cs="Times New Roman"/>
                <w:color w:val="000000"/>
                <w:sz w:val="18"/>
                <w:szCs w:val="18"/>
                <w:lang w:val="es-CO" w:eastAsia="es-CO"/>
              </w:rPr>
              <w:lastRenderedPageBreak/>
              <w:t>avanza con el proceso de formulación del plan de manejo el cual se espera culminar para el mes de diciembre.</w:t>
            </w:r>
          </w:p>
        </w:tc>
      </w:tr>
      <w:tr w:rsidR="003217F9" w:rsidRPr="001E18F0" w:rsidTr="00B34EA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lastRenderedPageBreak/>
              <w:t>8</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CORANTIOQUIA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sz w:val="18"/>
                <w:szCs w:val="18"/>
                <w:lang w:val="es-CO" w:eastAsia="es-CO"/>
              </w:rPr>
            </w:pPr>
            <w:r w:rsidRPr="001E18F0">
              <w:rPr>
                <w:rFonts w:ascii="Arial Narrow" w:eastAsia="Times New Roman" w:hAnsi="Arial Narrow" w:cs="Times New Roman"/>
                <w:sz w:val="18"/>
                <w:szCs w:val="18"/>
                <w:lang w:val="es-ES" w:eastAsia="es-CO"/>
              </w:rPr>
              <w:t>Humedal El Sapo 2 -Complejo Corrales</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12.895,36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ES" w:eastAsia="es-CO"/>
              </w:rPr>
              <w:t xml:space="preserve">        12.895,36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Actualmente, se envió el documento síntesis al Instituto Alexander von Humboldt para solicitar el concepto previo favorable para la declaratoria, también se está adelantando un proceso administrativo para adelantar concertación con cuatro comunidades étnicas que tiene incidencia en el polígono final. Lo anterior, con lleva a que en este polígono se tenga que adelantar un proceso adicional por la concertación que se debe adelantar con comunidades étnicas y del concepto del Humboldt.</w:t>
            </w:r>
          </w:p>
        </w:tc>
      </w:tr>
      <w:tr w:rsidR="003217F9" w:rsidRPr="001E18F0" w:rsidTr="003217F9">
        <w:trPr>
          <w:trHeight w:val="20"/>
        </w:trPr>
        <w:tc>
          <w:tcPr>
            <w:tcW w:w="0" w:type="auto"/>
            <w:gridSpan w:val="6"/>
            <w:tcBorders>
              <w:top w:val="single" w:sz="4" w:space="0" w:color="auto"/>
              <w:left w:val="single" w:sz="4" w:space="0" w:color="auto"/>
              <w:bottom w:val="single" w:sz="4" w:space="0" w:color="auto"/>
              <w:right w:val="single" w:sz="4" w:space="0" w:color="000000"/>
            </w:tcBorders>
            <w:shd w:val="clear" w:color="000000" w:fill="BFBFBF"/>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Total </w:t>
            </w:r>
          </w:p>
        </w:tc>
        <w:tc>
          <w:tcPr>
            <w:tcW w:w="0" w:type="auto"/>
            <w:tcBorders>
              <w:top w:val="nil"/>
              <w:left w:val="nil"/>
              <w:bottom w:val="single" w:sz="4" w:space="0" w:color="auto"/>
              <w:right w:val="single" w:sz="4" w:space="0" w:color="auto"/>
            </w:tcBorders>
            <w:shd w:val="clear" w:color="000000" w:fill="BFBFBF"/>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142.306,39 </w:t>
            </w:r>
          </w:p>
        </w:tc>
        <w:tc>
          <w:tcPr>
            <w:tcW w:w="0" w:type="auto"/>
            <w:tcBorders>
              <w:top w:val="nil"/>
              <w:left w:val="nil"/>
              <w:bottom w:val="single" w:sz="4" w:space="0" w:color="auto"/>
              <w:right w:val="single" w:sz="4" w:space="0" w:color="auto"/>
            </w:tcBorders>
            <w:shd w:val="clear" w:color="000000" w:fill="BFBFBF"/>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142.306,39 </w:t>
            </w:r>
          </w:p>
        </w:tc>
        <w:tc>
          <w:tcPr>
            <w:tcW w:w="0" w:type="auto"/>
            <w:tcBorders>
              <w:top w:val="nil"/>
              <w:left w:val="nil"/>
              <w:bottom w:val="single" w:sz="4" w:space="0" w:color="auto"/>
              <w:right w:val="single" w:sz="4" w:space="0" w:color="auto"/>
            </w:tcBorders>
            <w:shd w:val="clear" w:color="000000" w:fill="BFBFBF"/>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   </w:t>
            </w:r>
          </w:p>
        </w:tc>
        <w:tc>
          <w:tcPr>
            <w:tcW w:w="0" w:type="auto"/>
            <w:tcBorders>
              <w:top w:val="nil"/>
              <w:left w:val="nil"/>
              <w:bottom w:val="single" w:sz="4" w:space="0" w:color="auto"/>
              <w:right w:val="single" w:sz="4" w:space="0" w:color="auto"/>
            </w:tcBorders>
            <w:shd w:val="clear" w:color="000000" w:fill="BFBFBF"/>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0,00</w:t>
            </w:r>
          </w:p>
        </w:tc>
        <w:tc>
          <w:tcPr>
            <w:tcW w:w="0" w:type="auto"/>
            <w:tcBorders>
              <w:top w:val="nil"/>
              <w:left w:val="nil"/>
              <w:bottom w:val="single" w:sz="4" w:space="0" w:color="auto"/>
              <w:right w:val="single" w:sz="4" w:space="0" w:color="auto"/>
            </w:tcBorders>
            <w:shd w:val="clear" w:color="000000" w:fill="BFBFBF"/>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c>
          <w:tcPr>
            <w:tcW w:w="0" w:type="auto"/>
            <w:tcBorders>
              <w:top w:val="nil"/>
              <w:left w:val="nil"/>
              <w:bottom w:val="single" w:sz="4" w:space="0" w:color="auto"/>
              <w:right w:val="single" w:sz="4" w:space="0" w:color="auto"/>
            </w:tcBorders>
            <w:shd w:val="clear" w:color="auto" w:fill="auto"/>
            <w:vAlign w:val="center"/>
            <w:hideMark/>
          </w:tcPr>
          <w:p w:rsidR="003217F9" w:rsidRPr="001E18F0" w:rsidRDefault="003217F9" w:rsidP="003217F9">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w:t>
            </w:r>
          </w:p>
        </w:tc>
      </w:tr>
    </w:tbl>
    <w:p w:rsidR="00B34EA6" w:rsidRPr="001E18F0" w:rsidRDefault="00B34EA6" w:rsidP="00137C0C">
      <w:pPr>
        <w:rPr>
          <w:rFonts w:ascii="Arial Narrow" w:eastAsia="Times New Roman" w:hAnsi="Arial Narrow" w:cs="Times New Roman"/>
        </w:rPr>
      </w:pPr>
    </w:p>
    <w:p w:rsidR="00C3178B" w:rsidRPr="001E18F0" w:rsidRDefault="00C3178B" w:rsidP="00137C0C">
      <w:pPr>
        <w:rPr>
          <w:rFonts w:ascii="Arial Narrow" w:eastAsia="Times New Roman" w:hAnsi="Arial Narrow" w:cs="Times New Roman"/>
        </w:rPr>
      </w:pPr>
    </w:p>
    <w:p w:rsidR="00C3178B" w:rsidRPr="001E18F0" w:rsidRDefault="00C3178B" w:rsidP="00137C0C">
      <w:pPr>
        <w:rPr>
          <w:rFonts w:ascii="Arial Narrow" w:eastAsia="Times New Roman" w:hAnsi="Arial Narrow" w:cs="Times New Roman"/>
        </w:rPr>
      </w:pPr>
    </w:p>
    <w:p w:rsidR="002E24AE" w:rsidRPr="001E18F0" w:rsidRDefault="002E24AE" w:rsidP="00137C0C">
      <w:pPr>
        <w:rPr>
          <w:rFonts w:ascii="Arial Narrow" w:eastAsia="Times New Roman" w:hAnsi="Arial Narrow" w:cs="Times New Roman"/>
        </w:rPr>
      </w:pPr>
    </w:p>
    <w:p w:rsidR="002E24AE" w:rsidRPr="001E18F0" w:rsidRDefault="002E24AE" w:rsidP="00137C0C">
      <w:pPr>
        <w:rPr>
          <w:rFonts w:ascii="Arial Narrow" w:eastAsia="Times New Roman" w:hAnsi="Arial Narrow" w:cs="Times New Roman"/>
        </w:rPr>
      </w:pPr>
    </w:p>
    <w:p w:rsidR="002E24AE" w:rsidRPr="001E18F0" w:rsidRDefault="002E24AE" w:rsidP="00137C0C">
      <w:pPr>
        <w:rPr>
          <w:rFonts w:ascii="Arial Narrow" w:eastAsia="Times New Roman" w:hAnsi="Arial Narrow" w:cs="Times New Roman"/>
        </w:rPr>
      </w:pPr>
    </w:p>
    <w:p w:rsidR="00C3178B" w:rsidRPr="001E18F0" w:rsidRDefault="00C3178B" w:rsidP="00137C0C">
      <w:pPr>
        <w:rPr>
          <w:rFonts w:ascii="Arial Narrow" w:eastAsia="Times New Roman" w:hAnsi="Arial Narrow" w:cs="Times New Roman"/>
        </w:rPr>
      </w:pPr>
    </w:p>
    <w:p w:rsidR="00C3178B" w:rsidRPr="001E18F0" w:rsidRDefault="00C3178B" w:rsidP="00137C0C">
      <w:pPr>
        <w:rPr>
          <w:rFonts w:ascii="Arial Narrow" w:eastAsia="Times New Roman" w:hAnsi="Arial Narrow" w:cs="Times New Roman"/>
        </w:rPr>
      </w:pPr>
    </w:p>
    <w:p w:rsidR="00137C0C" w:rsidRPr="001E18F0" w:rsidRDefault="00137C0C" w:rsidP="00137C0C">
      <w:pPr>
        <w:rPr>
          <w:rFonts w:ascii="Arial Narrow" w:eastAsia="Times New Roman" w:hAnsi="Arial Narrow" w:cs="Times New Roman"/>
          <w:b/>
        </w:rPr>
      </w:pPr>
      <w:r w:rsidRPr="001E18F0">
        <w:rPr>
          <w:rFonts w:ascii="Arial Narrow" w:eastAsia="Times New Roman" w:hAnsi="Arial Narrow" w:cs="Times New Roman"/>
          <w:b/>
        </w:rPr>
        <w:lastRenderedPageBreak/>
        <w:t>Procesos que se encuentran actualmente en fase de Aprestamiento</w:t>
      </w:r>
    </w:p>
    <w:tbl>
      <w:tblPr>
        <w:tblW w:w="0" w:type="auto"/>
        <w:tblInd w:w="-5" w:type="dxa"/>
        <w:tblCellMar>
          <w:left w:w="70" w:type="dxa"/>
          <w:right w:w="70" w:type="dxa"/>
        </w:tblCellMar>
        <w:tblLook w:val="04A0" w:firstRow="1" w:lastRow="0" w:firstColumn="1" w:lastColumn="0" w:noHBand="0" w:noVBand="1"/>
      </w:tblPr>
      <w:tblGrid>
        <w:gridCol w:w="698"/>
        <w:gridCol w:w="1453"/>
        <w:gridCol w:w="1403"/>
        <w:gridCol w:w="1403"/>
        <w:gridCol w:w="1236"/>
        <w:gridCol w:w="849"/>
        <w:gridCol w:w="902"/>
        <w:gridCol w:w="902"/>
        <w:gridCol w:w="4153"/>
      </w:tblGrid>
      <w:tr w:rsidR="00AB762A" w:rsidRPr="001E18F0" w:rsidTr="00184173">
        <w:trPr>
          <w:trHeight w:val="20"/>
          <w:tblHeader/>
        </w:trPr>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Numero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Corporación</w:t>
            </w:r>
          </w:p>
        </w:tc>
        <w:tc>
          <w:tcPr>
            <w:tcW w:w="0" w:type="auto"/>
            <w:gridSpan w:val="2"/>
            <w:tcBorders>
              <w:top w:val="single" w:sz="4" w:space="0" w:color="auto"/>
              <w:left w:val="nil"/>
              <w:bottom w:val="single" w:sz="4" w:space="0" w:color="auto"/>
              <w:right w:val="single" w:sz="4" w:space="0" w:color="000000"/>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Estado / Fase</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Proceso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Posible categoría</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2157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Área actual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Observación</w:t>
            </w:r>
          </w:p>
        </w:tc>
      </w:tr>
      <w:tr w:rsidR="00AB762A" w:rsidRPr="001E18F0" w:rsidTr="00184173">
        <w:trPr>
          <w:trHeight w:val="20"/>
          <w:tblHeader/>
        </w:trPr>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rPr>
                <w:rFonts w:ascii="Arial Narrow" w:eastAsia="Times New Roman" w:hAnsi="Arial Narrow" w:cs="Times New Roman"/>
                <w:b/>
                <w:bCs/>
                <w:color w:val="000000"/>
                <w:sz w:val="18"/>
                <w:szCs w:val="18"/>
                <w:lang w:val="es-CO" w:eastAsia="es-CO"/>
              </w:rPr>
            </w:pPr>
          </w:p>
        </w:tc>
        <w:tc>
          <w:tcPr>
            <w:tcW w:w="0" w:type="auto"/>
            <w:tcBorders>
              <w:top w:val="nil"/>
              <w:left w:val="nil"/>
              <w:bottom w:val="single" w:sz="4" w:space="0" w:color="auto"/>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En 2157</w:t>
            </w:r>
          </w:p>
        </w:tc>
        <w:tc>
          <w:tcPr>
            <w:tcW w:w="0" w:type="auto"/>
            <w:tcBorders>
              <w:top w:val="nil"/>
              <w:left w:val="nil"/>
              <w:bottom w:val="single" w:sz="4" w:space="0" w:color="auto"/>
              <w:right w:val="single" w:sz="4" w:space="0" w:color="auto"/>
            </w:tcBorders>
            <w:shd w:val="clear" w:color="auto" w:fill="92D050"/>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Actualmente</w:t>
            </w: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rPr>
                <w:rFonts w:ascii="Arial Narrow" w:eastAsia="Times New Roman" w:hAnsi="Arial Narrow" w:cs="Times New Roman"/>
                <w:b/>
                <w:bCs/>
                <w:color w:val="000000"/>
                <w:sz w:val="18"/>
                <w:szCs w:val="18"/>
                <w:lang w:val="es-CO" w:eastAsia="es-CO"/>
              </w:rPr>
            </w:pPr>
          </w:p>
        </w:tc>
        <w:tc>
          <w:tcPr>
            <w:tcW w:w="0" w:type="auto"/>
            <w:vMerge/>
            <w:tcBorders>
              <w:top w:val="single" w:sz="4" w:space="0" w:color="auto"/>
              <w:left w:val="single" w:sz="4" w:space="0" w:color="auto"/>
              <w:bottom w:val="single" w:sz="4" w:space="0" w:color="000000"/>
              <w:right w:val="single" w:sz="4" w:space="0" w:color="auto"/>
            </w:tcBorders>
            <w:shd w:val="clear" w:color="auto" w:fill="92D050"/>
            <w:vAlign w:val="center"/>
            <w:hideMark/>
          </w:tcPr>
          <w:p w:rsidR="00AB762A" w:rsidRPr="001E18F0" w:rsidRDefault="00AB762A" w:rsidP="00C3178B">
            <w:pPr>
              <w:rPr>
                <w:rFonts w:ascii="Arial Narrow" w:eastAsia="Times New Roman" w:hAnsi="Arial Narrow" w:cs="Times New Roman"/>
                <w:b/>
                <w:bCs/>
                <w:color w:val="000000"/>
                <w:sz w:val="18"/>
                <w:szCs w:val="18"/>
                <w:lang w:val="es-CO" w:eastAsia="es-CO"/>
              </w:rPr>
            </w:pP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CORPOAMAZONIA</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PREPARACION</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Piedemonte - Paramos - Bosque de niebla</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000000" w:fill="FFFFFF"/>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216.812,88</w:t>
            </w:r>
          </w:p>
        </w:tc>
        <w:tc>
          <w:tcPr>
            <w:tcW w:w="0" w:type="auto"/>
            <w:tcBorders>
              <w:top w:val="nil"/>
              <w:left w:val="nil"/>
              <w:bottom w:val="single" w:sz="4" w:space="0" w:color="auto"/>
              <w:right w:val="single" w:sz="4" w:space="0" w:color="auto"/>
            </w:tcBorders>
            <w:shd w:val="clear" w:color="000000" w:fill="FFFFFF"/>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216.812,88</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Identificación de actores</w:t>
            </w:r>
            <w:r w:rsidRPr="001E18F0">
              <w:rPr>
                <w:rFonts w:ascii="Arial Narrow" w:eastAsia="Times New Roman" w:hAnsi="Arial Narrow" w:cs="Times New Roman"/>
                <w:color w:val="000000"/>
                <w:sz w:val="18"/>
                <w:szCs w:val="18"/>
                <w:lang w:val="es-CO" w:eastAsia="es-CO"/>
              </w:rPr>
              <w:br/>
              <w:t>• Análisis de conectividad, continuidad y otras variables para conformar la base técnica</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Se suscribieron acuerdos con la Reserva Campesina Pato Balsillas, y está en proceso de suscripción  con las comunidades campesinas de la vía Algeciras – Santana Ramos y con los cinco (5) municipios mencionados.</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Se tiene un avance estimado del 80%</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2</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CORPOURABA </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 Zona Norte</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174.205,41</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174.205,41</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Se han desarrollado consultas a entidades públicas y reuniones con las comunidades, se avanza en un taller con expertos para redefinir el polígono de acuerdo a los objetivos de conservación y al contexto productivo asociado a la región.</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3</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CDMB </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Área Protegida </w:t>
            </w:r>
            <w:proofErr w:type="spellStart"/>
            <w:r w:rsidRPr="001E18F0">
              <w:rPr>
                <w:rFonts w:ascii="Arial Narrow" w:eastAsia="Times New Roman" w:hAnsi="Arial Narrow" w:cs="Calibri"/>
                <w:color w:val="000000"/>
                <w:sz w:val="18"/>
                <w:szCs w:val="18"/>
                <w:lang w:val="es-ES" w:eastAsia="es-CO"/>
              </w:rPr>
              <w:t>Chicamocha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9.730,53</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9.730,53</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Se consolido el documento técnico de soporte con caracterización socioeconómica, físico-biótica, objetos y objetivos de conservación, categoría de declaratoria y zonificación ambiental, pero está pendiente cotejar la información predial con la actualización del IGAC, así como incorporar las posibles recomendaciones del concepto del Instituto Colombiano de Antropología e Historia-ICANH. Está pendiente la definición por parte del equipo técnico-jurídico sobre los títulos mineros.</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4</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CDMB </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Río </w:t>
            </w:r>
            <w:proofErr w:type="spellStart"/>
            <w:r w:rsidRPr="001E18F0">
              <w:rPr>
                <w:rFonts w:ascii="Arial Narrow" w:eastAsia="Times New Roman" w:hAnsi="Arial Narrow" w:cs="Calibri"/>
                <w:color w:val="000000"/>
                <w:sz w:val="18"/>
                <w:szCs w:val="18"/>
                <w:lang w:val="es-ES" w:eastAsia="es-CO"/>
              </w:rPr>
              <w:t>Tona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11.631,54</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11.631,54</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La Corporación se encuentra actualizando el documento técnico soporte, estamos en la revisión del polígono actual por acciones antrópicas en la zona, se avanza en la definición de los objetos de conservación con el mapa de coberturas vegetales, para precisar el polígono a declarar se realizaran solicitudes a la  Agencia Nacional Minera, Ministerio del interior, Hidrocarburos.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Es importante mencionar que esta área protegida a declarar se encuentra en el Plan de Acción Interinstitucional “Unidos </w:t>
            </w:r>
            <w:r w:rsidRPr="001E18F0">
              <w:rPr>
                <w:rFonts w:ascii="Arial Narrow" w:eastAsia="Times New Roman" w:hAnsi="Arial Narrow" w:cs="Times New Roman"/>
                <w:color w:val="000000"/>
                <w:sz w:val="18"/>
                <w:szCs w:val="18"/>
                <w:lang w:val="es-CO" w:eastAsia="es-CO"/>
              </w:rPr>
              <w:lastRenderedPageBreak/>
              <w:t>por el Ambiente” para el año 2019, pero nos encontramos realizando visitas a los actores de la zona.</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lastRenderedPageBreak/>
              <w:t>5</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CDMB </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Cañón del rio Lebrija</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3.919,91</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3.919,91</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71146F"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S</w:t>
            </w:r>
            <w:r w:rsidR="00AB762A" w:rsidRPr="001E18F0">
              <w:rPr>
                <w:rFonts w:ascii="Arial Narrow" w:eastAsia="Times New Roman" w:hAnsi="Arial Narrow" w:cs="Times New Roman"/>
                <w:color w:val="000000"/>
                <w:sz w:val="18"/>
                <w:szCs w:val="18"/>
                <w:lang w:val="es-CO" w:eastAsia="es-CO"/>
              </w:rPr>
              <w:t>e encuentra en consolidación de la línea base en términ</w:t>
            </w:r>
            <w:r w:rsidRPr="001E18F0">
              <w:rPr>
                <w:rFonts w:ascii="Arial Narrow" w:eastAsia="Times New Roman" w:hAnsi="Arial Narrow" w:cs="Times New Roman"/>
                <w:color w:val="000000"/>
                <w:sz w:val="18"/>
                <w:szCs w:val="18"/>
                <w:lang w:val="es-CO" w:eastAsia="es-CO"/>
              </w:rPr>
              <w:t>os biofísicos, socio económico,</w:t>
            </w:r>
            <w:r w:rsidR="00AB762A" w:rsidRPr="001E18F0">
              <w:rPr>
                <w:rFonts w:ascii="Arial Narrow" w:eastAsia="Times New Roman" w:hAnsi="Arial Narrow" w:cs="Times New Roman"/>
                <w:color w:val="000000"/>
                <w:sz w:val="18"/>
                <w:szCs w:val="18"/>
                <w:lang w:val="es-CO" w:eastAsia="es-CO"/>
              </w:rPr>
              <w:t xml:space="preserve"> </w:t>
            </w:r>
            <w:r w:rsidRPr="001E18F0">
              <w:rPr>
                <w:rFonts w:ascii="Arial Narrow" w:eastAsia="Times New Roman" w:hAnsi="Arial Narrow" w:cs="Times New Roman"/>
                <w:color w:val="000000"/>
                <w:sz w:val="18"/>
                <w:szCs w:val="18"/>
                <w:lang w:val="es-CO" w:eastAsia="es-CO"/>
              </w:rPr>
              <w:t>Se</w:t>
            </w:r>
            <w:r w:rsidR="00AB762A" w:rsidRPr="001E18F0">
              <w:rPr>
                <w:rFonts w:ascii="Arial Narrow" w:eastAsia="Times New Roman" w:hAnsi="Arial Narrow" w:cs="Times New Roman"/>
                <w:color w:val="000000"/>
                <w:sz w:val="18"/>
                <w:szCs w:val="18"/>
                <w:lang w:val="es-CO" w:eastAsia="es-CO"/>
              </w:rPr>
              <w:t xml:space="preserve"> ha establecido el estado de conservación del área, las oportunidades y limitantes para su protección, y de esta manera se justifica el aporte del área en términos de sus objetivos de conservación, se tiene el mapa de coberturas y se </w:t>
            </w:r>
            <w:r w:rsidRPr="001E18F0">
              <w:rPr>
                <w:rFonts w:ascii="Arial Narrow" w:eastAsia="Times New Roman" w:hAnsi="Arial Narrow" w:cs="Times New Roman"/>
                <w:color w:val="000000"/>
                <w:sz w:val="18"/>
                <w:szCs w:val="18"/>
                <w:lang w:val="es-CO" w:eastAsia="es-CO"/>
              </w:rPr>
              <w:t>están</w:t>
            </w:r>
            <w:r w:rsidR="00AB762A" w:rsidRPr="001E18F0">
              <w:rPr>
                <w:rFonts w:ascii="Arial Narrow" w:eastAsia="Times New Roman" w:hAnsi="Arial Narrow" w:cs="Times New Roman"/>
                <w:color w:val="000000"/>
                <w:sz w:val="18"/>
                <w:szCs w:val="18"/>
                <w:lang w:val="es-CO" w:eastAsia="es-CO"/>
              </w:rPr>
              <w:t xml:space="preserve"> realizando los recorridos para verificar el polígono su estado de conservación y revisar si se debe realizar ajuste. Se adelantó la revisión de la distribución de poblaciones de especies de fauna y flora en alguna categoría global o nacional de amenaza de extinción o de distribución restringida. </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6</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CODECHOCO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Relictos de Caoba de Jurado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RFPR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66.954,77</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66.954,77</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7</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CORPORINOQUIA</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Cerro </w:t>
            </w:r>
            <w:proofErr w:type="spellStart"/>
            <w:r w:rsidRPr="001E18F0">
              <w:rPr>
                <w:rFonts w:ascii="Arial Narrow" w:eastAsia="Times New Roman" w:hAnsi="Arial Narrow" w:cs="Calibri"/>
                <w:color w:val="000000"/>
                <w:sz w:val="18"/>
                <w:szCs w:val="18"/>
                <w:lang w:val="es-ES" w:eastAsia="es-CO"/>
              </w:rPr>
              <w:t>Zamaricote</w:t>
            </w:r>
            <w:proofErr w:type="spellEnd"/>
            <w:r w:rsidRPr="001E18F0">
              <w:rPr>
                <w:rFonts w:ascii="Arial Narrow" w:eastAsia="Times New Roman" w:hAnsi="Arial Narrow" w:cs="Calibri"/>
                <w:color w:val="000000"/>
                <w:sz w:val="18"/>
                <w:szCs w:val="18"/>
                <w:lang w:val="es-ES" w:eastAsia="es-CO"/>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14.395,14</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14.395,14</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8</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CORTOLIMA</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Los Limones</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Por definir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1.457,36</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1.457,36</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 la fecha se avanzó en estudios de Biodiversidad como fauna, flora, identificación y caracterización de bosques aledaños con potencial para el  establecimiento de corredores Biológicos.</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Se ampliaron los estudios de caracterización en los otros relictos de bosque seco tropical identificados en la cartografía con el propósito de conservación del ecosistema en el Departamento del Tolima para establecer corredores con el área del “Bosque Los Limones” con el fin de ampliar las zonas de conservación y restauración del bosque</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Se han adelantado procesos de socialización  y Sensibilización de la comunidad, actividades que se llevaron a cabo en los centros urbanos de los municipios de Ibagué, Piedras, Venadillo, Alvarado, contando con la participación de las comunidades institucionales, educativas y con mayordomos de los predios ubicados en el núcleo de Los </w:t>
            </w:r>
            <w:r w:rsidRPr="001E18F0">
              <w:rPr>
                <w:rFonts w:ascii="Arial Narrow" w:eastAsia="Times New Roman" w:hAnsi="Arial Narrow" w:cs="Times New Roman"/>
                <w:color w:val="000000"/>
                <w:sz w:val="18"/>
                <w:szCs w:val="18"/>
                <w:lang w:val="es-CO" w:eastAsia="es-CO"/>
              </w:rPr>
              <w:lastRenderedPageBreak/>
              <w:t>Limones. Es de anotar que los propietarios de los predios no participaron en el proceso y no han dado el aval para a continuidad del proceso.</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lastRenderedPageBreak/>
              <w:t>9</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CORANTIOQUIA</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Bajo Cauca </w:t>
            </w:r>
            <w:proofErr w:type="spellStart"/>
            <w:r w:rsidRPr="001E18F0">
              <w:rPr>
                <w:rFonts w:ascii="Arial Narrow" w:eastAsia="Times New Roman" w:hAnsi="Arial Narrow" w:cs="Calibri"/>
                <w:color w:val="000000"/>
                <w:sz w:val="18"/>
                <w:szCs w:val="18"/>
                <w:lang w:val="es-ES" w:eastAsia="es-CO"/>
              </w:rPr>
              <w:t>Nechi</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89.181,48</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89.181,48</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La aplicación de la  ruta declaratoria en estas áreas, ha llevado a encontrar nueva información que  ha tomado más tiempo de lo previsto para la terminación de los documentos técnicos jurídicos, dado que se hizo necesario realizar acciones complementarias como la apropiación y concertación con comunidades étnicas, el fortalecimiento de los ejercicios de participación activa de actores relevantes; además, considerando los tiempos de las respectivas consultas ante las entidades de interés, referentes a la existencia o no de licencias ambientales para explotación de los recursos naturales, presencia de comunidades étnicas y el estado de proyectos viales y de conexión eléctrica entre otras.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En consecuencia, para terminar de aplicar la ruta declaratoria, es necesario contar con un plazo adicional para los estudios definitivos y tramitar el concepto de Humboldt y el trámite interno ante el consejo Directivo de la Corporación de suscripción del acto administrativo que declara el área protegida.  </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10</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CORPONOR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Reserva forestal protectora </w:t>
            </w:r>
            <w:proofErr w:type="spellStart"/>
            <w:r w:rsidRPr="001E18F0">
              <w:rPr>
                <w:rFonts w:ascii="Arial Narrow" w:eastAsia="Times New Roman" w:hAnsi="Arial Narrow" w:cs="Calibri"/>
                <w:color w:val="000000"/>
                <w:sz w:val="18"/>
                <w:szCs w:val="18"/>
                <w:lang w:val="es-ES" w:eastAsia="es-CO"/>
              </w:rPr>
              <w:t>Mejué</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RFPR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10.703,73</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10.703,73</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El documento técnico ya cuenta con concepto favorable del Instituto Alexander von Humboldt recibido el día 9 de julio de 2018. Posterior a esto se realizaron reuniones en los cascos urbanos de tres de los cuatro municipios donde se localiza. Está en proceso reunión en Pamplonita.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Los propietarios de predios de </w:t>
            </w:r>
            <w:proofErr w:type="spellStart"/>
            <w:r w:rsidRPr="001E18F0">
              <w:rPr>
                <w:rFonts w:ascii="Arial Narrow" w:eastAsia="Times New Roman" w:hAnsi="Arial Narrow" w:cs="Times New Roman"/>
                <w:color w:val="000000"/>
                <w:sz w:val="18"/>
                <w:szCs w:val="18"/>
                <w:lang w:val="es-CO" w:eastAsia="es-CO"/>
              </w:rPr>
              <w:t>Chinácota</w:t>
            </w:r>
            <w:proofErr w:type="spellEnd"/>
            <w:r w:rsidRPr="001E18F0">
              <w:rPr>
                <w:rFonts w:ascii="Arial Narrow" w:eastAsia="Times New Roman" w:hAnsi="Arial Narrow" w:cs="Times New Roman"/>
                <w:color w:val="000000"/>
                <w:sz w:val="18"/>
                <w:szCs w:val="18"/>
                <w:lang w:val="es-CO" w:eastAsia="es-CO"/>
              </w:rPr>
              <w:t xml:space="preserve"> que se concentran en una sola vereda, solicitaron la realización de las visitas de zonificación antes de la declaratoria. Por tanto hace falta realizar estas visitas igualmente.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Se considera que luego de cumplir con la reunión en Pamplonita y las visitas de concertación de zonificación en </w:t>
            </w:r>
            <w:proofErr w:type="spellStart"/>
            <w:r w:rsidRPr="001E18F0">
              <w:rPr>
                <w:rFonts w:ascii="Arial Narrow" w:eastAsia="Times New Roman" w:hAnsi="Arial Narrow" w:cs="Times New Roman"/>
                <w:color w:val="000000"/>
                <w:sz w:val="18"/>
                <w:szCs w:val="18"/>
                <w:lang w:val="es-CO" w:eastAsia="es-CO"/>
              </w:rPr>
              <w:lastRenderedPageBreak/>
              <w:t>Chinácota</w:t>
            </w:r>
            <w:proofErr w:type="spellEnd"/>
            <w:r w:rsidRPr="001E18F0">
              <w:rPr>
                <w:rFonts w:ascii="Arial Narrow" w:eastAsia="Times New Roman" w:hAnsi="Arial Narrow" w:cs="Times New Roman"/>
                <w:color w:val="000000"/>
                <w:sz w:val="18"/>
                <w:szCs w:val="18"/>
                <w:lang w:val="es-CO" w:eastAsia="es-CO"/>
              </w:rPr>
              <w:t xml:space="preserve"> ya es posible proceder a elaborar rápidamente el borrador de acuerdo y declarar.</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lastRenderedPageBreak/>
              <w:t>11</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CORPONOR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Bosque seco sur (Pozo Azul)</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DRMI</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16.429,87</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16.429,87</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br/>
              <w:t xml:space="preserve">Se avanza en la elaboración del documento técnico este está en construcción con un 60 % de avance aproximadamente.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Para la declaratoria hace falta completar el proceso de campo (brigada veredal con posterior visita predio a predio para socializar el proceso, caracterizar actores mediante encuesta socioeconómica, verificar coberturas y elementos ambientales, así como para concertar la zonificación de manejo), consolidar cartografía, consolidar el documento con la información disponible, generar los acuerdos con los mineros que serán parte integral del área, realizar las consultas a entidades y elaborar el borrador de acuerdo. </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12</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CORPONOR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proofErr w:type="spellStart"/>
            <w:r w:rsidRPr="001E18F0">
              <w:rPr>
                <w:rFonts w:ascii="Arial Narrow" w:eastAsia="Times New Roman" w:hAnsi="Arial Narrow" w:cs="Calibri"/>
                <w:color w:val="000000"/>
                <w:sz w:val="18"/>
                <w:szCs w:val="18"/>
                <w:lang w:val="es-ES" w:eastAsia="es-CO"/>
              </w:rPr>
              <w:t>Almorzadero</w:t>
            </w:r>
            <w:proofErr w:type="spellEnd"/>
            <w:r w:rsidRPr="001E18F0">
              <w:rPr>
                <w:rFonts w:ascii="Arial Narrow" w:eastAsia="Times New Roman" w:hAnsi="Arial Narrow" w:cs="Calibri"/>
                <w:color w:val="000000"/>
                <w:sz w:val="18"/>
                <w:szCs w:val="18"/>
                <w:lang w:val="es-ES" w:eastAsia="es-CO"/>
              </w:rPr>
              <w:t xml:space="preserve"> este</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PNR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31.368,23</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31.368,23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 xml:space="preserve">Para la vigencia 2019 se tiene programada la declaratoria la Reserva Forestal Protectora Jurisdicciones. No obstante, este proceso tiene sus complejidades en especial por ser un área adyacente a la delimitación del páramo de </w:t>
            </w:r>
            <w:proofErr w:type="spellStart"/>
            <w:r w:rsidRPr="001E18F0">
              <w:rPr>
                <w:rFonts w:ascii="Arial Narrow" w:eastAsia="Times New Roman" w:hAnsi="Arial Narrow" w:cs="Times New Roman"/>
                <w:color w:val="000000"/>
                <w:sz w:val="18"/>
                <w:szCs w:val="18"/>
                <w:lang w:val="es-CO" w:eastAsia="es-CO"/>
              </w:rPr>
              <w:t>Santurbán</w:t>
            </w:r>
            <w:proofErr w:type="spellEnd"/>
            <w:r w:rsidRPr="001E18F0">
              <w:rPr>
                <w:rFonts w:ascii="Arial Narrow" w:eastAsia="Times New Roman" w:hAnsi="Arial Narrow" w:cs="Times New Roman"/>
                <w:color w:val="000000"/>
                <w:sz w:val="18"/>
                <w:szCs w:val="18"/>
                <w:lang w:val="es-CO" w:eastAsia="es-CO"/>
              </w:rPr>
              <w:t xml:space="preserve"> y a una Reserva Forestal Protectora de carácter Nacional que ha sido altamente intervenida.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Esas dos figuras que son cercanas a la propuesta de declaratoria Jurisdicciones han generado inconformidades en la comunidad con lo cual un proceso de declaratoria puede resultar difícil, no obstante, el grado de conservación motiva a avanzar en la iniciativa. </w:t>
            </w:r>
            <w:r w:rsidRPr="001E18F0">
              <w:rPr>
                <w:rFonts w:ascii="Arial Narrow" w:eastAsia="Times New Roman" w:hAnsi="Arial Narrow" w:cs="Times New Roman"/>
                <w:color w:val="000000"/>
                <w:sz w:val="18"/>
                <w:szCs w:val="18"/>
                <w:lang w:val="es-CO" w:eastAsia="es-CO"/>
              </w:rPr>
              <w:br/>
            </w:r>
            <w:r w:rsidRPr="001E18F0">
              <w:rPr>
                <w:rFonts w:ascii="Arial Narrow" w:eastAsia="Times New Roman" w:hAnsi="Arial Narrow" w:cs="Times New Roman"/>
                <w:color w:val="000000"/>
                <w:sz w:val="18"/>
                <w:szCs w:val="18"/>
                <w:lang w:val="es-CO" w:eastAsia="es-CO"/>
              </w:rPr>
              <w:br/>
              <w:t xml:space="preserve">En el caso del Cerro Tasajero la complejidad se presenta por la cantidad de títulos mineros que se encuentran concedidos en el área y en el caso del PNR </w:t>
            </w:r>
            <w:proofErr w:type="spellStart"/>
            <w:r w:rsidRPr="001E18F0">
              <w:rPr>
                <w:rFonts w:ascii="Arial Narrow" w:eastAsia="Times New Roman" w:hAnsi="Arial Narrow" w:cs="Times New Roman"/>
                <w:color w:val="000000"/>
                <w:sz w:val="18"/>
                <w:szCs w:val="18"/>
                <w:lang w:val="es-CO" w:eastAsia="es-CO"/>
              </w:rPr>
              <w:t>Almorzadero</w:t>
            </w:r>
            <w:proofErr w:type="spellEnd"/>
            <w:r w:rsidRPr="001E18F0">
              <w:rPr>
                <w:rFonts w:ascii="Arial Narrow" w:eastAsia="Times New Roman" w:hAnsi="Arial Narrow" w:cs="Times New Roman"/>
                <w:color w:val="000000"/>
                <w:sz w:val="18"/>
                <w:szCs w:val="18"/>
                <w:lang w:val="es-CO" w:eastAsia="es-CO"/>
              </w:rPr>
              <w:t xml:space="preserve"> Este, la gran inconformidad que dejó entre los habitantes la delimitación del páramo de </w:t>
            </w:r>
            <w:proofErr w:type="spellStart"/>
            <w:r w:rsidRPr="001E18F0">
              <w:rPr>
                <w:rFonts w:ascii="Arial Narrow" w:eastAsia="Times New Roman" w:hAnsi="Arial Narrow" w:cs="Times New Roman"/>
                <w:color w:val="000000"/>
                <w:sz w:val="18"/>
                <w:szCs w:val="18"/>
                <w:lang w:val="es-CO" w:eastAsia="es-CO"/>
              </w:rPr>
              <w:t>Almorzadero</w:t>
            </w:r>
            <w:proofErr w:type="spellEnd"/>
            <w:r w:rsidRPr="001E18F0">
              <w:rPr>
                <w:rFonts w:ascii="Arial Narrow" w:eastAsia="Times New Roman" w:hAnsi="Arial Narrow" w:cs="Times New Roman"/>
                <w:color w:val="000000"/>
                <w:sz w:val="18"/>
                <w:szCs w:val="18"/>
                <w:lang w:val="es-CO" w:eastAsia="es-CO"/>
              </w:rPr>
              <w:t xml:space="preserve"> debilitó considerablemente la comunicación con esta zona por lo cual se considera difícil poder avanzar en el proceso de declaratoria.</w:t>
            </w: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13</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CORPONOR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 xml:space="preserve">Cerro Tasajero </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RFPN</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5.943,17</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5.943,17</w:t>
            </w:r>
          </w:p>
        </w:tc>
        <w:tc>
          <w:tcPr>
            <w:tcW w:w="0" w:type="auto"/>
            <w:vMerge/>
            <w:tcBorders>
              <w:top w:val="nil"/>
              <w:left w:val="single" w:sz="4" w:space="0" w:color="auto"/>
              <w:bottom w:val="single" w:sz="4" w:space="0" w:color="000000"/>
              <w:right w:val="single" w:sz="4" w:space="0" w:color="auto"/>
            </w:tcBorders>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p>
        </w:tc>
      </w:tr>
      <w:tr w:rsidR="00AB762A" w:rsidRPr="001E18F0" w:rsidTr="00137C0C">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B762A" w:rsidRPr="001E18F0" w:rsidRDefault="00AB762A" w:rsidP="00C3178B">
            <w:pPr>
              <w:jc w:val="right"/>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14</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CORPONOR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APRESTAMIENTO</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Reserva forestal protectora Jurisdicciones</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RFPR</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9.723,88</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Calibri"/>
                <w:color w:val="000000"/>
                <w:sz w:val="18"/>
                <w:szCs w:val="18"/>
                <w:lang w:val="es-ES" w:eastAsia="es-CO"/>
              </w:rPr>
              <w:t>9.723,88</w:t>
            </w:r>
          </w:p>
        </w:tc>
        <w:tc>
          <w:tcPr>
            <w:tcW w:w="0" w:type="auto"/>
            <w:vMerge/>
            <w:tcBorders>
              <w:top w:val="nil"/>
              <w:left w:val="single" w:sz="4" w:space="0" w:color="auto"/>
              <w:bottom w:val="single" w:sz="4" w:space="0" w:color="000000"/>
              <w:right w:val="single" w:sz="4" w:space="0" w:color="auto"/>
            </w:tcBorders>
            <w:vAlign w:val="center"/>
            <w:hideMark/>
          </w:tcPr>
          <w:p w:rsidR="00AB762A" w:rsidRPr="001E18F0" w:rsidRDefault="00AB762A" w:rsidP="00C3178B">
            <w:pPr>
              <w:rPr>
                <w:rFonts w:ascii="Arial Narrow" w:eastAsia="Times New Roman" w:hAnsi="Arial Narrow" w:cs="Times New Roman"/>
                <w:color w:val="000000"/>
                <w:sz w:val="18"/>
                <w:szCs w:val="18"/>
                <w:lang w:val="es-CO" w:eastAsia="es-CO"/>
              </w:rPr>
            </w:pPr>
          </w:p>
        </w:tc>
      </w:tr>
      <w:tr w:rsidR="00AB762A" w:rsidRPr="001E18F0" w:rsidTr="00137C0C">
        <w:trPr>
          <w:trHeight w:val="20"/>
        </w:trPr>
        <w:tc>
          <w:tcPr>
            <w:tcW w:w="0" w:type="auto"/>
            <w:gridSpan w:val="6"/>
            <w:tcBorders>
              <w:top w:val="nil"/>
              <w:left w:val="single" w:sz="4" w:space="0" w:color="auto"/>
              <w:bottom w:val="single" w:sz="4" w:space="0" w:color="auto"/>
              <w:right w:val="single" w:sz="4" w:space="0" w:color="000000"/>
            </w:tcBorders>
            <w:shd w:val="clear" w:color="auto" w:fill="auto"/>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Calibri"/>
                <w:b/>
                <w:bCs/>
                <w:color w:val="000000"/>
                <w:sz w:val="18"/>
                <w:szCs w:val="18"/>
                <w:lang w:val="es-ES" w:eastAsia="es-CO"/>
              </w:rPr>
              <w:lastRenderedPageBreak/>
              <w:t>Total Hectáreas aproximadas</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662.457,88 </w:t>
            </w:r>
          </w:p>
        </w:tc>
        <w:tc>
          <w:tcPr>
            <w:tcW w:w="0" w:type="auto"/>
            <w:tcBorders>
              <w:top w:val="nil"/>
              <w:left w:val="nil"/>
              <w:bottom w:val="single" w:sz="4" w:space="0" w:color="auto"/>
              <w:right w:val="single" w:sz="4" w:space="0" w:color="auto"/>
            </w:tcBorders>
            <w:shd w:val="clear" w:color="auto" w:fill="auto"/>
            <w:vAlign w:val="center"/>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 xml:space="preserve">      662.457,90 </w:t>
            </w:r>
          </w:p>
        </w:tc>
        <w:tc>
          <w:tcPr>
            <w:tcW w:w="0" w:type="auto"/>
            <w:tcBorders>
              <w:top w:val="nil"/>
              <w:left w:val="nil"/>
              <w:bottom w:val="nil"/>
              <w:right w:val="nil"/>
            </w:tcBorders>
            <w:shd w:val="clear" w:color="auto" w:fill="auto"/>
            <w:vAlign w:val="bottom"/>
            <w:hideMark/>
          </w:tcPr>
          <w:p w:rsidR="00AB762A" w:rsidRPr="001E18F0" w:rsidRDefault="00AB762A" w:rsidP="00C3178B">
            <w:pPr>
              <w:jc w:val="center"/>
              <w:rPr>
                <w:rFonts w:ascii="Arial Narrow" w:eastAsia="Times New Roman" w:hAnsi="Arial Narrow" w:cs="Times New Roman"/>
                <w:b/>
                <w:bCs/>
                <w:color w:val="000000"/>
                <w:sz w:val="18"/>
                <w:szCs w:val="18"/>
                <w:lang w:val="es-CO" w:eastAsia="es-CO"/>
              </w:rPr>
            </w:pPr>
          </w:p>
        </w:tc>
      </w:tr>
    </w:tbl>
    <w:p w:rsidR="00B34EA6" w:rsidRPr="001E18F0" w:rsidRDefault="00B34EA6" w:rsidP="00B34EA6">
      <w:pPr>
        <w:rPr>
          <w:rFonts w:ascii="Arial Narrow" w:eastAsia="Times New Roman" w:hAnsi="Arial Narrow" w:cs="Times New Roman"/>
        </w:rPr>
      </w:pPr>
    </w:p>
    <w:tbl>
      <w:tblPr>
        <w:tblW w:w="5091" w:type="pct"/>
        <w:tblLayout w:type="fixed"/>
        <w:tblCellMar>
          <w:left w:w="70" w:type="dxa"/>
          <w:right w:w="70" w:type="dxa"/>
        </w:tblCellMar>
        <w:tblLook w:val="04A0" w:firstRow="1" w:lastRow="0" w:firstColumn="1" w:lastColumn="0" w:noHBand="0" w:noVBand="1"/>
      </w:tblPr>
      <w:tblGrid>
        <w:gridCol w:w="1870"/>
        <w:gridCol w:w="1667"/>
        <w:gridCol w:w="2715"/>
        <w:gridCol w:w="1879"/>
        <w:gridCol w:w="1461"/>
        <w:gridCol w:w="1696"/>
        <w:gridCol w:w="1942"/>
      </w:tblGrid>
      <w:tr w:rsidR="00C3178B" w:rsidRPr="001E18F0" w:rsidTr="00184173">
        <w:trPr>
          <w:trHeight w:val="660"/>
        </w:trPr>
        <w:tc>
          <w:tcPr>
            <w:tcW w:w="707"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Etapa del proceso</w:t>
            </w:r>
          </w:p>
        </w:tc>
        <w:tc>
          <w:tcPr>
            <w:tcW w:w="630" w:type="pct"/>
            <w:tcBorders>
              <w:top w:val="single" w:sz="4" w:space="0" w:color="auto"/>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No. De procesos</w:t>
            </w:r>
          </w:p>
        </w:tc>
        <w:tc>
          <w:tcPr>
            <w:tcW w:w="1026" w:type="pct"/>
            <w:tcBorders>
              <w:top w:val="single" w:sz="4" w:space="0" w:color="auto"/>
              <w:left w:val="nil"/>
              <w:bottom w:val="single" w:sz="4" w:space="0" w:color="auto"/>
              <w:right w:val="single" w:sz="4" w:space="0" w:color="auto"/>
            </w:tcBorders>
            <w:shd w:val="clear" w:color="auto" w:fill="92D050"/>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contemplada en la Res 2157 de 2017</w:t>
            </w:r>
          </w:p>
        </w:tc>
        <w:tc>
          <w:tcPr>
            <w:tcW w:w="710" w:type="pct"/>
            <w:tcBorders>
              <w:top w:val="single" w:sz="4" w:space="0" w:color="auto"/>
              <w:left w:val="nil"/>
              <w:bottom w:val="single" w:sz="4" w:space="0" w:color="auto"/>
              <w:right w:val="single" w:sz="4" w:space="0" w:color="auto"/>
            </w:tcBorders>
            <w:shd w:val="clear" w:color="auto" w:fill="92D050"/>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declarada</w:t>
            </w:r>
          </w:p>
        </w:tc>
        <w:tc>
          <w:tcPr>
            <w:tcW w:w="552" w:type="pct"/>
            <w:tcBorders>
              <w:top w:val="single" w:sz="4" w:space="0" w:color="auto"/>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liberada</w:t>
            </w:r>
          </w:p>
        </w:tc>
        <w:tc>
          <w:tcPr>
            <w:tcW w:w="641" w:type="pct"/>
            <w:tcBorders>
              <w:top w:val="single" w:sz="4" w:space="0" w:color="auto"/>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aumentada</w:t>
            </w:r>
          </w:p>
        </w:tc>
        <w:tc>
          <w:tcPr>
            <w:tcW w:w="734" w:type="pct"/>
            <w:tcBorders>
              <w:top w:val="single" w:sz="4" w:space="0" w:color="auto"/>
              <w:left w:val="nil"/>
              <w:bottom w:val="single" w:sz="4" w:space="0" w:color="auto"/>
              <w:right w:val="single" w:sz="4" w:space="0" w:color="auto"/>
            </w:tcBorders>
            <w:shd w:val="clear" w:color="auto" w:fill="92D050"/>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actual</w:t>
            </w:r>
          </w:p>
        </w:tc>
      </w:tr>
      <w:tr w:rsidR="00C3178B" w:rsidRPr="001E18F0" w:rsidTr="0030002E">
        <w:trPr>
          <w:trHeight w:val="330"/>
        </w:trPr>
        <w:tc>
          <w:tcPr>
            <w:tcW w:w="707" w:type="pct"/>
            <w:tcBorders>
              <w:top w:val="nil"/>
              <w:left w:val="single" w:sz="4" w:space="0" w:color="auto"/>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Declaratorias</w:t>
            </w:r>
          </w:p>
        </w:tc>
        <w:tc>
          <w:tcPr>
            <w:tcW w:w="630"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6</w:t>
            </w:r>
          </w:p>
        </w:tc>
        <w:tc>
          <w:tcPr>
            <w:tcW w:w="1026"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116.724,67</w:t>
            </w:r>
          </w:p>
        </w:tc>
        <w:tc>
          <w:tcPr>
            <w:tcW w:w="710"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94.912,14</w:t>
            </w:r>
          </w:p>
        </w:tc>
        <w:tc>
          <w:tcPr>
            <w:tcW w:w="552"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21.812,53</w:t>
            </w:r>
          </w:p>
        </w:tc>
        <w:tc>
          <w:tcPr>
            <w:tcW w:w="641"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734"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r>
      <w:tr w:rsidR="00C3178B" w:rsidRPr="001E18F0" w:rsidTr="0030002E">
        <w:trPr>
          <w:trHeight w:val="330"/>
        </w:trPr>
        <w:tc>
          <w:tcPr>
            <w:tcW w:w="707" w:type="pct"/>
            <w:tcBorders>
              <w:top w:val="nil"/>
              <w:left w:val="single" w:sz="4" w:space="0" w:color="auto"/>
              <w:bottom w:val="single" w:sz="4" w:space="0" w:color="auto"/>
              <w:right w:val="single" w:sz="4" w:space="0" w:color="auto"/>
            </w:tcBorders>
            <w:shd w:val="clear" w:color="auto" w:fill="auto"/>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Procesos en fase de aprestamiento</w:t>
            </w:r>
          </w:p>
        </w:tc>
        <w:tc>
          <w:tcPr>
            <w:tcW w:w="630" w:type="pct"/>
            <w:tcBorders>
              <w:top w:val="nil"/>
              <w:left w:val="nil"/>
              <w:bottom w:val="single" w:sz="4" w:space="0" w:color="auto"/>
              <w:right w:val="single" w:sz="4" w:space="0" w:color="auto"/>
            </w:tcBorders>
            <w:shd w:val="clear" w:color="auto" w:fill="auto"/>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15</w:t>
            </w:r>
          </w:p>
        </w:tc>
        <w:tc>
          <w:tcPr>
            <w:tcW w:w="1026"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706.574,21</w:t>
            </w:r>
          </w:p>
        </w:tc>
        <w:tc>
          <w:tcPr>
            <w:tcW w:w="710"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552"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641"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30.480,65</w:t>
            </w:r>
          </w:p>
        </w:tc>
        <w:tc>
          <w:tcPr>
            <w:tcW w:w="734"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737.054,86</w:t>
            </w:r>
          </w:p>
        </w:tc>
      </w:tr>
      <w:tr w:rsidR="00C3178B" w:rsidRPr="001E18F0" w:rsidTr="0030002E">
        <w:trPr>
          <w:trHeight w:val="330"/>
        </w:trPr>
        <w:tc>
          <w:tcPr>
            <w:tcW w:w="707" w:type="pct"/>
            <w:tcBorders>
              <w:top w:val="nil"/>
              <w:left w:val="single" w:sz="4" w:space="0" w:color="auto"/>
              <w:bottom w:val="single" w:sz="4" w:space="0" w:color="auto"/>
              <w:right w:val="single" w:sz="4" w:space="0" w:color="auto"/>
            </w:tcBorders>
            <w:shd w:val="clear" w:color="auto" w:fill="auto"/>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Procesos en fase de declaratoria</w:t>
            </w:r>
          </w:p>
        </w:tc>
        <w:tc>
          <w:tcPr>
            <w:tcW w:w="630"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14</w:t>
            </w:r>
          </w:p>
        </w:tc>
        <w:tc>
          <w:tcPr>
            <w:tcW w:w="1026"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394.357,51</w:t>
            </w:r>
          </w:p>
        </w:tc>
        <w:tc>
          <w:tcPr>
            <w:tcW w:w="710"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552"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147.838,02</w:t>
            </w:r>
          </w:p>
        </w:tc>
        <w:tc>
          <w:tcPr>
            <w:tcW w:w="641"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433,07</w:t>
            </w:r>
          </w:p>
        </w:tc>
        <w:tc>
          <w:tcPr>
            <w:tcW w:w="734" w:type="pct"/>
            <w:tcBorders>
              <w:top w:val="nil"/>
              <w:left w:val="nil"/>
              <w:bottom w:val="single" w:sz="4" w:space="0" w:color="auto"/>
              <w:right w:val="single" w:sz="4" w:space="0" w:color="auto"/>
            </w:tcBorders>
            <w:shd w:val="clear" w:color="auto" w:fill="auto"/>
            <w:noWrap/>
            <w:vAlign w:val="center"/>
            <w:hideMark/>
          </w:tcPr>
          <w:p w:rsidR="00C3178B" w:rsidRPr="001E18F0" w:rsidRDefault="00C3178B" w:rsidP="0030002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246.952,56</w:t>
            </w:r>
          </w:p>
        </w:tc>
      </w:tr>
      <w:tr w:rsidR="00C3178B" w:rsidRPr="001E18F0" w:rsidTr="00184173">
        <w:trPr>
          <w:trHeight w:val="330"/>
        </w:trPr>
        <w:tc>
          <w:tcPr>
            <w:tcW w:w="707" w:type="pct"/>
            <w:tcBorders>
              <w:top w:val="nil"/>
              <w:left w:val="single" w:sz="4" w:space="0" w:color="auto"/>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Total</w:t>
            </w:r>
          </w:p>
        </w:tc>
        <w:tc>
          <w:tcPr>
            <w:tcW w:w="630" w:type="pct"/>
            <w:tcBorders>
              <w:top w:val="nil"/>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35</w:t>
            </w:r>
          </w:p>
        </w:tc>
        <w:tc>
          <w:tcPr>
            <w:tcW w:w="1026" w:type="pct"/>
            <w:tcBorders>
              <w:top w:val="nil"/>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1.217.656,38</w:t>
            </w:r>
          </w:p>
        </w:tc>
        <w:tc>
          <w:tcPr>
            <w:tcW w:w="710" w:type="pct"/>
            <w:tcBorders>
              <w:top w:val="nil"/>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94.912,14</w:t>
            </w:r>
          </w:p>
        </w:tc>
        <w:tc>
          <w:tcPr>
            <w:tcW w:w="552" w:type="pct"/>
            <w:tcBorders>
              <w:top w:val="nil"/>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169.650,55</w:t>
            </w:r>
          </w:p>
        </w:tc>
        <w:tc>
          <w:tcPr>
            <w:tcW w:w="641" w:type="pct"/>
            <w:tcBorders>
              <w:top w:val="nil"/>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30.913,72</w:t>
            </w:r>
          </w:p>
        </w:tc>
        <w:tc>
          <w:tcPr>
            <w:tcW w:w="734" w:type="pct"/>
            <w:tcBorders>
              <w:top w:val="nil"/>
              <w:left w:val="nil"/>
              <w:bottom w:val="single" w:sz="4" w:space="0" w:color="auto"/>
              <w:right w:val="single" w:sz="4" w:space="0" w:color="auto"/>
            </w:tcBorders>
            <w:shd w:val="clear" w:color="auto" w:fill="92D050"/>
            <w:noWrap/>
            <w:vAlign w:val="center"/>
            <w:hideMark/>
          </w:tcPr>
          <w:p w:rsidR="00C3178B" w:rsidRPr="001E18F0" w:rsidRDefault="00C3178B" w:rsidP="0030002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984.007,42</w:t>
            </w:r>
          </w:p>
        </w:tc>
      </w:tr>
    </w:tbl>
    <w:p w:rsidR="000526DA" w:rsidRPr="001E18F0" w:rsidRDefault="000526DA" w:rsidP="00B34EA6">
      <w:pPr>
        <w:rPr>
          <w:rFonts w:ascii="Arial Narrow" w:eastAsia="Times New Roman" w:hAnsi="Arial Narrow" w:cs="Times New Roman"/>
        </w:rPr>
        <w:sectPr w:rsidR="000526DA" w:rsidRPr="001E18F0" w:rsidSect="00A55202">
          <w:pgSz w:w="15840" w:h="12240" w:orient="landscape"/>
          <w:pgMar w:top="1701" w:right="1418" w:bottom="1701" w:left="1418" w:header="709" w:footer="709" w:gutter="0"/>
          <w:cols w:space="708"/>
          <w:docGrid w:linePitch="360"/>
        </w:sectPr>
      </w:pPr>
    </w:p>
    <w:p w:rsidR="00817ED1" w:rsidRPr="001E18F0" w:rsidRDefault="00817ED1" w:rsidP="00B848DC">
      <w:pPr>
        <w:rPr>
          <w:rFonts w:ascii="Arial Narrow" w:eastAsia="Times New Roman" w:hAnsi="Arial Narrow" w:cs="Times New Roman"/>
        </w:rPr>
      </w:pPr>
    </w:p>
    <w:tbl>
      <w:tblPr>
        <w:tblW w:w="0" w:type="auto"/>
        <w:tblInd w:w="-5" w:type="dxa"/>
        <w:tblLayout w:type="fixed"/>
        <w:tblCellMar>
          <w:left w:w="70" w:type="dxa"/>
          <w:right w:w="70" w:type="dxa"/>
        </w:tblCellMar>
        <w:tblLook w:val="04A0" w:firstRow="1" w:lastRow="0" w:firstColumn="1" w:lastColumn="0" w:noHBand="0" w:noVBand="1"/>
      </w:tblPr>
      <w:tblGrid>
        <w:gridCol w:w="1293"/>
        <w:gridCol w:w="2676"/>
        <w:gridCol w:w="1636"/>
        <w:gridCol w:w="1625"/>
        <w:gridCol w:w="1603"/>
      </w:tblGrid>
      <w:tr w:rsidR="00192ECE" w:rsidRPr="001E18F0" w:rsidTr="00184173">
        <w:trPr>
          <w:trHeight w:val="20"/>
        </w:trPr>
        <w:tc>
          <w:tcPr>
            <w:tcW w:w="12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639" w:rsidRPr="001E18F0" w:rsidRDefault="00192ECE"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Análisis</w:t>
            </w:r>
            <w:r w:rsidR="00C54639" w:rsidRPr="001E18F0">
              <w:rPr>
                <w:rFonts w:ascii="Arial Narrow" w:eastAsia="Times New Roman" w:hAnsi="Arial Narrow" w:cs="Times New Roman"/>
                <w:color w:val="000000"/>
                <w:sz w:val="18"/>
                <w:szCs w:val="18"/>
                <w:lang w:val="es-CO" w:eastAsia="es-CO"/>
              </w:rPr>
              <w:t xml:space="preserve"> del área que sería objeto de prorroga </w:t>
            </w:r>
            <w:r w:rsidRPr="001E18F0">
              <w:rPr>
                <w:rFonts w:ascii="Arial Narrow" w:eastAsia="Times New Roman" w:hAnsi="Arial Narrow" w:cs="Times New Roman"/>
                <w:color w:val="000000"/>
                <w:sz w:val="18"/>
                <w:szCs w:val="18"/>
                <w:lang w:val="es-CO" w:eastAsia="es-CO"/>
              </w:rPr>
              <w:t>teniendo</w:t>
            </w:r>
            <w:r w:rsidR="00C54639" w:rsidRPr="001E18F0">
              <w:rPr>
                <w:rFonts w:ascii="Arial Narrow" w:eastAsia="Times New Roman" w:hAnsi="Arial Narrow" w:cs="Times New Roman"/>
                <w:color w:val="000000"/>
                <w:sz w:val="18"/>
                <w:szCs w:val="18"/>
                <w:lang w:val="es-CO" w:eastAsia="es-CO"/>
              </w:rPr>
              <w:t xml:space="preserve"> en cuenta los avances en la ruta declaratoria</w:t>
            </w:r>
          </w:p>
        </w:tc>
        <w:tc>
          <w:tcPr>
            <w:tcW w:w="2676" w:type="dxa"/>
            <w:tcBorders>
              <w:top w:val="single" w:sz="4" w:space="0" w:color="auto"/>
              <w:left w:val="nil"/>
              <w:bottom w:val="single" w:sz="4" w:space="0" w:color="auto"/>
              <w:right w:val="single" w:sz="4" w:space="0" w:color="auto"/>
            </w:tcBorders>
            <w:shd w:val="clear" w:color="auto" w:fill="92D050"/>
            <w:noWrap/>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Ítem</w:t>
            </w:r>
          </w:p>
        </w:tc>
        <w:tc>
          <w:tcPr>
            <w:tcW w:w="1636" w:type="dxa"/>
            <w:tcBorders>
              <w:top w:val="single" w:sz="4" w:space="0" w:color="auto"/>
              <w:left w:val="nil"/>
              <w:bottom w:val="single" w:sz="4" w:space="0" w:color="auto"/>
              <w:right w:val="single" w:sz="4" w:space="0" w:color="auto"/>
            </w:tcBorders>
            <w:shd w:val="clear" w:color="auto" w:fill="92D050"/>
            <w:noWrap/>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Áreas</w:t>
            </w:r>
          </w:p>
        </w:tc>
        <w:tc>
          <w:tcPr>
            <w:tcW w:w="1625" w:type="dxa"/>
            <w:tcBorders>
              <w:top w:val="single" w:sz="4" w:space="0" w:color="auto"/>
              <w:left w:val="nil"/>
              <w:bottom w:val="single" w:sz="4" w:space="0" w:color="auto"/>
              <w:right w:val="single" w:sz="4" w:space="0" w:color="auto"/>
            </w:tcBorders>
            <w:shd w:val="clear" w:color="auto" w:fill="92D050"/>
            <w:noWrap/>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Número de polígonos</w:t>
            </w:r>
          </w:p>
        </w:tc>
        <w:tc>
          <w:tcPr>
            <w:tcW w:w="1603" w:type="dxa"/>
            <w:tcBorders>
              <w:top w:val="single" w:sz="4" w:space="0" w:color="auto"/>
              <w:left w:val="nil"/>
              <w:bottom w:val="single" w:sz="4" w:space="0" w:color="auto"/>
              <w:right w:val="single" w:sz="4" w:space="0" w:color="auto"/>
            </w:tcBorders>
            <w:shd w:val="clear" w:color="auto" w:fill="92D050"/>
            <w:noWrap/>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Observación</w:t>
            </w:r>
          </w:p>
        </w:tc>
      </w:tr>
      <w:tr w:rsidR="00C54639" w:rsidRPr="001E18F0" w:rsidTr="00192ECE">
        <w:trPr>
          <w:trHeight w:val="2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p>
        </w:tc>
        <w:tc>
          <w:tcPr>
            <w:tcW w:w="2676" w:type="dxa"/>
            <w:tcBorders>
              <w:top w:val="nil"/>
              <w:left w:val="nil"/>
              <w:bottom w:val="single" w:sz="4" w:space="0" w:color="auto"/>
              <w:right w:val="single" w:sz="4" w:space="0" w:color="auto"/>
            </w:tcBorders>
            <w:shd w:val="clear" w:color="auto" w:fill="auto"/>
            <w:noWrap/>
            <w:vAlign w:val="center"/>
            <w:hideMark/>
          </w:tcPr>
          <w:p w:rsidR="00C54639" w:rsidRPr="001E18F0" w:rsidRDefault="00192ECE"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Área</w:t>
            </w:r>
            <w:r w:rsidR="00C54639" w:rsidRPr="001E18F0">
              <w:rPr>
                <w:rFonts w:ascii="Arial Narrow" w:eastAsia="Times New Roman" w:hAnsi="Arial Narrow" w:cs="Times New Roman"/>
                <w:color w:val="000000"/>
                <w:sz w:val="18"/>
                <w:szCs w:val="18"/>
                <w:lang w:val="es-CO" w:eastAsia="es-CO"/>
              </w:rPr>
              <w:t xml:space="preserve"> Res. 2157 de 2017</w:t>
            </w:r>
          </w:p>
        </w:tc>
        <w:tc>
          <w:tcPr>
            <w:tcW w:w="1636"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1.217.656,38</w:t>
            </w:r>
          </w:p>
        </w:tc>
        <w:tc>
          <w:tcPr>
            <w:tcW w:w="1625"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35</w:t>
            </w:r>
          </w:p>
        </w:tc>
        <w:tc>
          <w:tcPr>
            <w:tcW w:w="1603"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r>
      <w:tr w:rsidR="00C54639" w:rsidRPr="001E18F0" w:rsidTr="00192ECE">
        <w:trPr>
          <w:trHeight w:val="2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p>
        </w:tc>
        <w:tc>
          <w:tcPr>
            <w:tcW w:w="2676"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Menos áreas declaradas (94.912,14)</w:t>
            </w:r>
          </w:p>
        </w:tc>
        <w:tc>
          <w:tcPr>
            <w:tcW w:w="1636"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1.122.744,24</w:t>
            </w:r>
          </w:p>
        </w:tc>
        <w:tc>
          <w:tcPr>
            <w:tcW w:w="1625"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6</w:t>
            </w:r>
          </w:p>
        </w:tc>
        <w:tc>
          <w:tcPr>
            <w:tcW w:w="1603"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r>
      <w:tr w:rsidR="00C54639" w:rsidRPr="001E18F0" w:rsidTr="00192ECE">
        <w:trPr>
          <w:trHeight w:val="2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p>
        </w:tc>
        <w:tc>
          <w:tcPr>
            <w:tcW w:w="2676"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Menos área liberada por declaratoria (21.812,53)</w:t>
            </w:r>
          </w:p>
        </w:tc>
        <w:tc>
          <w:tcPr>
            <w:tcW w:w="1636"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1.100.931,71</w:t>
            </w:r>
          </w:p>
        </w:tc>
        <w:tc>
          <w:tcPr>
            <w:tcW w:w="1625"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1603"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Los seis procesos declarados liberaron área que no fue incluida en la declaratoria</w:t>
            </w:r>
          </w:p>
        </w:tc>
      </w:tr>
      <w:tr w:rsidR="00C54639" w:rsidRPr="001E18F0" w:rsidTr="00192ECE">
        <w:trPr>
          <w:trHeight w:val="2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p>
        </w:tc>
        <w:tc>
          <w:tcPr>
            <w:tcW w:w="2676"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Menos área liberada por procesos en fase declaratoria (166.852,02)</w:t>
            </w:r>
          </w:p>
        </w:tc>
        <w:tc>
          <w:tcPr>
            <w:tcW w:w="1636"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953.093,69</w:t>
            </w:r>
          </w:p>
        </w:tc>
        <w:tc>
          <w:tcPr>
            <w:tcW w:w="1625"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1603"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5 procesos afinaron sus límites y liberaron áreas</w:t>
            </w:r>
          </w:p>
        </w:tc>
      </w:tr>
      <w:tr w:rsidR="00C54639" w:rsidRPr="001E18F0" w:rsidTr="00192ECE">
        <w:trPr>
          <w:trHeight w:val="2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p>
        </w:tc>
        <w:tc>
          <w:tcPr>
            <w:tcW w:w="2676"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Más área aumentada por procesos en fases de aprestamiento y declaratoria (30.913,72)</w:t>
            </w:r>
          </w:p>
        </w:tc>
        <w:tc>
          <w:tcPr>
            <w:tcW w:w="1636"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984.007,42</w:t>
            </w:r>
          </w:p>
        </w:tc>
        <w:tc>
          <w:tcPr>
            <w:tcW w:w="1625" w:type="dxa"/>
            <w:tcBorders>
              <w:top w:val="nil"/>
              <w:left w:val="nil"/>
              <w:bottom w:val="single" w:sz="4" w:space="0" w:color="auto"/>
              <w:right w:val="single" w:sz="4" w:space="0" w:color="auto"/>
            </w:tcBorders>
            <w:shd w:val="clear" w:color="auto" w:fill="auto"/>
            <w:noWrap/>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w:t>
            </w:r>
          </w:p>
        </w:tc>
        <w:tc>
          <w:tcPr>
            <w:tcW w:w="1603" w:type="dxa"/>
            <w:tcBorders>
              <w:top w:val="nil"/>
              <w:left w:val="nil"/>
              <w:bottom w:val="single" w:sz="4" w:space="0" w:color="auto"/>
              <w:right w:val="single" w:sz="4" w:space="0" w:color="auto"/>
            </w:tcBorders>
            <w:shd w:val="clear" w:color="auto" w:fill="auto"/>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r w:rsidRPr="001E18F0">
              <w:rPr>
                <w:rFonts w:ascii="Arial Narrow" w:eastAsia="Times New Roman" w:hAnsi="Arial Narrow" w:cs="Times New Roman"/>
                <w:color w:val="000000"/>
                <w:sz w:val="18"/>
                <w:szCs w:val="18"/>
                <w:lang w:val="es-CO" w:eastAsia="es-CO"/>
              </w:rPr>
              <w:t>2 procesos redefinieron sus límites y aumentaron su área</w:t>
            </w:r>
          </w:p>
        </w:tc>
      </w:tr>
      <w:tr w:rsidR="00192ECE" w:rsidRPr="001E18F0" w:rsidTr="00184173">
        <w:trPr>
          <w:trHeight w:val="20"/>
        </w:trPr>
        <w:tc>
          <w:tcPr>
            <w:tcW w:w="1293" w:type="dxa"/>
            <w:vMerge/>
            <w:tcBorders>
              <w:top w:val="single" w:sz="4" w:space="0" w:color="auto"/>
              <w:left w:val="single" w:sz="4" w:space="0" w:color="auto"/>
              <w:bottom w:val="single" w:sz="4" w:space="0" w:color="auto"/>
              <w:right w:val="single" w:sz="4" w:space="0" w:color="auto"/>
            </w:tcBorders>
            <w:vAlign w:val="center"/>
            <w:hideMark/>
          </w:tcPr>
          <w:p w:rsidR="00C54639" w:rsidRPr="001E18F0" w:rsidRDefault="00C54639" w:rsidP="00192ECE">
            <w:pPr>
              <w:jc w:val="center"/>
              <w:rPr>
                <w:rFonts w:ascii="Arial Narrow" w:eastAsia="Times New Roman" w:hAnsi="Arial Narrow" w:cs="Times New Roman"/>
                <w:color w:val="000000"/>
                <w:sz w:val="18"/>
                <w:szCs w:val="18"/>
                <w:lang w:val="es-CO" w:eastAsia="es-CO"/>
              </w:rPr>
            </w:pPr>
          </w:p>
        </w:tc>
        <w:tc>
          <w:tcPr>
            <w:tcW w:w="2676" w:type="dxa"/>
            <w:tcBorders>
              <w:top w:val="nil"/>
              <w:left w:val="nil"/>
              <w:bottom w:val="single" w:sz="4" w:space="0" w:color="auto"/>
              <w:right w:val="single" w:sz="4" w:space="0" w:color="auto"/>
            </w:tcBorders>
            <w:shd w:val="clear" w:color="auto" w:fill="92D050"/>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Área para prórroga</w:t>
            </w:r>
          </w:p>
        </w:tc>
        <w:tc>
          <w:tcPr>
            <w:tcW w:w="1636" w:type="dxa"/>
            <w:tcBorders>
              <w:top w:val="nil"/>
              <w:left w:val="nil"/>
              <w:bottom w:val="single" w:sz="4" w:space="0" w:color="auto"/>
              <w:right w:val="single" w:sz="4" w:space="0" w:color="auto"/>
            </w:tcBorders>
            <w:shd w:val="clear" w:color="auto" w:fill="92D050"/>
            <w:noWrap/>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984.007,42</w:t>
            </w:r>
          </w:p>
        </w:tc>
        <w:tc>
          <w:tcPr>
            <w:tcW w:w="1625" w:type="dxa"/>
            <w:tcBorders>
              <w:top w:val="nil"/>
              <w:left w:val="nil"/>
              <w:bottom w:val="single" w:sz="4" w:space="0" w:color="auto"/>
              <w:right w:val="single" w:sz="4" w:space="0" w:color="auto"/>
            </w:tcBorders>
            <w:shd w:val="clear" w:color="auto" w:fill="92D050"/>
            <w:noWrap/>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r w:rsidRPr="001E18F0">
              <w:rPr>
                <w:rFonts w:ascii="Arial Narrow" w:eastAsia="Times New Roman" w:hAnsi="Arial Narrow" w:cs="Times New Roman"/>
                <w:b/>
                <w:bCs/>
                <w:color w:val="000000"/>
                <w:sz w:val="18"/>
                <w:szCs w:val="18"/>
                <w:lang w:val="es-CO" w:eastAsia="es-CO"/>
              </w:rPr>
              <w:t>29</w:t>
            </w:r>
          </w:p>
        </w:tc>
        <w:tc>
          <w:tcPr>
            <w:tcW w:w="1603" w:type="dxa"/>
            <w:tcBorders>
              <w:top w:val="nil"/>
              <w:left w:val="nil"/>
              <w:bottom w:val="single" w:sz="4" w:space="0" w:color="auto"/>
              <w:right w:val="single" w:sz="4" w:space="0" w:color="auto"/>
            </w:tcBorders>
            <w:shd w:val="clear" w:color="auto" w:fill="92D050"/>
            <w:vAlign w:val="center"/>
            <w:hideMark/>
          </w:tcPr>
          <w:p w:rsidR="00C54639" w:rsidRPr="001E18F0" w:rsidRDefault="00C54639" w:rsidP="00192ECE">
            <w:pPr>
              <w:jc w:val="center"/>
              <w:rPr>
                <w:rFonts w:ascii="Arial Narrow" w:eastAsia="Times New Roman" w:hAnsi="Arial Narrow" w:cs="Times New Roman"/>
                <w:b/>
                <w:bCs/>
                <w:color w:val="000000"/>
                <w:sz w:val="18"/>
                <w:szCs w:val="18"/>
                <w:lang w:val="es-CO" w:eastAsia="es-CO"/>
              </w:rPr>
            </w:pPr>
          </w:p>
        </w:tc>
      </w:tr>
    </w:tbl>
    <w:p w:rsidR="00817ED1" w:rsidRPr="001E18F0" w:rsidRDefault="00817ED1" w:rsidP="00B848DC">
      <w:pPr>
        <w:rPr>
          <w:rFonts w:ascii="Arial Narrow" w:eastAsia="Times New Roman" w:hAnsi="Arial Narrow" w:cs="Times New Roman"/>
        </w:rPr>
      </w:pPr>
    </w:p>
    <w:p w:rsidR="00F57C96" w:rsidRPr="001E18F0" w:rsidRDefault="006A664B" w:rsidP="00B848DC">
      <w:pPr>
        <w:rPr>
          <w:rFonts w:ascii="Arial Narrow" w:eastAsia="Times New Roman" w:hAnsi="Arial Narrow" w:cs="Times New Roman"/>
        </w:rPr>
      </w:pPr>
      <w:r w:rsidRPr="001E18F0">
        <w:rPr>
          <w:rFonts w:ascii="Arial Narrow" w:eastAsia="Times New Roman" w:hAnsi="Arial Narrow" w:cs="Times New Roman"/>
        </w:rPr>
        <w:t>Con base en lo anterior, se tiene entonces el siguiente estado de avance sobre los procesos de declaratoria adelantados en las áreas declaradas en la Resolución 1814 de 2015:</w:t>
      </w:r>
    </w:p>
    <w:p w:rsidR="0059045D" w:rsidRPr="001E18F0" w:rsidRDefault="0059045D" w:rsidP="00B848DC">
      <w:pPr>
        <w:rPr>
          <w:rFonts w:ascii="Arial Narrow" w:eastAsia="Times New Roman" w:hAnsi="Arial Narrow" w:cs="Times New Roman"/>
        </w:rPr>
      </w:pPr>
    </w:p>
    <w:p w:rsidR="00B3164F" w:rsidRPr="001E18F0" w:rsidRDefault="00B3164F" w:rsidP="00B3164F">
      <w:pPr>
        <w:spacing w:after="200" w:line="276" w:lineRule="auto"/>
        <w:jc w:val="center"/>
        <w:rPr>
          <w:rFonts w:ascii="Arial Narrow" w:eastAsia="Times New Roman" w:hAnsi="Arial Narrow" w:cs="Times New Roman"/>
          <w:sz w:val="20"/>
        </w:rPr>
      </w:pPr>
      <w:r w:rsidRPr="001E18F0">
        <w:rPr>
          <w:rFonts w:ascii="Arial Narrow" w:eastAsia="Times New Roman" w:hAnsi="Arial Narrow" w:cs="Times New Roman"/>
          <w:b/>
          <w:sz w:val="20"/>
        </w:rPr>
        <w:t xml:space="preserve">Figura 1. </w:t>
      </w:r>
      <w:r w:rsidRPr="001E18F0">
        <w:rPr>
          <w:rFonts w:ascii="Arial Narrow" w:eastAsia="Times New Roman" w:hAnsi="Arial Narrow" w:cs="Times New Roman"/>
          <w:sz w:val="20"/>
        </w:rPr>
        <w:t xml:space="preserve"> Esquema del estado de los procesos de declaratoria de áreas protegidas regionales.</w:t>
      </w:r>
    </w:p>
    <w:p w:rsidR="006A664B" w:rsidRPr="001E18F0" w:rsidRDefault="002E24AE" w:rsidP="003A7E9A">
      <w:pPr>
        <w:spacing w:after="200" w:line="276" w:lineRule="auto"/>
        <w:rPr>
          <w:rFonts w:ascii="Arial Narrow" w:eastAsia="Times New Roman" w:hAnsi="Arial Narrow" w:cs="Times New Roman"/>
        </w:rPr>
      </w:pPr>
      <w:r w:rsidRPr="001E18F0">
        <w:rPr>
          <w:noProof/>
          <w:lang w:val="es-CO" w:eastAsia="es-CO"/>
        </w:rPr>
        <w:drawing>
          <wp:inline distT="0" distB="0" distL="0" distR="0" wp14:anchorId="6056C952" wp14:editId="49981C00">
            <wp:extent cx="5612130" cy="2117090"/>
            <wp:effectExtent l="0" t="0" r="7620" b="1651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F216C8" w:rsidRPr="001E18F0" w:rsidRDefault="00AB0FBA" w:rsidP="00E15761">
      <w:pPr>
        <w:jc w:val="both"/>
        <w:rPr>
          <w:rFonts w:ascii="Arial Narrow" w:eastAsia="Times New Roman" w:hAnsi="Arial Narrow" w:cs="Times New Roman"/>
        </w:rPr>
      </w:pPr>
      <w:r w:rsidRPr="001E18F0">
        <w:rPr>
          <w:rFonts w:ascii="Arial Narrow" w:eastAsia="Times New Roman" w:hAnsi="Arial Narrow" w:cs="Times New Roman"/>
        </w:rPr>
        <w:t>La delimitación y descripción de las Áreas está contenida en el A</w:t>
      </w:r>
      <w:r w:rsidR="00C83F61" w:rsidRPr="001E18F0">
        <w:rPr>
          <w:rFonts w:ascii="Arial Narrow" w:eastAsia="Times New Roman" w:hAnsi="Arial Narrow" w:cs="Times New Roman"/>
        </w:rPr>
        <w:t>nexo</w:t>
      </w:r>
      <w:r w:rsidR="00C42183" w:rsidRPr="001E18F0">
        <w:rPr>
          <w:rFonts w:ascii="Arial Narrow" w:eastAsia="Times New Roman" w:hAnsi="Arial Narrow" w:cs="Times New Roman"/>
        </w:rPr>
        <w:t xml:space="preserve"> </w:t>
      </w:r>
      <w:r w:rsidR="00E17997" w:rsidRPr="001E18F0">
        <w:rPr>
          <w:rFonts w:ascii="Arial Narrow" w:eastAsia="Times New Roman" w:hAnsi="Arial Narrow" w:cs="Times New Roman"/>
        </w:rPr>
        <w:t>1</w:t>
      </w:r>
      <w:r w:rsidR="00140DAD" w:rsidRPr="001E18F0">
        <w:rPr>
          <w:rFonts w:ascii="Arial Narrow" w:eastAsia="Times New Roman" w:hAnsi="Arial Narrow" w:cs="Times New Roman"/>
        </w:rPr>
        <w:t xml:space="preserve"> </w:t>
      </w:r>
      <w:r w:rsidR="00975A36" w:rsidRPr="001E18F0">
        <w:rPr>
          <w:rFonts w:ascii="Arial Narrow" w:eastAsia="Times New Roman" w:hAnsi="Arial Narrow" w:cs="Times New Roman"/>
        </w:rPr>
        <w:t xml:space="preserve">“INFORME ANÁLISIS PRORROGA RESOLUCIÓN 2157 DE 2017” </w:t>
      </w:r>
      <w:r w:rsidR="00271B3D" w:rsidRPr="001E18F0">
        <w:rPr>
          <w:rFonts w:ascii="Arial Narrow" w:eastAsia="Times New Roman" w:hAnsi="Arial Narrow" w:cs="Times New Roman"/>
        </w:rPr>
        <w:t>del presente documento,</w:t>
      </w:r>
      <w:r w:rsidR="00A01F79" w:rsidRPr="001E18F0">
        <w:rPr>
          <w:rFonts w:ascii="Arial Narrow" w:eastAsia="Times New Roman" w:hAnsi="Arial Narrow" w:cs="Times New Roman"/>
        </w:rPr>
        <w:t xml:space="preserve"> y los soportes cartográfico</w:t>
      </w:r>
      <w:r w:rsidR="00E17997" w:rsidRPr="001E18F0">
        <w:rPr>
          <w:rFonts w:ascii="Arial Narrow" w:eastAsia="Times New Roman" w:hAnsi="Arial Narrow" w:cs="Times New Roman"/>
        </w:rPr>
        <w:t xml:space="preserve"> de los 35 polígonos,</w:t>
      </w:r>
      <w:r w:rsidR="008A36C6" w:rsidRPr="001E18F0">
        <w:rPr>
          <w:rFonts w:ascii="Arial Narrow" w:eastAsia="Times New Roman" w:hAnsi="Arial Narrow" w:cs="Times New Roman"/>
        </w:rPr>
        <w:t xml:space="preserve"> se encue</w:t>
      </w:r>
      <w:r w:rsidR="00E17997" w:rsidRPr="001E18F0">
        <w:rPr>
          <w:rFonts w:ascii="Arial Narrow" w:eastAsia="Times New Roman" w:hAnsi="Arial Narrow" w:cs="Times New Roman"/>
        </w:rPr>
        <w:t>ntran contenidos en los anexos 2</w:t>
      </w:r>
      <w:r w:rsidR="008A36C6" w:rsidRPr="001E18F0">
        <w:rPr>
          <w:rFonts w:ascii="Arial Narrow" w:eastAsia="Times New Roman" w:hAnsi="Arial Narrow" w:cs="Times New Roman"/>
        </w:rPr>
        <w:t xml:space="preserve"> </w:t>
      </w:r>
      <w:r w:rsidR="00E15761" w:rsidRPr="001E18F0">
        <w:rPr>
          <w:rFonts w:ascii="Arial Narrow" w:eastAsia="Times New Roman" w:hAnsi="Arial Narrow" w:cs="Times New Roman"/>
        </w:rPr>
        <w:t xml:space="preserve">“Archivo en formato shape “7 Polígonos Precisados” </w:t>
      </w:r>
      <w:r w:rsidR="008A36C6" w:rsidRPr="001E18F0">
        <w:rPr>
          <w:rFonts w:ascii="Arial Narrow" w:eastAsia="Times New Roman" w:hAnsi="Arial Narrow" w:cs="Times New Roman"/>
        </w:rPr>
        <w:t xml:space="preserve">y </w:t>
      </w:r>
      <w:r w:rsidR="00E17997" w:rsidRPr="001E18F0">
        <w:rPr>
          <w:rFonts w:ascii="Arial Narrow" w:eastAsia="Times New Roman" w:hAnsi="Arial Narrow" w:cs="Times New Roman"/>
        </w:rPr>
        <w:t>3</w:t>
      </w:r>
      <w:r w:rsidR="00E15761" w:rsidRPr="001E18F0">
        <w:t xml:space="preserve"> “Ar</w:t>
      </w:r>
      <w:r w:rsidR="00E15761" w:rsidRPr="001E18F0">
        <w:rPr>
          <w:rFonts w:ascii="Arial Narrow" w:eastAsia="Times New Roman" w:hAnsi="Arial Narrow" w:cs="Times New Roman"/>
        </w:rPr>
        <w:t>chivo en formato shape “Resolución 2157 de 2017 actualizado”</w:t>
      </w:r>
      <w:r w:rsidR="008A36C6" w:rsidRPr="001E18F0">
        <w:rPr>
          <w:rFonts w:ascii="Arial Narrow" w:eastAsia="Times New Roman" w:hAnsi="Arial Narrow" w:cs="Times New Roman"/>
        </w:rPr>
        <w:t>. Estos soportes fueron consolidados</w:t>
      </w:r>
      <w:r w:rsidRPr="001E18F0">
        <w:rPr>
          <w:rFonts w:ascii="Arial Narrow" w:eastAsia="Times New Roman" w:hAnsi="Arial Narrow" w:cs="Times New Roman"/>
        </w:rPr>
        <w:t xml:space="preserve"> por Parques Nacionales Naturales de Colombia en su calidad de coordinador del Sistema Nacional de </w:t>
      </w:r>
      <w:r w:rsidR="00271B3D" w:rsidRPr="001E18F0">
        <w:rPr>
          <w:rFonts w:ascii="Arial Narrow" w:eastAsia="Times New Roman" w:hAnsi="Arial Narrow" w:cs="Times New Roman"/>
        </w:rPr>
        <w:t>Áreas</w:t>
      </w:r>
      <w:r w:rsidRPr="001E18F0">
        <w:rPr>
          <w:rFonts w:ascii="Arial Narrow" w:eastAsia="Times New Roman" w:hAnsi="Arial Narrow" w:cs="Times New Roman"/>
        </w:rPr>
        <w:t xml:space="preserve"> Protegidas, como Administrador del Sistema Nacional de Parques Nacionales Naturales y </w:t>
      </w:r>
      <w:r w:rsidR="00E15A11" w:rsidRPr="001E18F0">
        <w:rPr>
          <w:rFonts w:ascii="Arial Narrow" w:eastAsia="Times New Roman" w:hAnsi="Arial Narrow" w:cs="Times New Roman"/>
        </w:rPr>
        <w:t xml:space="preserve">del Registro Único Nacional de Áreas Protegidas – RUNAP, todo en el marco de sus competencias </w:t>
      </w:r>
      <w:r w:rsidRPr="001E18F0">
        <w:rPr>
          <w:rFonts w:ascii="Arial Narrow" w:eastAsia="Times New Roman" w:hAnsi="Arial Narrow" w:cs="Times New Roman"/>
        </w:rPr>
        <w:t xml:space="preserve">como responsable de proporcionar al Ministerio de Ambiente y Desarrollo </w:t>
      </w:r>
      <w:r w:rsidRPr="001E18F0">
        <w:rPr>
          <w:rFonts w:ascii="Arial Narrow" w:eastAsia="Times New Roman" w:hAnsi="Arial Narrow" w:cs="Times New Roman"/>
        </w:rPr>
        <w:lastRenderedPageBreak/>
        <w:t xml:space="preserve">Sostenible los criterios técnicos para la formulación de políticas y regulaciones relacionadas con </w:t>
      </w:r>
      <w:r w:rsidR="00271B3D" w:rsidRPr="001E18F0">
        <w:rPr>
          <w:rFonts w:ascii="Arial Narrow" w:eastAsia="Times New Roman" w:hAnsi="Arial Narrow" w:cs="Times New Roman"/>
        </w:rPr>
        <w:t>Áreas</w:t>
      </w:r>
      <w:r w:rsidRPr="001E18F0">
        <w:rPr>
          <w:rFonts w:ascii="Arial Narrow" w:eastAsia="Times New Roman" w:hAnsi="Arial Narrow" w:cs="Times New Roman"/>
        </w:rPr>
        <w:t xml:space="preserve"> Pro</w:t>
      </w:r>
      <w:r w:rsidR="00611F8E" w:rsidRPr="001E18F0">
        <w:rPr>
          <w:rFonts w:ascii="Arial Narrow" w:eastAsia="Times New Roman" w:hAnsi="Arial Narrow" w:cs="Times New Roman"/>
        </w:rPr>
        <w:t>tegidas. (Decreto 3572 de 2011).</w:t>
      </w:r>
      <w:r w:rsidR="00F216C8" w:rsidRPr="001E18F0">
        <w:rPr>
          <w:rFonts w:ascii="Arial Narrow" w:eastAsia="Times New Roman" w:hAnsi="Arial Narrow" w:cs="Times New Roman"/>
        </w:rPr>
        <w:t xml:space="preserve"> </w:t>
      </w:r>
    </w:p>
    <w:p w:rsidR="00F216C8" w:rsidRPr="001E18F0" w:rsidRDefault="00F216C8" w:rsidP="00271B3D">
      <w:pPr>
        <w:jc w:val="both"/>
        <w:rPr>
          <w:rFonts w:ascii="Arial Narrow" w:eastAsia="Times New Roman" w:hAnsi="Arial Narrow" w:cs="Times New Roman"/>
        </w:rPr>
      </w:pPr>
    </w:p>
    <w:p w:rsidR="00C76F05" w:rsidRPr="001E18F0" w:rsidRDefault="00C76F05" w:rsidP="00271B3D">
      <w:pPr>
        <w:jc w:val="both"/>
        <w:rPr>
          <w:rFonts w:ascii="Arial Narrow" w:eastAsia="Times New Roman" w:hAnsi="Arial Narrow" w:cs="Times New Roman"/>
        </w:rPr>
      </w:pPr>
    </w:p>
    <w:p w:rsidR="00433BB1" w:rsidRPr="001E18F0" w:rsidRDefault="00433BB1" w:rsidP="00271B3D">
      <w:pPr>
        <w:jc w:val="both"/>
        <w:rPr>
          <w:rFonts w:ascii="Arial Narrow" w:eastAsia="Times New Roman" w:hAnsi="Arial Narrow" w:cs="Times New Roman"/>
        </w:rPr>
      </w:pPr>
    </w:p>
    <w:p w:rsidR="00C6615D" w:rsidRPr="001E18F0" w:rsidRDefault="00C6615D" w:rsidP="00271B3D">
      <w:pPr>
        <w:jc w:val="both"/>
        <w:rPr>
          <w:rFonts w:ascii="Arial Narrow" w:eastAsia="Times New Roman" w:hAnsi="Arial Narrow" w:cs="Times New Roman"/>
        </w:rPr>
      </w:pPr>
    </w:p>
    <w:p w:rsidR="00C3178B" w:rsidRPr="001E18F0" w:rsidRDefault="00C3178B" w:rsidP="00271B3D">
      <w:pPr>
        <w:jc w:val="both"/>
        <w:rPr>
          <w:rFonts w:ascii="Arial Narrow" w:eastAsia="Times New Roman" w:hAnsi="Arial Narrow" w:cs="Times New Roman"/>
        </w:rPr>
      </w:pPr>
    </w:p>
    <w:p w:rsidR="00427221" w:rsidRPr="001E18F0" w:rsidRDefault="00427221" w:rsidP="00427221">
      <w:pPr>
        <w:pStyle w:val="Prrafodelista"/>
        <w:ind w:left="0"/>
        <w:jc w:val="both"/>
        <w:rPr>
          <w:rFonts w:ascii="Arial Narrow" w:hAnsi="Arial Narrow"/>
        </w:rPr>
      </w:pPr>
    </w:p>
    <w:tbl>
      <w:tblPr>
        <w:tblW w:w="9500" w:type="dxa"/>
        <w:jc w:val="center"/>
        <w:tblLook w:val="04A0" w:firstRow="1" w:lastRow="0" w:firstColumn="1" w:lastColumn="0" w:noHBand="0" w:noVBand="1"/>
      </w:tblPr>
      <w:tblGrid>
        <w:gridCol w:w="4395"/>
        <w:gridCol w:w="5105"/>
      </w:tblGrid>
      <w:tr w:rsidR="00BD74BA" w:rsidRPr="001E18F0" w:rsidTr="00D30B22">
        <w:trPr>
          <w:jc w:val="center"/>
        </w:trPr>
        <w:tc>
          <w:tcPr>
            <w:tcW w:w="4395" w:type="dxa"/>
            <w:shd w:val="clear" w:color="auto" w:fill="auto"/>
          </w:tcPr>
          <w:p w:rsidR="00BD74BA" w:rsidRPr="001E18F0" w:rsidRDefault="00BD74BA" w:rsidP="00D30B22">
            <w:pPr>
              <w:autoSpaceDE w:val="0"/>
              <w:autoSpaceDN w:val="0"/>
              <w:adjustRightInd w:val="0"/>
              <w:contextualSpacing/>
              <w:jc w:val="both"/>
              <w:rPr>
                <w:rFonts w:ascii="Arial Narrow" w:hAnsi="Arial Narrow" w:cs="Arial"/>
                <w:b/>
              </w:rPr>
            </w:pPr>
            <w:r w:rsidRPr="001E18F0">
              <w:rPr>
                <w:rFonts w:ascii="Arial Narrow" w:hAnsi="Arial Narrow" w:cs="Arial"/>
                <w:b/>
              </w:rPr>
              <w:t>NATALIA MARIA RAMIREZ MARTINEZ</w:t>
            </w:r>
          </w:p>
        </w:tc>
        <w:tc>
          <w:tcPr>
            <w:tcW w:w="5105" w:type="dxa"/>
            <w:shd w:val="clear" w:color="auto" w:fill="auto"/>
          </w:tcPr>
          <w:p w:rsidR="00BD74BA" w:rsidRPr="001E18F0" w:rsidRDefault="00433BB1" w:rsidP="00D30B22">
            <w:pPr>
              <w:autoSpaceDE w:val="0"/>
              <w:autoSpaceDN w:val="0"/>
              <w:adjustRightInd w:val="0"/>
              <w:contextualSpacing/>
              <w:jc w:val="both"/>
              <w:rPr>
                <w:rFonts w:ascii="Arial Narrow" w:hAnsi="Arial Narrow" w:cs="Arial"/>
                <w:b/>
              </w:rPr>
            </w:pPr>
            <w:r w:rsidRPr="001E18F0">
              <w:rPr>
                <w:rFonts w:ascii="Arial Narrow" w:hAnsi="Arial Narrow" w:cs="Arial"/>
                <w:b/>
              </w:rPr>
              <w:t>MARIO ORLANDO LOPEZ CASTRO</w:t>
            </w:r>
          </w:p>
        </w:tc>
      </w:tr>
      <w:tr w:rsidR="00BD74BA" w:rsidRPr="001E18F0" w:rsidTr="00D30B22">
        <w:trPr>
          <w:jc w:val="center"/>
        </w:trPr>
        <w:tc>
          <w:tcPr>
            <w:tcW w:w="4395" w:type="dxa"/>
            <w:shd w:val="clear" w:color="auto" w:fill="auto"/>
          </w:tcPr>
          <w:p w:rsidR="00BD74BA" w:rsidRPr="001E18F0" w:rsidRDefault="00BD74BA" w:rsidP="00D30B22">
            <w:pPr>
              <w:autoSpaceDE w:val="0"/>
              <w:autoSpaceDN w:val="0"/>
              <w:adjustRightInd w:val="0"/>
              <w:ind w:right="358"/>
              <w:contextualSpacing/>
              <w:jc w:val="both"/>
              <w:rPr>
                <w:rFonts w:ascii="Arial Narrow" w:hAnsi="Arial Narrow" w:cs="Arial"/>
              </w:rPr>
            </w:pPr>
            <w:r w:rsidRPr="001E18F0">
              <w:rPr>
                <w:rFonts w:ascii="Arial Narrow" w:hAnsi="Arial Narrow" w:cs="Arial"/>
              </w:rPr>
              <w:t>Directora de Bosques, Biodiversidad  y Servicios Ecosistémicos –MADS</w:t>
            </w:r>
          </w:p>
        </w:tc>
        <w:tc>
          <w:tcPr>
            <w:tcW w:w="5105" w:type="dxa"/>
            <w:shd w:val="clear" w:color="auto" w:fill="auto"/>
          </w:tcPr>
          <w:p w:rsidR="00BD74BA" w:rsidRPr="001E18F0" w:rsidRDefault="00BD74BA" w:rsidP="00D30B22">
            <w:pPr>
              <w:autoSpaceDE w:val="0"/>
              <w:autoSpaceDN w:val="0"/>
              <w:adjustRightInd w:val="0"/>
              <w:contextualSpacing/>
              <w:jc w:val="both"/>
              <w:rPr>
                <w:rFonts w:ascii="Arial Narrow" w:hAnsi="Arial Narrow" w:cs="Arial"/>
              </w:rPr>
            </w:pPr>
            <w:r w:rsidRPr="001E18F0">
              <w:rPr>
                <w:rFonts w:ascii="Arial Narrow" w:hAnsi="Arial Narrow" w:cs="Arial"/>
                <w:lang w:val="es-ES"/>
              </w:rPr>
              <w:t>Director de Asuntos Ambientales Sectorial y Urbana - MADS</w:t>
            </w:r>
          </w:p>
        </w:tc>
      </w:tr>
    </w:tbl>
    <w:p w:rsidR="00CD459E" w:rsidRPr="001E18F0" w:rsidRDefault="00CD459E" w:rsidP="00427221">
      <w:pPr>
        <w:autoSpaceDE w:val="0"/>
        <w:autoSpaceDN w:val="0"/>
        <w:adjustRightInd w:val="0"/>
        <w:contextualSpacing/>
        <w:jc w:val="both"/>
        <w:rPr>
          <w:rFonts w:ascii="Arial Narrow" w:hAnsi="Arial Narrow" w:cs="Arial"/>
          <w:sz w:val="18"/>
        </w:rPr>
      </w:pPr>
    </w:p>
    <w:p w:rsidR="00886742" w:rsidRPr="001E18F0" w:rsidRDefault="00CD459E" w:rsidP="00427221">
      <w:pPr>
        <w:autoSpaceDE w:val="0"/>
        <w:autoSpaceDN w:val="0"/>
        <w:adjustRightInd w:val="0"/>
        <w:contextualSpacing/>
        <w:jc w:val="both"/>
        <w:rPr>
          <w:rFonts w:ascii="Arial Narrow" w:hAnsi="Arial Narrow" w:cs="Arial"/>
          <w:sz w:val="20"/>
        </w:rPr>
      </w:pPr>
      <w:r w:rsidRPr="001E18F0">
        <w:rPr>
          <w:rFonts w:ascii="Arial Narrow" w:hAnsi="Arial Narrow" w:cs="Arial"/>
          <w:sz w:val="20"/>
        </w:rPr>
        <w:t xml:space="preserve">Anexo 1. </w:t>
      </w:r>
      <w:r w:rsidR="00886742" w:rsidRPr="001E18F0">
        <w:rPr>
          <w:rFonts w:ascii="Arial Narrow" w:hAnsi="Arial Narrow" w:cs="Arial"/>
          <w:sz w:val="20"/>
        </w:rPr>
        <w:t>INFORME ANÁLISIS PRORROGA RESOLUCIÓN 2157 DE 2017</w:t>
      </w:r>
    </w:p>
    <w:p w:rsidR="00CD459E" w:rsidRPr="001E18F0" w:rsidRDefault="00CD459E" w:rsidP="00427221">
      <w:pPr>
        <w:autoSpaceDE w:val="0"/>
        <w:autoSpaceDN w:val="0"/>
        <w:adjustRightInd w:val="0"/>
        <w:contextualSpacing/>
        <w:jc w:val="both"/>
        <w:rPr>
          <w:rFonts w:ascii="Arial Narrow" w:hAnsi="Arial Narrow" w:cs="Arial"/>
          <w:sz w:val="20"/>
        </w:rPr>
      </w:pPr>
      <w:r w:rsidRPr="001E18F0">
        <w:rPr>
          <w:rFonts w:ascii="Arial Narrow" w:hAnsi="Arial Narrow" w:cs="Arial"/>
          <w:sz w:val="20"/>
        </w:rPr>
        <w:t xml:space="preserve">Anexo 2. </w:t>
      </w:r>
      <w:r w:rsidR="00886742" w:rsidRPr="001E18F0">
        <w:rPr>
          <w:rFonts w:ascii="Arial Narrow" w:hAnsi="Arial Narrow" w:cs="Arial"/>
          <w:sz w:val="20"/>
        </w:rPr>
        <w:t>Archivo en formato shape “7 Polígonos Precisados”</w:t>
      </w:r>
    </w:p>
    <w:p w:rsidR="00CD459E" w:rsidRPr="001E18F0" w:rsidRDefault="00CD459E" w:rsidP="00427221">
      <w:pPr>
        <w:autoSpaceDE w:val="0"/>
        <w:autoSpaceDN w:val="0"/>
        <w:adjustRightInd w:val="0"/>
        <w:contextualSpacing/>
        <w:jc w:val="both"/>
        <w:rPr>
          <w:rFonts w:ascii="Arial Narrow" w:hAnsi="Arial Narrow" w:cs="Arial"/>
          <w:sz w:val="20"/>
        </w:rPr>
      </w:pPr>
      <w:r w:rsidRPr="001E18F0">
        <w:rPr>
          <w:rFonts w:ascii="Arial Narrow" w:hAnsi="Arial Narrow" w:cs="Arial"/>
          <w:sz w:val="20"/>
        </w:rPr>
        <w:t xml:space="preserve">Anexo 3. </w:t>
      </w:r>
      <w:r w:rsidR="00886742" w:rsidRPr="001E18F0">
        <w:rPr>
          <w:rFonts w:ascii="Arial Narrow" w:hAnsi="Arial Narrow" w:cs="Arial"/>
          <w:sz w:val="20"/>
        </w:rPr>
        <w:t>Archivo en formato shape “Resolución 2157 de 2017 actualizado”</w:t>
      </w:r>
    </w:p>
    <w:p w:rsidR="00427221" w:rsidRPr="001E18F0" w:rsidRDefault="00427221" w:rsidP="00427221">
      <w:pPr>
        <w:autoSpaceDE w:val="0"/>
        <w:autoSpaceDN w:val="0"/>
        <w:adjustRightInd w:val="0"/>
        <w:contextualSpacing/>
        <w:jc w:val="both"/>
        <w:rPr>
          <w:rFonts w:ascii="Arial Narrow" w:hAnsi="Arial Narrow" w:cs="Arial"/>
          <w:sz w:val="16"/>
        </w:rPr>
      </w:pPr>
    </w:p>
    <w:p w:rsidR="00D43F2D" w:rsidRPr="001E18F0" w:rsidRDefault="00D43F2D" w:rsidP="00116AFB">
      <w:pPr>
        <w:autoSpaceDE w:val="0"/>
        <w:autoSpaceDN w:val="0"/>
        <w:adjustRightInd w:val="0"/>
        <w:ind w:left="1410" w:hanging="1410"/>
        <w:contextualSpacing/>
        <w:jc w:val="both"/>
        <w:rPr>
          <w:rFonts w:ascii="Arial Narrow" w:hAnsi="Arial Narrow" w:cs="Arial"/>
          <w:sz w:val="20"/>
          <w:szCs w:val="20"/>
        </w:rPr>
      </w:pPr>
      <w:r w:rsidRPr="001E18F0">
        <w:rPr>
          <w:rFonts w:ascii="Arial Narrow" w:hAnsi="Arial Narrow" w:cs="Arial"/>
          <w:sz w:val="20"/>
          <w:szCs w:val="20"/>
        </w:rPr>
        <w:t xml:space="preserve">Revisión Técnica: </w:t>
      </w:r>
      <w:r w:rsidR="00C42183" w:rsidRPr="001E18F0">
        <w:rPr>
          <w:rFonts w:ascii="Arial Narrow" w:hAnsi="Arial Narrow" w:cs="Arial"/>
          <w:sz w:val="20"/>
          <w:szCs w:val="20"/>
        </w:rPr>
        <w:t xml:space="preserve">Jairo Orlando Homez Sanchez /  </w:t>
      </w:r>
      <w:r w:rsidRPr="001E18F0">
        <w:rPr>
          <w:rFonts w:ascii="Arial Narrow" w:hAnsi="Arial Narrow" w:cs="Arial"/>
          <w:sz w:val="20"/>
          <w:szCs w:val="20"/>
        </w:rPr>
        <w:t>DAASU</w:t>
      </w:r>
    </w:p>
    <w:p w:rsidR="00D2587D" w:rsidRDefault="00116AFB" w:rsidP="00116AFB">
      <w:pPr>
        <w:autoSpaceDE w:val="0"/>
        <w:autoSpaceDN w:val="0"/>
        <w:adjustRightInd w:val="0"/>
        <w:ind w:left="1410" w:hanging="1410"/>
        <w:contextualSpacing/>
        <w:jc w:val="both"/>
        <w:rPr>
          <w:rFonts w:ascii="Arial Narrow" w:hAnsi="Arial Narrow" w:cs="Arial"/>
          <w:sz w:val="20"/>
          <w:szCs w:val="20"/>
        </w:rPr>
      </w:pPr>
      <w:r w:rsidRPr="001E18F0">
        <w:rPr>
          <w:rFonts w:ascii="Arial Narrow" w:hAnsi="Arial Narrow" w:cs="Arial"/>
          <w:sz w:val="20"/>
          <w:szCs w:val="20"/>
        </w:rPr>
        <w:t>Elaboró:</w:t>
      </w:r>
      <w:r w:rsidR="00D2587D" w:rsidRPr="001E18F0">
        <w:rPr>
          <w:rFonts w:ascii="Arial Narrow" w:hAnsi="Arial Narrow" w:cs="Arial"/>
          <w:sz w:val="20"/>
          <w:szCs w:val="20"/>
        </w:rPr>
        <w:t xml:space="preserve"> </w:t>
      </w:r>
      <w:r w:rsidR="00F57C96" w:rsidRPr="001E18F0">
        <w:rPr>
          <w:rFonts w:ascii="Arial Narrow" w:hAnsi="Arial Narrow" w:cs="Arial"/>
          <w:sz w:val="20"/>
          <w:szCs w:val="20"/>
        </w:rPr>
        <w:t xml:space="preserve">Alexander Ibagon Montes </w:t>
      </w:r>
      <w:r w:rsidR="00D2587D" w:rsidRPr="001E18F0">
        <w:rPr>
          <w:rFonts w:ascii="Arial Narrow" w:hAnsi="Arial Narrow" w:cs="Arial"/>
          <w:sz w:val="20"/>
          <w:szCs w:val="20"/>
        </w:rPr>
        <w:t>DBBSE – MADS</w:t>
      </w:r>
    </w:p>
    <w:sectPr w:rsidR="00D2587D" w:rsidSect="000526DA">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C77" w:rsidRDefault="004B7C77" w:rsidP="00CD6908">
      <w:r>
        <w:separator/>
      </w:r>
    </w:p>
  </w:endnote>
  <w:endnote w:type="continuationSeparator" w:id="0">
    <w:p w:rsidR="004B7C77" w:rsidRDefault="004B7C77"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61431"/>
      <w:docPartObj>
        <w:docPartGallery w:val="Page Numbers (Bottom of Page)"/>
        <w:docPartUnique/>
      </w:docPartObj>
    </w:sdtPr>
    <w:sdtEndPr/>
    <w:sdtContent>
      <w:p w:rsidR="002B3AA3" w:rsidRPr="002B3AA3" w:rsidRDefault="002B3AA3" w:rsidP="002B3AA3">
        <w:pPr>
          <w:pStyle w:val="Piedepgina"/>
          <w:jc w:val="center"/>
          <w:rPr>
            <w:rFonts w:ascii="Arial Narrow" w:hAnsi="Arial Narrow"/>
            <w:color w:val="BFBFBF"/>
            <w:sz w:val="14"/>
            <w:szCs w:val="18"/>
          </w:rPr>
        </w:pPr>
        <w:r w:rsidRPr="002B3AA3">
          <w:rPr>
            <w:rFonts w:ascii="Arial Narrow" w:hAnsi="Arial Narrow"/>
            <w:sz w:val="20"/>
          </w:rPr>
          <w:fldChar w:fldCharType="begin"/>
        </w:r>
        <w:r w:rsidRPr="002B3AA3">
          <w:rPr>
            <w:rFonts w:ascii="Arial Narrow" w:hAnsi="Arial Narrow"/>
            <w:sz w:val="20"/>
          </w:rPr>
          <w:instrText>PAGE   \* MERGEFORMAT</w:instrText>
        </w:r>
        <w:r w:rsidRPr="002B3AA3">
          <w:rPr>
            <w:rFonts w:ascii="Arial Narrow" w:hAnsi="Arial Narrow"/>
            <w:sz w:val="20"/>
          </w:rPr>
          <w:fldChar w:fldCharType="separate"/>
        </w:r>
        <w:r w:rsidR="001E18F0" w:rsidRPr="001E18F0">
          <w:rPr>
            <w:rFonts w:ascii="Arial Narrow" w:hAnsi="Arial Narrow"/>
            <w:noProof/>
            <w:sz w:val="20"/>
            <w:lang w:val="es-ES"/>
          </w:rPr>
          <w:t>36</w:t>
        </w:r>
        <w:r w:rsidRPr="002B3AA3">
          <w:rPr>
            <w:rFonts w:ascii="Arial Narrow" w:hAnsi="Arial Narrow"/>
            <w:sz w:val="20"/>
          </w:rPr>
          <w:fldChar w:fldCharType="end"/>
        </w:r>
      </w:p>
      <w:p w:rsidR="002B3AA3" w:rsidRDefault="002B3AA3" w:rsidP="002B3AA3">
        <w:pPr>
          <w:pStyle w:val="Piedepgina"/>
          <w:jc w:val="center"/>
          <w:rPr>
            <w:rFonts w:ascii="Verdana" w:hAnsi="Verdana"/>
            <w:sz w:val="18"/>
            <w:szCs w:val="18"/>
          </w:rPr>
        </w:pPr>
        <w:r w:rsidRPr="004E0067">
          <w:rPr>
            <w:rFonts w:ascii="Verdana" w:hAnsi="Verdana"/>
            <w:color w:val="BFBFBF"/>
            <w:sz w:val="18"/>
            <w:szCs w:val="18"/>
          </w:rPr>
          <w:t>F-E-SIG-26-V</w:t>
        </w:r>
        <w:r>
          <w:rPr>
            <w:rFonts w:ascii="Verdana" w:hAnsi="Verdana"/>
            <w:color w:val="BFBFBF"/>
            <w:sz w:val="18"/>
            <w:szCs w:val="18"/>
          </w:rPr>
          <w:t>2</w:t>
        </w:r>
        <w:r w:rsidRPr="004E0067">
          <w:rPr>
            <w:rFonts w:ascii="Verdana" w:hAnsi="Verdana"/>
            <w:color w:val="BFBFBF"/>
            <w:sz w:val="18"/>
            <w:szCs w:val="18"/>
          </w:rPr>
          <w:t xml:space="preserve">. Vigencia </w:t>
        </w:r>
        <w:r>
          <w:rPr>
            <w:rFonts w:ascii="Verdana" w:hAnsi="Verdana"/>
            <w:color w:val="BFBFBF"/>
            <w:sz w:val="18"/>
            <w:szCs w:val="18"/>
          </w:rPr>
          <w:t>17</w:t>
        </w:r>
        <w:r w:rsidRPr="004E0067">
          <w:rPr>
            <w:rFonts w:ascii="Verdana" w:hAnsi="Verdana"/>
            <w:color w:val="BFBFBF"/>
            <w:sz w:val="18"/>
            <w:szCs w:val="18"/>
          </w:rPr>
          <w:t>/0</w:t>
        </w:r>
        <w:r>
          <w:rPr>
            <w:rFonts w:ascii="Verdana" w:hAnsi="Verdana"/>
            <w:color w:val="BFBFBF"/>
            <w:sz w:val="18"/>
            <w:szCs w:val="18"/>
          </w:rPr>
          <w:t>8</w:t>
        </w:r>
        <w:r w:rsidRPr="004E0067">
          <w:rPr>
            <w:rFonts w:ascii="Verdana" w:hAnsi="Verdana"/>
            <w:color w:val="BFBFBF"/>
            <w:sz w:val="18"/>
            <w:szCs w:val="18"/>
          </w:rPr>
          <w:t>/201</w:t>
        </w:r>
        <w:r>
          <w:rPr>
            <w:rFonts w:ascii="Verdana" w:hAnsi="Verdana"/>
            <w:color w:val="BFBFBF"/>
            <w:sz w:val="18"/>
            <w:szCs w:val="18"/>
          </w:rPr>
          <w:t>8</w:t>
        </w:r>
        <w:r w:rsidRPr="004E0067">
          <w:rPr>
            <w:rFonts w:ascii="Verdana" w:hAnsi="Verdana"/>
            <w:color w:val="BFBFBF"/>
            <w:sz w:val="18"/>
            <w:szCs w:val="18"/>
          </w:rPr>
          <w:t xml:space="preserve">                                            </w:t>
        </w:r>
        <w:r>
          <w:rPr>
            <w:rFonts w:ascii="Verdana" w:hAnsi="Verdana"/>
            <w:color w:val="BFBFBF"/>
            <w:sz w:val="18"/>
            <w:szCs w:val="18"/>
          </w:rPr>
          <w:t xml:space="preserve">   </w:t>
        </w:r>
        <w:r w:rsidRPr="004E0067">
          <w:rPr>
            <w:rFonts w:ascii="Verdana" w:hAnsi="Verdana"/>
            <w:color w:val="BFBFBF"/>
            <w:sz w:val="18"/>
            <w:szCs w:val="18"/>
          </w:rPr>
          <w:t xml:space="preserve">            </w:t>
        </w:r>
        <w:r w:rsidRPr="00854ED8">
          <w:rPr>
            <w:rFonts w:ascii="Verdana" w:hAnsi="Verdana"/>
            <w:sz w:val="18"/>
            <w:szCs w:val="18"/>
          </w:rPr>
          <w:t>Calle 37 No. 8 - 40</w:t>
        </w:r>
      </w:p>
      <w:p w:rsidR="002B3AA3" w:rsidRPr="00854ED8" w:rsidRDefault="002B3AA3" w:rsidP="002B3AA3">
        <w:pPr>
          <w:pStyle w:val="Piedepgina"/>
          <w:jc w:val="right"/>
          <w:rPr>
            <w:rFonts w:ascii="Verdana" w:hAnsi="Verdana"/>
            <w:sz w:val="18"/>
            <w:szCs w:val="18"/>
          </w:rPr>
        </w:pPr>
        <w:r w:rsidRPr="00854ED8">
          <w:rPr>
            <w:rFonts w:ascii="Verdana" w:hAnsi="Verdana"/>
            <w:sz w:val="18"/>
            <w:szCs w:val="18"/>
          </w:rPr>
          <w:t>Conmutador (571) 3323400</w:t>
        </w:r>
      </w:p>
      <w:p w:rsidR="002B3AA3" w:rsidRPr="002B3AA3" w:rsidRDefault="002B3AA3" w:rsidP="002B3AA3">
        <w:pPr>
          <w:pStyle w:val="Piedepgina"/>
          <w:rPr>
            <w:rFonts w:ascii="Verdana" w:hAnsi="Verdana"/>
            <w:sz w:val="18"/>
            <w:szCs w:val="18"/>
          </w:rPr>
        </w:pPr>
        <w:r>
          <w:rPr>
            <w:rFonts w:ascii="Verdana" w:hAnsi="Verdana"/>
            <w:sz w:val="18"/>
            <w:szCs w:val="18"/>
          </w:rPr>
          <w:tab/>
        </w:r>
        <w:r>
          <w:rPr>
            <w:rFonts w:ascii="Verdana" w:hAnsi="Verdana"/>
            <w:sz w:val="18"/>
            <w:szCs w:val="18"/>
          </w:rPr>
          <w:tab/>
        </w:r>
        <w:hyperlink r:id="rId1" w:history="1">
          <w:r w:rsidRPr="00621C79">
            <w:rPr>
              <w:rStyle w:val="Hipervnculo"/>
              <w:rFonts w:ascii="Verdana" w:hAnsi="Verdana"/>
              <w:sz w:val="18"/>
              <w:szCs w:val="18"/>
            </w:rPr>
            <w:t>www.minambiente.gov.co</w:t>
          </w:r>
        </w:hyperlink>
        <w:r w:rsidRPr="00854ED8">
          <w:rPr>
            <w:rFonts w:ascii="Verdana" w:hAnsi="Verdana"/>
            <w:sz w:val="18"/>
            <w:szCs w:val="18"/>
          </w:rPr>
          <w:t xml:space="preserve"> </w:t>
        </w:r>
      </w:p>
      <w:p w:rsidR="002B3AA3" w:rsidRDefault="004B7C77">
        <w:pPr>
          <w:pStyle w:val="Piedepgina"/>
        </w:pPr>
      </w:p>
    </w:sdtContent>
  </w:sdt>
  <w:p w:rsidR="002B3AA3" w:rsidRDefault="002B3AA3" w:rsidP="002B3AA3">
    <w:pPr>
      <w:pStyle w:val="Piedepgina"/>
      <w:jc w:val="center"/>
      <w:rPr>
        <w:rFonts w:ascii="Verdana" w:hAnsi="Verdana"/>
        <w:color w:val="BFBFBF"/>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C77" w:rsidRDefault="004B7C77" w:rsidP="00CD6908">
      <w:r>
        <w:separator/>
      </w:r>
    </w:p>
  </w:footnote>
  <w:footnote w:type="continuationSeparator" w:id="0">
    <w:p w:rsidR="004B7C77" w:rsidRDefault="004B7C77" w:rsidP="00CD6908">
      <w:r>
        <w:continuationSeparator/>
      </w:r>
    </w:p>
  </w:footnote>
  <w:footnote w:id="1">
    <w:p w:rsidR="00DD7054" w:rsidRPr="00DD7054" w:rsidRDefault="00DD7054">
      <w:pPr>
        <w:pStyle w:val="Textonotapie"/>
        <w:rPr>
          <w:lang w:val="es-CO"/>
        </w:rPr>
      </w:pPr>
      <w:r>
        <w:rPr>
          <w:rStyle w:val="Refdenotaalpie"/>
        </w:rPr>
        <w:footnoteRef/>
      </w:r>
      <w:r>
        <w:t xml:space="preserve"> </w:t>
      </w:r>
      <w:r>
        <w:rPr>
          <w:lang w:val="es-CO"/>
        </w:rPr>
        <w:t>Información RUNAP octubre de 2018.</w:t>
      </w:r>
    </w:p>
  </w:footnote>
  <w:footnote w:id="2">
    <w:p w:rsidR="00311863" w:rsidRPr="004E3385" w:rsidRDefault="00311863" w:rsidP="00311863">
      <w:pPr>
        <w:pStyle w:val="Textonotapie"/>
      </w:pPr>
      <w:r>
        <w:rPr>
          <w:rStyle w:val="Refdenotaalpie"/>
        </w:rPr>
        <w:footnoteRef/>
      </w:r>
      <w:r>
        <w:t xml:space="preserve"> </w:t>
      </w:r>
      <w:r w:rsidRPr="00427221">
        <w:rPr>
          <w:sz w:val="16"/>
          <w:szCs w:val="16"/>
        </w:rPr>
        <w:t>Guía Minero Ambiental para Etapa de Exploración. Ministerio de Minas y Energía y Ministerio del Medio Ambiente.</w:t>
      </w:r>
    </w:p>
  </w:footnote>
  <w:footnote w:id="3">
    <w:p w:rsidR="00311863" w:rsidRPr="007C05B4" w:rsidRDefault="00311863" w:rsidP="00311863">
      <w:pPr>
        <w:pStyle w:val="Textonotapie"/>
        <w:rPr>
          <w:rFonts w:ascii="Arial Narrow" w:hAnsi="Arial Narrow"/>
        </w:rPr>
      </w:pPr>
      <w:r w:rsidRPr="007C05B4">
        <w:rPr>
          <w:rStyle w:val="Refdenotaalpie"/>
          <w:rFonts w:ascii="Arial Narrow" w:hAnsi="Arial Narrow"/>
        </w:rPr>
        <w:footnoteRef/>
      </w:r>
      <w:r w:rsidRPr="007C05B4">
        <w:rPr>
          <w:rFonts w:ascii="Arial Narrow" w:hAnsi="Arial Narrow"/>
        </w:rPr>
        <w:t xml:space="preserve">  </w:t>
      </w:r>
      <w:r w:rsidRPr="007C05B4">
        <w:rPr>
          <w:rFonts w:ascii="Arial Narrow" w:hAnsi="Arial Narrow"/>
          <w:sz w:val="16"/>
          <w:szCs w:val="16"/>
        </w:rPr>
        <w:t>En la Sentencia C-526 de 1994. M.P. Antonio Barrera Carbonell, se dijo sobre el impacto ambiental: “</w:t>
      </w:r>
      <w:r w:rsidRPr="007C05B4">
        <w:rPr>
          <w:rFonts w:ascii="Arial Narrow" w:hAnsi="Arial Narrow"/>
          <w:i/>
          <w:iCs/>
          <w:sz w:val="16"/>
          <w:szCs w:val="16"/>
        </w:rPr>
        <w:t>El fundamento constitucional de la exigencia legal de la declaración de impacto o de efecto ambiental, se encuentra en el derecho constitucional que tienen todas las personas, las de las generaciones presentes y futuras, de gozar un ambiente sano, que emerge del siguiente conjunto normativo configurativo del sistema ambiental en la Constitución Política de 1991.”</w:t>
      </w:r>
    </w:p>
  </w:footnote>
  <w:footnote w:id="4">
    <w:p w:rsidR="00311863" w:rsidRPr="007C05B4" w:rsidRDefault="00311863" w:rsidP="00311863">
      <w:pPr>
        <w:pStyle w:val="Textonotapie"/>
        <w:rPr>
          <w:rFonts w:ascii="Arial Narrow" w:hAnsi="Arial Narrow"/>
          <w:lang w:val="en-US"/>
        </w:rPr>
      </w:pPr>
      <w:r w:rsidRPr="007C05B4">
        <w:rPr>
          <w:rStyle w:val="Refdenotaalpie"/>
          <w:rFonts w:ascii="Arial Narrow" w:hAnsi="Arial Narrow"/>
        </w:rPr>
        <w:footnoteRef/>
      </w:r>
      <w:r w:rsidRPr="007C05B4">
        <w:rPr>
          <w:rFonts w:ascii="Arial Narrow" w:hAnsi="Arial Narrow"/>
        </w:rPr>
        <w:t xml:space="preserve"> </w:t>
      </w:r>
      <w:r w:rsidRPr="007C05B4">
        <w:rPr>
          <w:rFonts w:ascii="Arial Narrow" w:hAnsi="Arial Narrow"/>
          <w:sz w:val="16"/>
          <w:szCs w:val="16"/>
        </w:rPr>
        <w:t xml:space="preserve">Cfr. WLASH, Juan Rodrigo. Instrumentos de gestión ambiental e instrumentos económicos para un régimen minero ambiental en la Argentina: Capítulo IV del libro “Consideraciones de un régimen jurídico ambiental para la minería en Argentina”. </w:t>
      </w:r>
      <w:proofErr w:type="spellStart"/>
      <w:r w:rsidRPr="007C05B4">
        <w:rPr>
          <w:rFonts w:ascii="Arial Narrow" w:hAnsi="Arial Narrow"/>
          <w:sz w:val="16"/>
          <w:szCs w:val="16"/>
          <w:lang w:val="en-US"/>
        </w:rPr>
        <w:t>Estudio</w:t>
      </w:r>
      <w:proofErr w:type="spellEnd"/>
      <w:r w:rsidRPr="007C05B4">
        <w:rPr>
          <w:rFonts w:ascii="Arial Narrow" w:hAnsi="Arial Narrow"/>
          <w:sz w:val="16"/>
          <w:szCs w:val="16"/>
          <w:lang w:val="en-US"/>
        </w:rPr>
        <w:t xml:space="preserve"> </w:t>
      </w:r>
      <w:proofErr w:type="spellStart"/>
      <w:r w:rsidRPr="007C05B4">
        <w:rPr>
          <w:rFonts w:ascii="Arial Narrow" w:hAnsi="Arial Narrow"/>
          <w:sz w:val="16"/>
          <w:szCs w:val="16"/>
          <w:lang w:val="en-US"/>
        </w:rPr>
        <w:t>Analítico</w:t>
      </w:r>
      <w:proofErr w:type="spellEnd"/>
      <w:r w:rsidRPr="007C05B4">
        <w:rPr>
          <w:rFonts w:ascii="Arial Narrow" w:hAnsi="Arial Narrow"/>
          <w:sz w:val="16"/>
          <w:szCs w:val="16"/>
          <w:lang w:val="en-US"/>
        </w:rPr>
        <w:t xml:space="preserve"> No. 5. 1995.</w:t>
      </w:r>
    </w:p>
  </w:footnote>
  <w:footnote w:id="5">
    <w:p w:rsidR="00311863" w:rsidRPr="00256B09" w:rsidRDefault="00311863" w:rsidP="00311863">
      <w:pPr>
        <w:pStyle w:val="Textonotapie"/>
        <w:rPr>
          <w:lang w:val="en-US"/>
        </w:rPr>
      </w:pPr>
      <w:r w:rsidRPr="007C05B4">
        <w:rPr>
          <w:rStyle w:val="Refdenotaalpie"/>
          <w:rFonts w:ascii="Arial Narrow" w:hAnsi="Arial Narrow"/>
        </w:rPr>
        <w:footnoteRef/>
      </w:r>
      <w:r w:rsidRPr="007C05B4">
        <w:rPr>
          <w:rFonts w:ascii="Arial Narrow" w:hAnsi="Arial Narrow"/>
          <w:lang w:val="en-US"/>
        </w:rPr>
        <w:t xml:space="preserve"> </w:t>
      </w:r>
      <w:proofErr w:type="spellStart"/>
      <w:r w:rsidRPr="007C05B4">
        <w:rPr>
          <w:rFonts w:ascii="Arial Narrow" w:hAnsi="Arial Narrow"/>
          <w:sz w:val="16"/>
          <w:szCs w:val="16"/>
          <w:lang w:val="en-US"/>
        </w:rPr>
        <w:t>Iied</w:t>
      </w:r>
      <w:proofErr w:type="spellEnd"/>
      <w:r w:rsidRPr="007C05B4">
        <w:rPr>
          <w:rFonts w:ascii="Arial Narrow" w:hAnsi="Arial Narrow"/>
          <w:sz w:val="16"/>
          <w:szCs w:val="16"/>
          <w:lang w:val="en-US"/>
        </w:rPr>
        <w:t xml:space="preserve">: International Institute for Environment and Development y World Business Council </w:t>
      </w:r>
      <w:proofErr w:type="gramStart"/>
      <w:r w:rsidRPr="007C05B4">
        <w:rPr>
          <w:rFonts w:ascii="Arial Narrow" w:hAnsi="Arial Narrow"/>
          <w:sz w:val="16"/>
          <w:szCs w:val="16"/>
          <w:lang w:val="en-US"/>
        </w:rPr>
        <w:t>For</w:t>
      </w:r>
      <w:proofErr w:type="gramEnd"/>
      <w:r w:rsidRPr="007C05B4">
        <w:rPr>
          <w:rFonts w:ascii="Arial Narrow" w:hAnsi="Arial Narrow"/>
          <w:sz w:val="16"/>
          <w:szCs w:val="16"/>
          <w:lang w:val="en-US"/>
        </w:rPr>
        <w:t xml:space="preserve"> Sustainable Development.</w:t>
      </w:r>
    </w:p>
  </w:footnote>
  <w:footnote w:id="6">
    <w:p w:rsidR="00311863" w:rsidRPr="007C05B4" w:rsidRDefault="00311863" w:rsidP="00311863">
      <w:pPr>
        <w:jc w:val="both"/>
        <w:rPr>
          <w:rFonts w:ascii="Arial Narrow" w:eastAsiaTheme="majorEastAsia" w:hAnsi="Arial Narrow"/>
          <w:sz w:val="16"/>
          <w:szCs w:val="16"/>
        </w:rPr>
      </w:pPr>
      <w:r w:rsidRPr="007C05B4">
        <w:rPr>
          <w:rFonts w:ascii="Arial Narrow" w:eastAsiaTheme="majorEastAsia" w:hAnsi="Arial Narrow" w:cs="Arial"/>
          <w:sz w:val="16"/>
          <w:szCs w:val="16"/>
        </w:rPr>
        <w:footnoteRef/>
      </w:r>
      <w:r w:rsidRPr="007C05B4">
        <w:rPr>
          <w:rFonts w:ascii="Arial Narrow" w:eastAsiaTheme="majorEastAsia" w:hAnsi="Arial Narrow" w:cs="Arial"/>
          <w:sz w:val="16"/>
          <w:szCs w:val="16"/>
        </w:rPr>
        <w:t xml:space="preserve"> J </w:t>
      </w:r>
      <w:proofErr w:type="spellStart"/>
      <w:r w:rsidRPr="007C05B4">
        <w:rPr>
          <w:rFonts w:ascii="Arial Narrow" w:eastAsiaTheme="majorEastAsia" w:hAnsi="Arial Narrow" w:cs="Arial"/>
          <w:sz w:val="16"/>
          <w:szCs w:val="16"/>
        </w:rPr>
        <w:t>Gowda</w:t>
      </w:r>
      <w:proofErr w:type="spellEnd"/>
      <w:r w:rsidRPr="007C05B4">
        <w:rPr>
          <w:rFonts w:ascii="Arial Narrow" w:eastAsiaTheme="majorEastAsia" w:hAnsi="Arial Narrow" w:cs="Arial"/>
          <w:sz w:val="16"/>
          <w:szCs w:val="16"/>
        </w:rPr>
        <w:t xml:space="preserve"> y </w:t>
      </w:r>
      <w:proofErr w:type="spellStart"/>
      <w:r w:rsidRPr="007C05B4">
        <w:rPr>
          <w:rFonts w:ascii="Arial Narrow" w:eastAsiaTheme="majorEastAsia" w:hAnsi="Arial Narrow" w:cs="Arial"/>
          <w:sz w:val="16"/>
          <w:szCs w:val="16"/>
        </w:rPr>
        <w:t>Kitzberger</w:t>
      </w:r>
      <w:proofErr w:type="spellEnd"/>
      <w:r w:rsidRPr="007C05B4">
        <w:rPr>
          <w:rFonts w:ascii="Arial Narrow" w:eastAsiaTheme="majorEastAsia" w:hAnsi="Arial Narrow" w:cs="Arial"/>
          <w:sz w:val="16"/>
          <w:szCs w:val="16"/>
        </w:rPr>
        <w:t xml:space="preserve">, T.  procesos y /o disturbios  del Parque Nacional Nahuel  </w:t>
      </w:r>
      <w:proofErr w:type="spellStart"/>
      <w:r w:rsidRPr="007C05B4">
        <w:rPr>
          <w:rFonts w:ascii="Arial Narrow" w:eastAsiaTheme="majorEastAsia" w:hAnsi="Arial Narrow" w:cs="Arial"/>
          <w:sz w:val="16"/>
          <w:szCs w:val="16"/>
        </w:rPr>
        <w:t>Huapi</w:t>
      </w:r>
      <w:proofErr w:type="spellEnd"/>
      <w:r w:rsidRPr="007C05B4">
        <w:rPr>
          <w:rFonts w:ascii="Arial Narrow" w:eastAsiaTheme="majorEastAsia" w:hAnsi="Arial Narrow" w:cs="Arial"/>
          <w:sz w:val="16"/>
          <w:szCs w:val="16"/>
        </w:rPr>
        <w:t>.</w:t>
      </w:r>
    </w:p>
  </w:footnote>
  <w:footnote w:id="7">
    <w:p w:rsidR="00311863" w:rsidRPr="007C05B4" w:rsidRDefault="00311863" w:rsidP="00311863">
      <w:pPr>
        <w:jc w:val="both"/>
        <w:rPr>
          <w:rFonts w:ascii="Arial Narrow" w:eastAsiaTheme="majorEastAsia" w:hAnsi="Arial Narrow" w:cs="Arial"/>
          <w:sz w:val="16"/>
          <w:szCs w:val="16"/>
        </w:rPr>
      </w:pPr>
      <w:r w:rsidRPr="007C05B4">
        <w:rPr>
          <w:rFonts w:ascii="Arial Narrow" w:eastAsiaTheme="majorEastAsia" w:hAnsi="Arial Narrow" w:cs="Arial"/>
          <w:sz w:val="16"/>
          <w:szCs w:val="16"/>
        </w:rPr>
        <w:footnoteRef/>
      </w:r>
      <w:r w:rsidRPr="007C05B4">
        <w:rPr>
          <w:rFonts w:ascii="Arial Narrow" w:eastAsiaTheme="majorEastAsia" w:hAnsi="Arial Narrow" w:cs="Arial"/>
          <w:sz w:val="16"/>
          <w:szCs w:val="16"/>
          <w:lang w:val="en-US"/>
        </w:rPr>
        <w:t xml:space="preserve"> W, </w:t>
      </w:r>
      <w:proofErr w:type="spellStart"/>
      <w:r w:rsidRPr="007C05B4">
        <w:rPr>
          <w:rFonts w:ascii="Arial Narrow" w:eastAsiaTheme="majorEastAsia" w:hAnsi="Arial Narrow" w:cs="Arial"/>
          <w:sz w:val="16"/>
          <w:szCs w:val="16"/>
          <w:lang w:val="en-US"/>
        </w:rPr>
        <w:t>Laurance</w:t>
      </w:r>
      <w:proofErr w:type="spellEnd"/>
      <w:r w:rsidRPr="007C05B4">
        <w:rPr>
          <w:rFonts w:ascii="Arial Narrow" w:eastAsiaTheme="majorEastAsia" w:hAnsi="Arial Narrow" w:cs="Arial"/>
          <w:sz w:val="16"/>
          <w:szCs w:val="16"/>
          <w:lang w:val="en-US"/>
        </w:rPr>
        <w:t xml:space="preserve">. </w:t>
      </w:r>
      <w:proofErr w:type="gramStart"/>
      <w:r w:rsidRPr="007C05B4">
        <w:rPr>
          <w:rFonts w:ascii="Arial Narrow" w:eastAsiaTheme="majorEastAsia" w:hAnsi="Arial Narrow" w:cs="Arial"/>
          <w:sz w:val="16"/>
          <w:szCs w:val="16"/>
          <w:lang w:val="en-US"/>
        </w:rPr>
        <w:t>1997 .</w:t>
      </w:r>
      <w:proofErr w:type="gramEnd"/>
      <w:r w:rsidRPr="007C05B4">
        <w:rPr>
          <w:rFonts w:ascii="Arial Narrow" w:eastAsiaTheme="majorEastAsia" w:hAnsi="Arial Narrow" w:cs="Arial"/>
          <w:sz w:val="16"/>
          <w:szCs w:val="16"/>
          <w:lang w:val="en-US"/>
        </w:rPr>
        <w:t xml:space="preserve"> Hyper-disturbed Parks: Edge Effects and the Ecology of Isolated Rainforest Reserves in Tropical Australia. </w:t>
      </w:r>
      <w:proofErr w:type="spellStart"/>
      <w:r w:rsidRPr="007C05B4">
        <w:rPr>
          <w:rFonts w:ascii="Arial Narrow" w:eastAsiaTheme="majorEastAsia" w:hAnsi="Arial Narrow" w:cs="Arial"/>
          <w:sz w:val="16"/>
          <w:szCs w:val="16"/>
          <w:lang w:val="en-US"/>
        </w:rPr>
        <w:t>Capitulo</w:t>
      </w:r>
      <w:proofErr w:type="spellEnd"/>
      <w:r w:rsidRPr="007C05B4">
        <w:rPr>
          <w:rFonts w:ascii="Arial Narrow" w:eastAsiaTheme="majorEastAsia" w:hAnsi="Arial Narrow" w:cs="Arial"/>
          <w:sz w:val="16"/>
          <w:szCs w:val="16"/>
          <w:lang w:val="en-US"/>
        </w:rPr>
        <w:t xml:space="preserve"> </w:t>
      </w:r>
      <w:proofErr w:type="gramStart"/>
      <w:r w:rsidRPr="007C05B4">
        <w:rPr>
          <w:rFonts w:ascii="Arial Narrow" w:eastAsiaTheme="majorEastAsia" w:hAnsi="Arial Narrow" w:cs="Arial"/>
          <w:sz w:val="16"/>
          <w:szCs w:val="16"/>
          <w:lang w:val="en-US"/>
        </w:rPr>
        <w:t>6  Tropical</w:t>
      </w:r>
      <w:proofErr w:type="gramEnd"/>
      <w:r w:rsidRPr="007C05B4">
        <w:rPr>
          <w:rFonts w:ascii="Arial Narrow" w:eastAsiaTheme="majorEastAsia" w:hAnsi="Arial Narrow" w:cs="Arial"/>
          <w:sz w:val="16"/>
          <w:szCs w:val="16"/>
          <w:lang w:val="en-US"/>
        </w:rPr>
        <w:t xml:space="preserve"> Forest Remnants: Ecology, Management, and Conservation of Fragmented Communities. </w:t>
      </w:r>
      <w:proofErr w:type="spellStart"/>
      <w:r w:rsidRPr="007C05B4">
        <w:rPr>
          <w:rFonts w:ascii="Arial Narrow" w:eastAsiaTheme="majorEastAsia" w:hAnsi="Arial Narrow" w:cs="Arial"/>
          <w:sz w:val="16"/>
          <w:szCs w:val="16"/>
        </w:rPr>
        <w:t>University</w:t>
      </w:r>
      <w:proofErr w:type="spellEnd"/>
      <w:r w:rsidRPr="007C05B4">
        <w:rPr>
          <w:rFonts w:ascii="Arial Narrow" w:eastAsiaTheme="majorEastAsia" w:hAnsi="Arial Narrow" w:cs="Arial"/>
          <w:sz w:val="16"/>
          <w:szCs w:val="16"/>
        </w:rPr>
        <w:t xml:space="preserve"> de Chicago.</w:t>
      </w:r>
    </w:p>
  </w:footnote>
  <w:footnote w:id="8">
    <w:p w:rsidR="00311863" w:rsidRPr="007C05B4" w:rsidRDefault="00311863" w:rsidP="00311863">
      <w:pPr>
        <w:jc w:val="both"/>
        <w:rPr>
          <w:rFonts w:ascii="Arial Narrow" w:eastAsiaTheme="majorEastAsia" w:hAnsi="Arial Narrow" w:cs="Arial"/>
          <w:sz w:val="16"/>
          <w:szCs w:val="16"/>
        </w:rPr>
      </w:pPr>
      <w:r w:rsidRPr="007C05B4">
        <w:rPr>
          <w:rFonts w:ascii="Arial Narrow" w:eastAsiaTheme="majorEastAsia" w:hAnsi="Arial Narrow" w:cs="Arial"/>
          <w:sz w:val="16"/>
          <w:szCs w:val="16"/>
        </w:rPr>
        <w:footnoteRef/>
      </w:r>
      <w:r w:rsidRPr="007C05B4">
        <w:rPr>
          <w:rFonts w:ascii="Arial Narrow" w:eastAsiaTheme="majorEastAsia" w:hAnsi="Arial Narrow" w:cs="Arial"/>
          <w:sz w:val="16"/>
          <w:szCs w:val="16"/>
        </w:rPr>
        <w:t xml:space="preserve"> R, Bustamante y A, </w:t>
      </w:r>
      <w:proofErr w:type="spellStart"/>
      <w:r w:rsidRPr="007C05B4">
        <w:rPr>
          <w:rFonts w:ascii="Arial Narrow" w:eastAsiaTheme="majorEastAsia" w:hAnsi="Arial Narrow" w:cs="Arial"/>
          <w:sz w:val="16"/>
          <w:szCs w:val="16"/>
        </w:rPr>
        <w:t>Grez</w:t>
      </w:r>
      <w:proofErr w:type="spellEnd"/>
      <w:r w:rsidRPr="007C05B4">
        <w:rPr>
          <w:rFonts w:ascii="Arial Narrow" w:eastAsiaTheme="majorEastAsia" w:hAnsi="Arial Narrow" w:cs="Arial"/>
          <w:sz w:val="16"/>
          <w:szCs w:val="16"/>
        </w:rPr>
        <w:t xml:space="preserve">. 1995 Consecuencias ecológicas  de la fragmentación de los bosques nativos.  Revista Ambiente y Desarrollo  </w:t>
      </w:r>
    </w:p>
    <w:p w:rsidR="00311863" w:rsidRPr="007C05B4" w:rsidRDefault="00311863" w:rsidP="00311863">
      <w:pPr>
        <w:jc w:val="both"/>
        <w:rPr>
          <w:rFonts w:ascii="Arial Narrow" w:hAnsi="Arial Narrow" w:cs="Arial"/>
          <w:sz w:val="18"/>
          <w:szCs w:val="18"/>
        </w:rPr>
      </w:pPr>
      <w:r w:rsidRPr="007C05B4">
        <w:rPr>
          <w:rFonts w:ascii="Arial Narrow" w:eastAsiaTheme="majorEastAsia" w:hAnsi="Arial Narrow" w:cs="Arial"/>
          <w:sz w:val="18"/>
          <w:szCs w:val="18"/>
        </w:rPr>
        <w:t xml:space="preserve"> </w:t>
      </w:r>
      <w:proofErr w:type="spellStart"/>
      <w:r w:rsidRPr="007C05B4">
        <w:rPr>
          <w:rFonts w:ascii="Arial Narrow" w:eastAsiaTheme="majorEastAsia" w:hAnsi="Arial Narrow" w:cs="Arial"/>
          <w:sz w:val="18"/>
          <w:szCs w:val="18"/>
        </w:rPr>
        <w:t>Vol</w:t>
      </w:r>
      <w:proofErr w:type="spellEnd"/>
      <w:r w:rsidRPr="007C05B4">
        <w:rPr>
          <w:rFonts w:ascii="Arial Narrow" w:eastAsiaTheme="majorEastAsia" w:hAnsi="Arial Narrow" w:cs="Arial"/>
          <w:sz w:val="18"/>
          <w:szCs w:val="18"/>
        </w:rPr>
        <w:t xml:space="preserve"> XI No. 2. </w:t>
      </w:r>
      <w:proofErr w:type="spellStart"/>
      <w:r w:rsidRPr="007C05B4">
        <w:rPr>
          <w:rFonts w:ascii="Arial Narrow" w:eastAsiaTheme="majorEastAsia" w:hAnsi="Arial Narrow" w:cs="Arial"/>
          <w:sz w:val="18"/>
          <w:szCs w:val="18"/>
        </w:rPr>
        <w:t>Pp</w:t>
      </w:r>
      <w:proofErr w:type="spellEnd"/>
      <w:r w:rsidRPr="007C05B4">
        <w:rPr>
          <w:rFonts w:ascii="Arial Narrow" w:eastAsiaTheme="majorEastAsia" w:hAnsi="Arial Narrow" w:cs="Arial"/>
          <w:sz w:val="18"/>
          <w:szCs w:val="18"/>
        </w:rPr>
        <w:t xml:space="preserve"> 58-63. ISSN 0716-1476.</w:t>
      </w:r>
    </w:p>
  </w:footnote>
  <w:footnote w:id="9">
    <w:p w:rsidR="00311863" w:rsidRPr="007C05B4" w:rsidRDefault="00311863" w:rsidP="00311863">
      <w:pPr>
        <w:rPr>
          <w:rFonts w:ascii="Arial Narrow" w:hAnsi="Arial Narrow"/>
          <w:sz w:val="16"/>
          <w:szCs w:val="16"/>
        </w:rPr>
      </w:pPr>
      <w:r w:rsidRPr="007C05B4">
        <w:rPr>
          <w:rFonts w:ascii="Arial Narrow" w:hAnsi="Arial Narrow"/>
          <w:sz w:val="16"/>
          <w:szCs w:val="16"/>
          <w:lang w:val="es-ES"/>
        </w:rPr>
        <w:footnoteRef/>
      </w:r>
      <w:r w:rsidRPr="007C05B4">
        <w:rPr>
          <w:rFonts w:ascii="Arial Narrow" w:hAnsi="Arial Narrow"/>
          <w:sz w:val="16"/>
          <w:szCs w:val="16"/>
        </w:rPr>
        <w:t xml:space="preserve"> </w:t>
      </w:r>
      <w:proofErr w:type="spellStart"/>
      <w:r w:rsidRPr="007C05B4">
        <w:rPr>
          <w:rFonts w:ascii="Arial Narrow" w:hAnsi="Arial Narrow"/>
          <w:sz w:val="16"/>
          <w:szCs w:val="16"/>
        </w:rPr>
        <w:t>Laurance</w:t>
      </w:r>
      <w:proofErr w:type="spellEnd"/>
      <w:r w:rsidRPr="007C05B4">
        <w:rPr>
          <w:rFonts w:ascii="Arial Narrow" w:hAnsi="Arial Narrow"/>
          <w:sz w:val="16"/>
          <w:szCs w:val="16"/>
        </w:rPr>
        <w:t xml:space="preserve">, W.F., S.G. Laurence, L.V. </w:t>
      </w:r>
      <w:proofErr w:type="spellStart"/>
      <w:r w:rsidRPr="007C05B4">
        <w:rPr>
          <w:rFonts w:ascii="Arial Narrow" w:hAnsi="Arial Narrow"/>
          <w:sz w:val="16"/>
          <w:szCs w:val="16"/>
        </w:rPr>
        <w:t>Ferrerira</w:t>
      </w:r>
      <w:proofErr w:type="spellEnd"/>
      <w:r w:rsidRPr="007C05B4">
        <w:rPr>
          <w:rFonts w:ascii="Arial Narrow" w:hAnsi="Arial Narrow"/>
          <w:sz w:val="16"/>
          <w:szCs w:val="16"/>
        </w:rPr>
        <w:t xml:space="preserve">, J.M. Rankin-de </w:t>
      </w:r>
      <w:proofErr w:type="spellStart"/>
      <w:r w:rsidRPr="007C05B4">
        <w:rPr>
          <w:rFonts w:ascii="Arial Narrow" w:hAnsi="Arial Narrow"/>
          <w:sz w:val="16"/>
          <w:szCs w:val="16"/>
        </w:rPr>
        <w:t>Merona</w:t>
      </w:r>
      <w:proofErr w:type="spellEnd"/>
      <w:r w:rsidRPr="007C05B4">
        <w:rPr>
          <w:rFonts w:ascii="Arial Narrow" w:hAnsi="Arial Narrow"/>
          <w:sz w:val="16"/>
          <w:szCs w:val="16"/>
        </w:rPr>
        <w:t xml:space="preserve">, C. </w:t>
      </w:r>
      <w:proofErr w:type="spellStart"/>
      <w:r w:rsidRPr="007C05B4">
        <w:rPr>
          <w:rFonts w:ascii="Arial Narrow" w:hAnsi="Arial Narrow"/>
          <w:sz w:val="16"/>
          <w:szCs w:val="16"/>
        </w:rPr>
        <w:t>Gascon</w:t>
      </w:r>
      <w:proofErr w:type="spellEnd"/>
      <w:r w:rsidRPr="007C05B4">
        <w:rPr>
          <w:rFonts w:ascii="Arial Narrow" w:hAnsi="Arial Narrow"/>
          <w:sz w:val="16"/>
          <w:szCs w:val="16"/>
        </w:rPr>
        <w:t xml:space="preserve"> y T.E. </w:t>
      </w:r>
      <w:proofErr w:type="spellStart"/>
      <w:r w:rsidRPr="007C05B4">
        <w:rPr>
          <w:rFonts w:ascii="Arial Narrow" w:hAnsi="Arial Narrow"/>
          <w:sz w:val="16"/>
          <w:szCs w:val="16"/>
        </w:rPr>
        <w:t>Lovejoy</w:t>
      </w:r>
      <w:proofErr w:type="spellEnd"/>
      <w:r w:rsidRPr="007C05B4">
        <w:rPr>
          <w:rFonts w:ascii="Arial Narrow" w:hAnsi="Arial Narrow"/>
          <w:sz w:val="16"/>
          <w:szCs w:val="16"/>
        </w:rPr>
        <w:t xml:space="preserve">. 1997. </w:t>
      </w:r>
      <w:proofErr w:type="spellStart"/>
      <w:r w:rsidRPr="007C05B4">
        <w:rPr>
          <w:rFonts w:ascii="Arial Narrow" w:hAnsi="Arial Narrow"/>
          <w:sz w:val="16"/>
          <w:szCs w:val="16"/>
        </w:rPr>
        <w:t>Biomass</w:t>
      </w:r>
      <w:proofErr w:type="spellEnd"/>
      <w:r w:rsidRPr="007C05B4">
        <w:rPr>
          <w:rFonts w:ascii="Arial Narrow" w:hAnsi="Arial Narrow"/>
          <w:sz w:val="16"/>
          <w:szCs w:val="16"/>
        </w:rPr>
        <w:t xml:space="preserve"> </w:t>
      </w:r>
      <w:proofErr w:type="spellStart"/>
      <w:r w:rsidRPr="007C05B4">
        <w:rPr>
          <w:rFonts w:ascii="Arial Narrow" w:hAnsi="Arial Narrow"/>
          <w:sz w:val="16"/>
          <w:szCs w:val="16"/>
        </w:rPr>
        <w:t>collapse</w:t>
      </w:r>
      <w:proofErr w:type="spellEnd"/>
      <w:r w:rsidRPr="007C05B4">
        <w:rPr>
          <w:rFonts w:ascii="Arial Narrow" w:hAnsi="Arial Narrow"/>
          <w:sz w:val="16"/>
          <w:szCs w:val="16"/>
        </w:rPr>
        <w:t xml:space="preserve"> in </w:t>
      </w:r>
      <w:proofErr w:type="spellStart"/>
      <w:r w:rsidRPr="007C05B4">
        <w:rPr>
          <w:rFonts w:ascii="Arial Narrow" w:hAnsi="Arial Narrow"/>
          <w:sz w:val="16"/>
          <w:szCs w:val="16"/>
        </w:rPr>
        <w:t>Amazonian</w:t>
      </w:r>
      <w:proofErr w:type="spellEnd"/>
      <w:r w:rsidRPr="007C05B4">
        <w:rPr>
          <w:rFonts w:ascii="Arial Narrow" w:hAnsi="Arial Narrow"/>
          <w:sz w:val="16"/>
          <w:szCs w:val="16"/>
        </w:rPr>
        <w:t xml:space="preserve"> </w:t>
      </w:r>
      <w:proofErr w:type="spellStart"/>
      <w:r w:rsidRPr="007C05B4">
        <w:rPr>
          <w:rFonts w:ascii="Arial Narrow" w:hAnsi="Arial Narrow"/>
          <w:sz w:val="16"/>
          <w:szCs w:val="16"/>
        </w:rPr>
        <w:t>forest</w:t>
      </w:r>
      <w:proofErr w:type="spellEnd"/>
      <w:r w:rsidRPr="007C05B4">
        <w:rPr>
          <w:rFonts w:ascii="Arial Narrow" w:hAnsi="Arial Narrow"/>
          <w:sz w:val="16"/>
          <w:szCs w:val="16"/>
        </w:rPr>
        <w:t xml:space="preserve"> </w:t>
      </w:r>
      <w:proofErr w:type="spellStart"/>
      <w:r w:rsidRPr="007C05B4">
        <w:rPr>
          <w:rFonts w:ascii="Arial Narrow" w:hAnsi="Arial Narrow"/>
          <w:sz w:val="16"/>
          <w:szCs w:val="16"/>
        </w:rPr>
        <w:t>fragments</w:t>
      </w:r>
      <w:proofErr w:type="spellEnd"/>
      <w:r w:rsidRPr="007C05B4">
        <w:rPr>
          <w:rFonts w:ascii="Arial Narrow" w:hAnsi="Arial Narrow"/>
          <w:sz w:val="16"/>
          <w:szCs w:val="16"/>
        </w:rPr>
        <w:t xml:space="preserve">. </w:t>
      </w:r>
      <w:proofErr w:type="spellStart"/>
      <w:r w:rsidRPr="007C05B4">
        <w:rPr>
          <w:rFonts w:ascii="Arial Narrow" w:hAnsi="Arial Narrow"/>
          <w:sz w:val="16"/>
          <w:szCs w:val="16"/>
        </w:rPr>
        <w:t>Science</w:t>
      </w:r>
      <w:proofErr w:type="spellEnd"/>
      <w:r w:rsidRPr="007C05B4">
        <w:rPr>
          <w:rFonts w:ascii="Arial Narrow" w:hAnsi="Arial Narrow"/>
          <w:sz w:val="16"/>
          <w:szCs w:val="16"/>
        </w:rPr>
        <w:t xml:space="preserve"> 278: 1117-1118</w:t>
      </w:r>
    </w:p>
  </w:footnote>
  <w:footnote w:id="10">
    <w:p w:rsidR="00311863" w:rsidRPr="007C05B4" w:rsidRDefault="00311863" w:rsidP="00311863">
      <w:pPr>
        <w:jc w:val="both"/>
        <w:rPr>
          <w:rFonts w:ascii="Arial Narrow" w:hAnsi="Arial Narrow"/>
          <w:sz w:val="16"/>
          <w:szCs w:val="16"/>
        </w:rPr>
      </w:pPr>
      <w:r w:rsidRPr="007C05B4">
        <w:rPr>
          <w:rStyle w:val="Refdenotaalpie"/>
          <w:rFonts w:ascii="Arial Narrow" w:hAnsi="Arial Narrow"/>
        </w:rPr>
        <w:footnoteRef/>
      </w:r>
      <w:r w:rsidRPr="007C05B4">
        <w:rPr>
          <w:rFonts w:ascii="Arial Narrow" w:hAnsi="Arial Narrow"/>
        </w:rPr>
        <w:t xml:space="preserve"> </w:t>
      </w:r>
      <w:r w:rsidRPr="007C05B4">
        <w:rPr>
          <w:rFonts w:ascii="Arial Narrow" w:hAnsi="Arial Narrow"/>
          <w:sz w:val="16"/>
          <w:szCs w:val="16"/>
        </w:rPr>
        <w:t>Protocolo de restauración ecológica de áreas degradadas por minería a cielo abierto de oro y platino en el chocó biogeográfico. Instituto de investigaciones ambientales del pacifico. Ministerio de ambiente y desarrollo sostenible. Convenio 182</w:t>
      </w:r>
    </w:p>
    <w:p w:rsidR="00311863" w:rsidRPr="007C05B4" w:rsidRDefault="00311863" w:rsidP="00311863">
      <w:pPr>
        <w:pStyle w:val="Textonotapie"/>
        <w:rPr>
          <w:rFonts w:ascii="Arial Narrow" w:hAnsi="Arial Narrow"/>
        </w:rPr>
      </w:pPr>
    </w:p>
  </w:footnote>
  <w:footnote w:id="11">
    <w:p w:rsidR="00311863" w:rsidRPr="00D41BAA" w:rsidRDefault="00311863" w:rsidP="00311863">
      <w:pPr>
        <w:pStyle w:val="Textonotapie"/>
        <w:rPr>
          <w:sz w:val="16"/>
          <w:szCs w:val="16"/>
          <w:lang w:val="en-US"/>
        </w:rPr>
      </w:pPr>
      <w:r w:rsidRPr="007C05B4">
        <w:rPr>
          <w:rStyle w:val="Refdenotaalpie"/>
          <w:rFonts w:ascii="Arial Narrow" w:hAnsi="Arial Narrow"/>
          <w:sz w:val="16"/>
          <w:szCs w:val="16"/>
        </w:rPr>
        <w:footnoteRef/>
      </w:r>
      <w:r w:rsidRPr="007C05B4">
        <w:rPr>
          <w:rFonts w:ascii="Arial Narrow" w:hAnsi="Arial Narrow"/>
          <w:sz w:val="16"/>
          <w:szCs w:val="16"/>
          <w:lang w:val="es-CO"/>
        </w:rPr>
        <w:t xml:space="preserve"> D</w:t>
      </w:r>
      <w:proofErr w:type="spellStart"/>
      <w:r w:rsidRPr="007C05B4">
        <w:rPr>
          <w:rFonts w:ascii="Arial Narrow" w:eastAsiaTheme="minorHAnsi" w:hAnsi="Arial Narrow"/>
          <w:sz w:val="16"/>
          <w:szCs w:val="16"/>
        </w:rPr>
        <w:t>efinición</w:t>
      </w:r>
      <w:proofErr w:type="spellEnd"/>
      <w:r w:rsidRPr="007C05B4">
        <w:rPr>
          <w:rFonts w:ascii="Arial Narrow" w:eastAsiaTheme="minorHAnsi" w:hAnsi="Arial Narrow"/>
          <w:sz w:val="16"/>
          <w:szCs w:val="16"/>
        </w:rPr>
        <w:t xml:space="preserve"> del concepto de resiliencia: “…</w:t>
      </w:r>
      <w:r w:rsidRPr="007C05B4">
        <w:rPr>
          <w:rFonts w:ascii="Arial Narrow" w:eastAsiaTheme="minorHAnsi" w:hAnsi="Arial Narrow"/>
          <w:i/>
          <w:sz w:val="16"/>
          <w:szCs w:val="16"/>
        </w:rPr>
        <w:t xml:space="preserve">la habilidad de un sistema para absorber un cambio y variación sin saltar a un estado diferente donde las variables y procesos que controlan su estructura y comportamiento cambien repentinamente. La resiliencia forestal depende en gran medida de especies clave - sombrilla y de su función como agentes para el nuevo desarrollo del bosque, conforme éste se recupera tras las perturbaciones sufridas. Debido </w:t>
      </w:r>
      <w:r w:rsidRPr="007C05B4">
        <w:rPr>
          <w:rFonts w:ascii="Arial Narrow" w:hAnsi="Arial Narrow"/>
          <w:i/>
          <w:sz w:val="16"/>
          <w:szCs w:val="16"/>
        </w:rPr>
        <w:t xml:space="preserve">a las múltiples perturbaciones </w:t>
      </w:r>
      <w:r w:rsidRPr="007C05B4">
        <w:rPr>
          <w:rFonts w:ascii="Arial Narrow" w:eastAsiaTheme="minorHAnsi" w:hAnsi="Arial Narrow"/>
          <w:i/>
          <w:sz w:val="16"/>
          <w:szCs w:val="16"/>
        </w:rPr>
        <w:t>se crea un proceso en virtud del cual el bosque continuo termina abriéndose generando fragmentación forestal” (</w:t>
      </w:r>
      <w:proofErr w:type="spellStart"/>
      <w:r w:rsidRPr="007C05B4">
        <w:rPr>
          <w:rFonts w:ascii="Arial Narrow" w:eastAsiaTheme="majorEastAsia" w:hAnsi="Arial Narrow"/>
          <w:sz w:val="16"/>
          <w:szCs w:val="16"/>
          <w:lang w:val="es-CO"/>
        </w:rPr>
        <w:t>Holling</w:t>
      </w:r>
      <w:proofErr w:type="spellEnd"/>
      <w:r w:rsidRPr="007C05B4">
        <w:rPr>
          <w:rFonts w:ascii="Arial Narrow" w:eastAsiaTheme="majorEastAsia" w:hAnsi="Arial Narrow"/>
          <w:sz w:val="16"/>
          <w:szCs w:val="16"/>
          <w:lang w:val="es-CO"/>
        </w:rPr>
        <w:t xml:space="preserve">, C.S. </w:t>
      </w:r>
      <w:proofErr w:type="spellStart"/>
      <w:r w:rsidRPr="007C05B4">
        <w:rPr>
          <w:rFonts w:ascii="Arial Narrow" w:eastAsiaTheme="majorEastAsia" w:hAnsi="Arial Narrow"/>
          <w:sz w:val="16"/>
          <w:szCs w:val="16"/>
          <w:lang w:val="es-CO"/>
        </w:rPr>
        <w:t>Resilience</w:t>
      </w:r>
      <w:proofErr w:type="spellEnd"/>
      <w:r w:rsidRPr="007C05B4">
        <w:rPr>
          <w:rFonts w:ascii="Arial Narrow" w:eastAsiaTheme="majorEastAsia" w:hAnsi="Arial Narrow"/>
          <w:sz w:val="16"/>
          <w:szCs w:val="16"/>
          <w:lang w:val="es-CO"/>
        </w:rPr>
        <w:t xml:space="preserve"> and </w:t>
      </w:r>
      <w:proofErr w:type="spellStart"/>
      <w:r w:rsidRPr="007C05B4">
        <w:rPr>
          <w:rFonts w:ascii="Arial Narrow" w:eastAsiaTheme="majorEastAsia" w:hAnsi="Arial Narrow"/>
          <w:sz w:val="16"/>
          <w:szCs w:val="16"/>
          <w:lang w:val="es-CO"/>
        </w:rPr>
        <w:t>Stability</w:t>
      </w:r>
      <w:proofErr w:type="spellEnd"/>
      <w:r w:rsidRPr="007C05B4">
        <w:rPr>
          <w:rFonts w:ascii="Arial Narrow" w:eastAsiaTheme="majorEastAsia" w:hAnsi="Arial Narrow"/>
          <w:sz w:val="16"/>
          <w:szCs w:val="16"/>
          <w:lang w:val="es-CO"/>
        </w:rPr>
        <w:t xml:space="preserve"> of </w:t>
      </w:r>
      <w:proofErr w:type="spellStart"/>
      <w:r w:rsidRPr="007C05B4">
        <w:rPr>
          <w:rFonts w:ascii="Arial Narrow" w:eastAsiaTheme="majorEastAsia" w:hAnsi="Arial Narrow"/>
          <w:sz w:val="16"/>
          <w:szCs w:val="16"/>
          <w:lang w:val="es-CO"/>
        </w:rPr>
        <w:t>Ecological</w:t>
      </w:r>
      <w:proofErr w:type="spellEnd"/>
      <w:r w:rsidRPr="007C05B4">
        <w:rPr>
          <w:rFonts w:ascii="Arial Narrow" w:eastAsiaTheme="majorEastAsia" w:hAnsi="Arial Narrow"/>
          <w:sz w:val="16"/>
          <w:szCs w:val="16"/>
          <w:lang w:val="es-CO"/>
        </w:rPr>
        <w:t xml:space="preserve"> </w:t>
      </w:r>
      <w:proofErr w:type="spellStart"/>
      <w:r w:rsidRPr="007C05B4">
        <w:rPr>
          <w:rFonts w:ascii="Arial Narrow" w:eastAsiaTheme="majorEastAsia" w:hAnsi="Arial Narrow"/>
          <w:sz w:val="16"/>
          <w:szCs w:val="16"/>
          <w:lang w:val="es-CO"/>
        </w:rPr>
        <w:t>Systems</w:t>
      </w:r>
      <w:proofErr w:type="spellEnd"/>
      <w:r w:rsidRPr="007C05B4">
        <w:rPr>
          <w:rFonts w:ascii="Arial Narrow" w:eastAsiaTheme="majorEastAsia" w:hAnsi="Arial Narrow"/>
          <w:sz w:val="16"/>
          <w:szCs w:val="16"/>
          <w:lang w:val="es-CO"/>
        </w:rPr>
        <w:t xml:space="preserve">. </w:t>
      </w:r>
      <w:r w:rsidRPr="007C05B4">
        <w:rPr>
          <w:rFonts w:ascii="Arial Narrow" w:eastAsiaTheme="majorEastAsia" w:hAnsi="Arial Narrow"/>
          <w:sz w:val="16"/>
          <w:szCs w:val="16"/>
          <w:lang w:val="en-US"/>
        </w:rPr>
        <w:t>Annual Review of Ecology and Systematics. Vol. 4: 1-23 (Volume publication date November 1973).DOI: 10.1146/04.110173.000245.)annurev.es.</w:t>
      </w:r>
    </w:p>
  </w:footnote>
  <w:footnote w:id="12">
    <w:p w:rsidR="0071146F" w:rsidRPr="00270356" w:rsidRDefault="0071146F">
      <w:pPr>
        <w:pStyle w:val="Textonotapie"/>
        <w:rPr>
          <w:lang w:val="es-CO"/>
        </w:rPr>
      </w:pPr>
      <w:r w:rsidRPr="00270356">
        <w:rPr>
          <w:rStyle w:val="Refdenotaalpie"/>
          <w:rFonts w:ascii="Arial Narrow" w:hAnsi="Arial Narrow"/>
        </w:rPr>
        <w:footnoteRef/>
      </w:r>
      <w:r w:rsidRPr="00270356">
        <w:rPr>
          <w:rFonts w:ascii="Arial Narrow" w:hAnsi="Arial Narrow"/>
        </w:rPr>
        <w:t xml:space="preserve"> </w:t>
      </w:r>
      <w:r w:rsidRPr="00270356">
        <w:rPr>
          <w:rFonts w:ascii="Arial Narrow" w:hAnsi="Arial Narrow"/>
          <w:lang w:val="es-CO"/>
        </w:rPr>
        <w:t xml:space="preserve">Entiéndase por Autoridad Ambiental regional las Corporaciones </w:t>
      </w:r>
      <w:r w:rsidR="00872E9F" w:rsidRPr="00270356">
        <w:rPr>
          <w:rFonts w:ascii="Arial Narrow" w:hAnsi="Arial Narrow"/>
          <w:lang w:val="es-CO"/>
        </w:rPr>
        <w:t>Autónomas</w:t>
      </w:r>
      <w:r w:rsidRPr="00270356">
        <w:rPr>
          <w:rFonts w:ascii="Arial Narrow" w:hAnsi="Arial Narrow"/>
          <w:lang w:val="es-CO"/>
        </w:rPr>
        <w:t xml:space="preserve"> Regionales y las de Desarrollo Sostenible</w:t>
      </w:r>
      <w:r>
        <w:rPr>
          <w:lang w:val="es-C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6F" w:rsidRDefault="002B3AA3" w:rsidP="0075473F">
    <w:pPr>
      <w:pStyle w:val="Encabezado"/>
      <w:jc w:val="right"/>
      <w:rPr>
        <w:noProof/>
        <w:lang w:eastAsia="es-CO"/>
      </w:rPr>
    </w:pPr>
    <w:r>
      <w:rPr>
        <w:noProof/>
        <w:lang w:val="es-CO" w:eastAsia="es-CO"/>
      </w:rPr>
      <w:drawing>
        <wp:anchor distT="0" distB="0" distL="114300" distR="114300" simplePos="0" relativeHeight="251658240" behindDoc="0" locked="0" layoutInCell="1" allowOverlap="1" wp14:anchorId="6D603259" wp14:editId="1E787D3D">
          <wp:simplePos x="0" y="0"/>
          <wp:positionH relativeFrom="column">
            <wp:posOffset>1666875</wp:posOffset>
          </wp:positionH>
          <wp:positionV relativeFrom="paragraph">
            <wp:posOffset>170815</wp:posOffset>
          </wp:positionV>
          <wp:extent cx="4200525" cy="600075"/>
          <wp:effectExtent l="0" t="0" r="9525" b="9525"/>
          <wp:wrapNone/>
          <wp:docPr id="1" name="Imagen 1" descr="GOBIERNO - MIN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BIERNO - MINAMBI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46F" w:rsidRDefault="0071146F" w:rsidP="0077490D">
    <w:pPr>
      <w:pStyle w:val="Encabezado"/>
      <w:jc w:val="right"/>
      <w:rPr>
        <w:rFonts w:ascii="Verdana" w:hAnsi="Verdana"/>
      </w:rPr>
    </w:pPr>
  </w:p>
  <w:p w:rsidR="0071146F" w:rsidRDefault="0071146F" w:rsidP="0077490D">
    <w:pPr>
      <w:pStyle w:val="Encabezado"/>
      <w:jc w:val="right"/>
      <w:rPr>
        <w:rFonts w:ascii="Verdana" w:hAnsi="Verdana"/>
      </w:rPr>
    </w:pPr>
  </w:p>
  <w:p w:rsidR="0071146F" w:rsidRDefault="0071146F" w:rsidP="002B3AA3">
    <w:pPr>
      <w:pStyle w:val="Encabezado"/>
      <w:rPr>
        <w:rFonts w:ascii="Verdana" w:hAnsi="Verdana"/>
      </w:rPr>
    </w:pPr>
  </w:p>
  <w:p w:rsidR="0071146F" w:rsidRPr="005E2C5E" w:rsidRDefault="0071146F" w:rsidP="00FB08F6">
    <w:pPr>
      <w:pStyle w:val="Encabezado"/>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422CA"/>
    <w:multiLevelType w:val="hybridMultilevel"/>
    <w:tmpl w:val="093CA8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99B42E4"/>
    <w:multiLevelType w:val="hybridMultilevel"/>
    <w:tmpl w:val="D19834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C1825D3"/>
    <w:multiLevelType w:val="multilevel"/>
    <w:tmpl w:val="A364D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A43BD9"/>
    <w:multiLevelType w:val="multilevel"/>
    <w:tmpl w:val="EADA2C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5DE1D58"/>
    <w:multiLevelType w:val="multilevel"/>
    <w:tmpl w:val="B9AEBC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8C70C8"/>
    <w:multiLevelType w:val="hybridMultilevel"/>
    <w:tmpl w:val="FF6691A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CCE5447"/>
    <w:multiLevelType w:val="hybridMultilevel"/>
    <w:tmpl w:val="042416B0"/>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E414D5E"/>
    <w:multiLevelType w:val="multilevel"/>
    <w:tmpl w:val="C930C018"/>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02D2876"/>
    <w:multiLevelType w:val="hybridMultilevel"/>
    <w:tmpl w:val="E96437D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38258B5"/>
    <w:multiLevelType w:val="hybridMultilevel"/>
    <w:tmpl w:val="1C8EDF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6D7438B"/>
    <w:multiLevelType w:val="hybridMultilevel"/>
    <w:tmpl w:val="5E7ADF9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C7D6A35"/>
    <w:multiLevelType w:val="hybridMultilevel"/>
    <w:tmpl w:val="A6B26502"/>
    <w:lvl w:ilvl="0" w:tplc="6180F658">
      <w:start w:val="1"/>
      <w:numFmt w:val="bullet"/>
      <w:lvlText w:val="•"/>
      <w:lvlJc w:val="left"/>
      <w:pPr>
        <w:tabs>
          <w:tab w:val="num" w:pos="720"/>
        </w:tabs>
        <w:ind w:left="720" w:hanging="360"/>
      </w:pPr>
      <w:rPr>
        <w:rFonts w:ascii="Arial" w:hAnsi="Arial" w:hint="default"/>
      </w:rPr>
    </w:lvl>
    <w:lvl w:ilvl="1" w:tplc="30766C3C" w:tentative="1">
      <w:start w:val="1"/>
      <w:numFmt w:val="bullet"/>
      <w:lvlText w:val="•"/>
      <w:lvlJc w:val="left"/>
      <w:pPr>
        <w:tabs>
          <w:tab w:val="num" w:pos="1440"/>
        </w:tabs>
        <w:ind w:left="1440" w:hanging="360"/>
      </w:pPr>
      <w:rPr>
        <w:rFonts w:ascii="Arial" w:hAnsi="Arial" w:hint="default"/>
      </w:rPr>
    </w:lvl>
    <w:lvl w:ilvl="2" w:tplc="D040A4CA" w:tentative="1">
      <w:start w:val="1"/>
      <w:numFmt w:val="bullet"/>
      <w:lvlText w:val="•"/>
      <w:lvlJc w:val="left"/>
      <w:pPr>
        <w:tabs>
          <w:tab w:val="num" w:pos="2160"/>
        </w:tabs>
        <w:ind w:left="2160" w:hanging="360"/>
      </w:pPr>
      <w:rPr>
        <w:rFonts w:ascii="Arial" w:hAnsi="Arial" w:hint="default"/>
      </w:rPr>
    </w:lvl>
    <w:lvl w:ilvl="3" w:tplc="7D3A94AC" w:tentative="1">
      <w:start w:val="1"/>
      <w:numFmt w:val="bullet"/>
      <w:lvlText w:val="•"/>
      <w:lvlJc w:val="left"/>
      <w:pPr>
        <w:tabs>
          <w:tab w:val="num" w:pos="2880"/>
        </w:tabs>
        <w:ind w:left="2880" w:hanging="360"/>
      </w:pPr>
      <w:rPr>
        <w:rFonts w:ascii="Arial" w:hAnsi="Arial" w:hint="default"/>
      </w:rPr>
    </w:lvl>
    <w:lvl w:ilvl="4" w:tplc="04EAE534" w:tentative="1">
      <w:start w:val="1"/>
      <w:numFmt w:val="bullet"/>
      <w:lvlText w:val="•"/>
      <w:lvlJc w:val="left"/>
      <w:pPr>
        <w:tabs>
          <w:tab w:val="num" w:pos="3600"/>
        </w:tabs>
        <w:ind w:left="3600" w:hanging="360"/>
      </w:pPr>
      <w:rPr>
        <w:rFonts w:ascii="Arial" w:hAnsi="Arial" w:hint="default"/>
      </w:rPr>
    </w:lvl>
    <w:lvl w:ilvl="5" w:tplc="B726E5AC" w:tentative="1">
      <w:start w:val="1"/>
      <w:numFmt w:val="bullet"/>
      <w:lvlText w:val="•"/>
      <w:lvlJc w:val="left"/>
      <w:pPr>
        <w:tabs>
          <w:tab w:val="num" w:pos="4320"/>
        </w:tabs>
        <w:ind w:left="4320" w:hanging="360"/>
      </w:pPr>
      <w:rPr>
        <w:rFonts w:ascii="Arial" w:hAnsi="Arial" w:hint="default"/>
      </w:rPr>
    </w:lvl>
    <w:lvl w:ilvl="6" w:tplc="8F2E441C" w:tentative="1">
      <w:start w:val="1"/>
      <w:numFmt w:val="bullet"/>
      <w:lvlText w:val="•"/>
      <w:lvlJc w:val="left"/>
      <w:pPr>
        <w:tabs>
          <w:tab w:val="num" w:pos="5040"/>
        </w:tabs>
        <w:ind w:left="5040" w:hanging="360"/>
      </w:pPr>
      <w:rPr>
        <w:rFonts w:ascii="Arial" w:hAnsi="Arial" w:hint="default"/>
      </w:rPr>
    </w:lvl>
    <w:lvl w:ilvl="7" w:tplc="600C2918" w:tentative="1">
      <w:start w:val="1"/>
      <w:numFmt w:val="bullet"/>
      <w:lvlText w:val="•"/>
      <w:lvlJc w:val="left"/>
      <w:pPr>
        <w:tabs>
          <w:tab w:val="num" w:pos="5760"/>
        </w:tabs>
        <w:ind w:left="5760" w:hanging="360"/>
      </w:pPr>
      <w:rPr>
        <w:rFonts w:ascii="Arial" w:hAnsi="Arial" w:hint="default"/>
      </w:rPr>
    </w:lvl>
    <w:lvl w:ilvl="8" w:tplc="0B3E8CDC" w:tentative="1">
      <w:start w:val="1"/>
      <w:numFmt w:val="bullet"/>
      <w:lvlText w:val="•"/>
      <w:lvlJc w:val="left"/>
      <w:pPr>
        <w:tabs>
          <w:tab w:val="num" w:pos="6480"/>
        </w:tabs>
        <w:ind w:left="6480" w:hanging="360"/>
      </w:pPr>
      <w:rPr>
        <w:rFonts w:ascii="Arial" w:hAnsi="Arial" w:hint="default"/>
      </w:rPr>
    </w:lvl>
  </w:abstractNum>
  <w:abstractNum w:abstractNumId="12">
    <w:nsid w:val="33AE47F8"/>
    <w:multiLevelType w:val="hybridMultilevel"/>
    <w:tmpl w:val="910E5DF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92A3EC7"/>
    <w:multiLevelType w:val="hybridMultilevel"/>
    <w:tmpl w:val="19787B16"/>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DFB7849"/>
    <w:multiLevelType w:val="hybridMultilevel"/>
    <w:tmpl w:val="146AAC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2FB52CE"/>
    <w:multiLevelType w:val="hybridMultilevel"/>
    <w:tmpl w:val="04A6D3A4"/>
    <w:lvl w:ilvl="0" w:tplc="FFE2366A">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A124EBF"/>
    <w:multiLevelType w:val="hybridMultilevel"/>
    <w:tmpl w:val="4172083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CA77175"/>
    <w:multiLevelType w:val="hybridMultilevel"/>
    <w:tmpl w:val="275C691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2490D8F"/>
    <w:multiLevelType w:val="hybridMultilevel"/>
    <w:tmpl w:val="A3EC27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EAC27FC"/>
    <w:multiLevelType w:val="hybridMultilevel"/>
    <w:tmpl w:val="321CB180"/>
    <w:lvl w:ilvl="0" w:tplc="240A0017">
      <w:start w:val="1"/>
      <w:numFmt w:val="lowerLetter"/>
      <w:lvlText w:val="%1)"/>
      <w:lvlJc w:val="left"/>
      <w:pPr>
        <w:ind w:left="720" w:hanging="360"/>
      </w:pPr>
    </w:lvl>
    <w:lvl w:ilvl="1" w:tplc="EB941994">
      <w:numFmt w:val="bullet"/>
      <w:lvlText w:val="•"/>
      <w:lvlJc w:val="left"/>
      <w:pPr>
        <w:ind w:left="1770" w:hanging="690"/>
      </w:pPr>
      <w:rPr>
        <w:rFonts w:ascii="Arial Narrow" w:eastAsia="Calibri" w:hAnsi="Arial Narrow"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64F5667B"/>
    <w:multiLevelType w:val="multilevel"/>
    <w:tmpl w:val="C930C018"/>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9595989"/>
    <w:multiLevelType w:val="hybridMultilevel"/>
    <w:tmpl w:val="144A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BF96F12"/>
    <w:multiLevelType w:val="hybridMultilevel"/>
    <w:tmpl w:val="C4C653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E8379B6"/>
    <w:multiLevelType w:val="hybridMultilevel"/>
    <w:tmpl w:val="DD7C83C4"/>
    <w:lvl w:ilvl="0" w:tplc="9EC42F7A">
      <w:numFmt w:val="bullet"/>
      <w:lvlText w:val="-"/>
      <w:lvlJc w:val="left"/>
      <w:pPr>
        <w:ind w:left="720" w:hanging="360"/>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EC97444"/>
    <w:multiLevelType w:val="hybridMultilevel"/>
    <w:tmpl w:val="368ACD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44E283B"/>
    <w:multiLevelType w:val="hybridMultilevel"/>
    <w:tmpl w:val="324277EC"/>
    <w:lvl w:ilvl="0" w:tplc="1C927F4C">
      <w:start w:val="1"/>
      <w:numFmt w:val="bullet"/>
      <w:lvlText w:val="•"/>
      <w:lvlJc w:val="left"/>
      <w:pPr>
        <w:tabs>
          <w:tab w:val="num" w:pos="720"/>
        </w:tabs>
        <w:ind w:left="720" w:hanging="360"/>
      </w:pPr>
      <w:rPr>
        <w:rFonts w:ascii="Times New Roman" w:hAnsi="Times New Roman" w:hint="default"/>
      </w:rPr>
    </w:lvl>
    <w:lvl w:ilvl="1" w:tplc="24C034F0" w:tentative="1">
      <w:start w:val="1"/>
      <w:numFmt w:val="bullet"/>
      <w:lvlText w:val="•"/>
      <w:lvlJc w:val="left"/>
      <w:pPr>
        <w:tabs>
          <w:tab w:val="num" w:pos="1440"/>
        </w:tabs>
        <w:ind w:left="1440" w:hanging="360"/>
      </w:pPr>
      <w:rPr>
        <w:rFonts w:ascii="Times New Roman" w:hAnsi="Times New Roman" w:hint="default"/>
      </w:rPr>
    </w:lvl>
    <w:lvl w:ilvl="2" w:tplc="6D421C1C" w:tentative="1">
      <w:start w:val="1"/>
      <w:numFmt w:val="bullet"/>
      <w:lvlText w:val="•"/>
      <w:lvlJc w:val="left"/>
      <w:pPr>
        <w:tabs>
          <w:tab w:val="num" w:pos="2160"/>
        </w:tabs>
        <w:ind w:left="2160" w:hanging="360"/>
      </w:pPr>
      <w:rPr>
        <w:rFonts w:ascii="Times New Roman" w:hAnsi="Times New Roman" w:hint="default"/>
      </w:rPr>
    </w:lvl>
    <w:lvl w:ilvl="3" w:tplc="E75E9DDC" w:tentative="1">
      <w:start w:val="1"/>
      <w:numFmt w:val="bullet"/>
      <w:lvlText w:val="•"/>
      <w:lvlJc w:val="left"/>
      <w:pPr>
        <w:tabs>
          <w:tab w:val="num" w:pos="2880"/>
        </w:tabs>
        <w:ind w:left="2880" w:hanging="360"/>
      </w:pPr>
      <w:rPr>
        <w:rFonts w:ascii="Times New Roman" w:hAnsi="Times New Roman" w:hint="default"/>
      </w:rPr>
    </w:lvl>
    <w:lvl w:ilvl="4" w:tplc="66763BC0" w:tentative="1">
      <w:start w:val="1"/>
      <w:numFmt w:val="bullet"/>
      <w:lvlText w:val="•"/>
      <w:lvlJc w:val="left"/>
      <w:pPr>
        <w:tabs>
          <w:tab w:val="num" w:pos="3600"/>
        </w:tabs>
        <w:ind w:left="3600" w:hanging="360"/>
      </w:pPr>
      <w:rPr>
        <w:rFonts w:ascii="Times New Roman" w:hAnsi="Times New Roman" w:hint="default"/>
      </w:rPr>
    </w:lvl>
    <w:lvl w:ilvl="5" w:tplc="C95C639A" w:tentative="1">
      <w:start w:val="1"/>
      <w:numFmt w:val="bullet"/>
      <w:lvlText w:val="•"/>
      <w:lvlJc w:val="left"/>
      <w:pPr>
        <w:tabs>
          <w:tab w:val="num" w:pos="4320"/>
        </w:tabs>
        <w:ind w:left="4320" w:hanging="360"/>
      </w:pPr>
      <w:rPr>
        <w:rFonts w:ascii="Times New Roman" w:hAnsi="Times New Roman" w:hint="default"/>
      </w:rPr>
    </w:lvl>
    <w:lvl w:ilvl="6" w:tplc="A9465462" w:tentative="1">
      <w:start w:val="1"/>
      <w:numFmt w:val="bullet"/>
      <w:lvlText w:val="•"/>
      <w:lvlJc w:val="left"/>
      <w:pPr>
        <w:tabs>
          <w:tab w:val="num" w:pos="5040"/>
        </w:tabs>
        <w:ind w:left="5040" w:hanging="360"/>
      </w:pPr>
      <w:rPr>
        <w:rFonts w:ascii="Times New Roman" w:hAnsi="Times New Roman" w:hint="default"/>
      </w:rPr>
    </w:lvl>
    <w:lvl w:ilvl="7" w:tplc="A43ACD58" w:tentative="1">
      <w:start w:val="1"/>
      <w:numFmt w:val="bullet"/>
      <w:lvlText w:val="•"/>
      <w:lvlJc w:val="left"/>
      <w:pPr>
        <w:tabs>
          <w:tab w:val="num" w:pos="5760"/>
        </w:tabs>
        <w:ind w:left="5760" w:hanging="360"/>
      </w:pPr>
      <w:rPr>
        <w:rFonts w:ascii="Times New Roman" w:hAnsi="Times New Roman" w:hint="default"/>
      </w:rPr>
    </w:lvl>
    <w:lvl w:ilvl="8" w:tplc="322E9928"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6B13CEE"/>
    <w:multiLevelType w:val="multilevel"/>
    <w:tmpl w:val="71D0BB6A"/>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19"/>
  </w:num>
  <w:num w:numId="3">
    <w:abstractNumId w:val="3"/>
  </w:num>
  <w:num w:numId="4">
    <w:abstractNumId w:val="26"/>
  </w:num>
  <w:num w:numId="5">
    <w:abstractNumId w:val="4"/>
  </w:num>
  <w:num w:numId="6">
    <w:abstractNumId w:val="21"/>
  </w:num>
  <w:num w:numId="7">
    <w:abstractNumId w:val="14"/>
  </w:num>
  <w:num w:numId="8">
    <w:abstractNumId w:val="24"/>
  </w:num>
  <w:num w:numId="9">
    <w:abstractNumId w:val="9"/>
  </w:num>
  <w:num w:numId="10">
    <w:abstractNumId w:val="7"/>
  </w:num>
  <w:num w:numId="11">
    <w:abstractNumId w:val="20"/>
  </w:num>
  <w:num w:numId="12">
    <w:abstractNumId w:val="2"/>
  </w:num>
  <w:num w:numId="13">
    <w:abstractNumId w:val="10"/>
  </w:num>
  <w:num w:numId="14">
    <w:abstractNumId w:val="12"/>
  </w:num>
  <w:num w:numId="15">
    <w:abstractNumId w:val="16"/>
  </w:num>
  <w:num w:numId="16">
    <w:abstractNumId w:val="25"/>
  </w:num>
  <w:num w:numId="17">
    <w:abstractNumId w:val="1"/>
  </w:num>
  <w:num w:numId="18">
    <w:abstractNumId w:val="23"/>
  </w:num>
  <w:num w:numId="19">
    <w:abstractNumId w:val="15"/>
  </w:num>
  <w:num w:numId="20">
    <w:abstractNumId w:val="13"/>
  </w:num>
  <w:num w:numId="21">
    <w:abstractNumId w:val="6"/>
  </w:num>
  <w:num w:numId="22">
    <w:abstractNumId w:val="0"/>
  </w:num>
  <w:num w:numId="23">
    <w:abstractNumId w:val="11"/>
  </w:num>
  <w:num w:numId="24">
    <w:abstractNumId w:val="18"/>
  </w:num>
  <w:num w:numId="25">
    <w:abstractNumId w:val="8"/>
  </w:num>
  <w:num w:numId="26">
    <w:abstractNumId w:val="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08"/>
    <w:rsid w:val="00024591"/>
    <w:rsid w:val="00026EB9"/>
    <w:rsid w:val="00036F53"/>
    <w:rsid w:val="00045EDA"/>
    <w:rsid w:val="00046807"/>
    <w:rsid w:val="000526DA"/>
    <w:rsid w:val="000575C7"/>
    <w:rsid w:val="000651AB"/>
    <w:rsid w:val="000A4114"/>
    <w:rsid w:val="000B4604"/>
    <w:rsid w:val="000B5C5C"/>
    <w:rsid w:val="000C59E8"/>
    <w:rsid w:val="000D5BE5"/>
    <w:rsid w:val="000E228C"/>
    <w:rsid w:val="000E3B61"/>
    <w:rsid w:val="000E7712"/>
    <w:rsid w:val="00103515"/>
    <w:rsid w:val="00114F0D"/>
    <w:rsid w:val="00116AFB"/>
    <w:rsid w:val="001320AB"/>
    <w:rsid w:val="001324CC"/>
    <w:rsid w:val="00137C0C"/>
    <w:rsid w:val="00140DAD"/>
    <w:rsid w:val="00140F50"/>
    <w:rsid w:val="0014363F"/>
    <w:rsid w:val="0014708F"/>
    <w:rsid w:val="00152320"/>
    <w:rsid w:val="001572EC"/>
    <w:rsid w:val="00167244"/>
    <w:rsid w:val="00167EB8"/>
    <w:rsid w:val="0017501A"/>
    <w:rsid w:val="001826F8"/>
    <w:rsid w:val="00184173"/>
    <w:rsid w:val="00190CA4"/>
    <w:rsid w:val="00192ECE"/>
    <w:rsid w:val="001A7DDB"/>
    <w:rsid w:val="001B09D2"/>
    <w:rsid w:val="001B1174"/>
    <w:rsid w:val="001C5C55"/>
    <w:rsid w:val="001C6113"/>
    <w:rsid w:val="001D0632"/>
    <w:rsid w:val="001E037A"/>
    <w:rsid w:val="001E0FAD"/>
    <w:rsid w:val="001E18F0"/>
    <w:rsid w:val="001E45F9"/>
    <w:rsid w:val="001E5A95"/>
    <w:rsid w:val="001E6A54"/>
    <w:rsid w:val="001F17CF"/>
    <w:rsid w:val="001F3E47"/>
    <w:rsid w:val="00207479"/>
    <w:rsid w:val="00207C10"/>
    <w:rsid w:val="002209BB"/>
    <w:rsid w:val="00231BDB"/>
    <w:rsid w:val="00231E48"/>
    <w:rsid w:val="00232303"/>
    <w:rsid w:val="002328DA"/>
    <w:rsid w:val="0024195B"/>
    <w:rsid w:val="00242B80"/>
    <w:rsid w:val="0025056C"/>
    <w:rsid w:val="00253BC7"/>
    <w:rsid w:val="00266F73"/>
    <w:rsid w:val="00270356"/>
    <w:rsid w:val="00271B3D"/>
    <w:rsid w:val="00271FCE"/>
    <w:rsid w:val="00284CAB"/>
    <w:rsid w:val="002A0406"/>
    <w:rsid w:val="002B0BF7"/>
    <w:rsid w:val="002B1ACE"/>
    <w:rsid w:val="002B2CE5"/>
    <w:rsid w:val="002B3AA3"/>
    <w:rsid w:val="002B5581"/>
    <w:rsid w:val="002B56D5"/>
    <w:rsid w:val="002B7F10"/>
    <w:rsid w:val="002C695B"/>
    <w:rsid w:val="002D4EB1"/>
    <w:rsid w:val="002E24AE"/>
    <w:rsid w:val="002E6FC7"/>
    <w:rsid w:val="002F0B91"/>
    <w:rsid w:val="002F1076"/>
    <w:rsid w:val="003017B7"/>
    <w:rsid w:val="003030FE"/>
    <w:rsid w:val="00307ED8"/>
    <w:rsid w:val="00311863"/>
    <w:rsid w:val="003162B3"/>
    <w:rsid w:val="00320063"/>
    <w:rsid w:val="003217F9"/>
    <w:rsid w:val="00334525"/>
    <w:rsid w:val="0033613B"/>
    <w:rsid w:val="0034660E"/>
    <w:rsid w:val="003525CC"/>
    <w:rsid w:val="00354BD8"/>
    <w:rsid w:val="003556AF"/>
    <w:rsid w:val="00370FD8"/>
    <w:rsid w:val="00375CED"/>
    <w:rsid w:val="00391479"/>
    <w:rsid w:val="003969D0"/>
    <w:rsid w:val="003A7986"/>
    <w:rsid w:val="003A7E9A"/>
    <w:rsid w:val="003B2864"/>
    <w:rsid w:val="003B4A8D"/>
    <w:rsid w:val="003C4239"/>
    <w:rsid w:val="003C502D"/>
    <w:rsid w:val="003C67D6"/>
    <w:rsid w:val="003D6EF1"/>
    <w:rsid w:val="003F5145"/>
    <w:rsid w:val="00407E89"/>
    <w:rsid w:val="00412346"/>
    <w:rsid w:val="00426580"/>
    <w:rsid w:val="00427221"/>
    <w:rsid w:val="004321F7"/>
    <w:rsid w:val="004336B2"/>
    <w:rsid w:val="00433BB1"/>
    <w:rsid w:val="00441F82"/>
    <w:rsid w:val="00454D30"/>
    <w:rsid w:val="00463EFA"/>
    <w:rsid w:val="0046542A"/>
    <w:rsid w:val="00471925"/>
    <w:rsid w:val="004806DA"/>
    <w:rsid w:val="004975F4"/>
    <w:rsid w:val="004A6287"/>
    <w:rsid w:val="004B6D91"/>
    <w:rsid w:val="004B7C77"/>
    <w:rsid w:val="004C524E"/>
    <w:rsid w:val="004E106F"/>
    <w:rsid w:val="004E3E58"/>
    <w:rsid w:val="004F0077"/>
    <w:rsid w:val="004F3F21"/>
    <w:rsid w:val="004F430A"/>
    <w:rsid w:val="004F55C4"/>
    <w:rsid w:val="005002F0"/>
    <w:rsid w:val="00506B22"/>
    <w:rsid w:val="005112C3"/>
    <w:rsid w:val="00520672"/>
    <w:rsid w:val="0052185D"/>
    <w:rsid w:val="005245DC"/>
    <w:rsid w:val="0052496C"/>
    <w:rsid w:val="0053200E"/>
    <w:rsid w:val="00532B3C"/>
    <w:rsid w:val="005528C8"/>
    <w:rsid w:val="00562DDA"/>
    <w:rsid w:val="005765B3"/>
    <w:rsid w:val="00577944"/>
    <w:rsid w:val="0059045D"/>
    <w:rsid w:val="005B1E88"/>
    <w:rsid w:val="005B3A6A"/>
    <w:rsid w:val="005B41E5"/>
    <w:rsid w:val="005D4DF3"/>
    <w:rsid w:val="005D7A76"/>
    <w:rsid w:val="005E2C5E"/>
    <w:rsid w:val="005E3714"/>
    <w:rsid w:val="00603EBA"/>
    <w:rsid w:val="00611F8E"/>
    <w:rsid w:val="006222A2"/>
    <w:rsid w:val="006255A0"/>
    <w:rsid w:val="00630B87"/>
    <w:rsid w:val="006326E3"/>
    <w:rsid w:val="0063301C"/>
    <w:rsid w:val="006470D1"/>
    <w:rsid w:val="006522B3"/>
    <w:rsid w:val="00652C3E"/>
    <w:rsid w:val="00666979"/>
    <w:rsid w:val="00667717"/>
    <w:rsid w:val="006A664B"/>
    <w:rsid w:val="006A75AE"/>
    <w:rsid w:val="006C105E"/>
    <w:rsid w:val="006D1B6C"/>
    <w:rsid w:val="006E0685"/>
    <w:rsid w:val="006E51F6"/>
    <w:rsid w:val="006F28D5"/>
    <w:rsid w:val="006F37F3"/>
    <w:rsid w:val="007069A8"/>
    <w:rsid w:val="0071146F"/>
    <w:rsid w:val="00712370"/>
    <w:rsid w:val="00717C62"/>
    <w:rsid w:val="00721462"/>
    <w:rsid w:val="00736EDE"/>
    <w:rsid w:val="00747C30"/>
    <w:rsid w:val="0075473F"/>
    <w:rsid w:val="00760DDF"/>
    <w:rsid w:val="00771FFF"/>
    <w:rsid w:val="0077490D"/>
    <w:rsid w:val="0079716B"/>
    <w:rsid w:val="007A413B"/>
    <w:rsid w:val="007B7625"/>
    <w:rsid w:val="007C05B4"/>
    <w:rsid w:val="007C26FC"/>
    <w:rsid w:val="007D0647"/>
    <w:rsid w:val="007D27D7"/>
    <w:rsid w:val="007E2919"/>
    <w:rsid w:val="00807AEA"/>
    <w:rsid w:val="008127CF"/>
    <w:rsid w:val="00817ED1"/>
    <w:rsid w:val="008237B4"/>
    <w:rsid w:val="00830604"/>
    <w:rsid w:val="008315B4"/>
    <w:rsid w:val="00850471"/>
    <w:rsid w:val="00854ED8"/>
    <w:rsid w:val="00856B53"/>
    <w:rsid w:val="00867611"/>
    <w:rsid w:val="008718D3"/>
    <w:rsid w:val="0087192B"/>
    <w:rsid w:val="0087284F"/>
    <w:rsid w:val="00872E9F"/>
    <w:rsid w:val="00877243"/>
    <w:rsid w:val="00886742"/>
    <w:rsid w:val="00887F97"/>
    <w:rsid w:val="0089136D"/>
    <w:rsid w:val="008931B1"/>
    <w:rsid w:val="008938B8"/>
    <w:rsid w:val="00896601"/>
    <w:rsid w:val="008A36C6"/>
    <w:rsid w:val="008A7E50"/>
    <w:rsid w:val="008B05BD"/>
    <w:rsid w:val="008B4CBF"/>
    <w:rsid w:val="008C5BE0"/>
    <w:rsid w:val="008D105E"/>
    <w:rsid w:val="008D270B"/>
    <w:rsid w:val="008E200E"/>
    <w:rsid w:val="008E73BE"/>
    <w:rsid w:val="008F5D78"/>
    <w:rsid w:val="008F7520"/>
    <w:rsid w:val="008F75A7"/>
    <w:rsid w:val="00906DA7"/>
    <w:rsid w:val="00911827"/>
    <w:rsid w:val="009267A9"/>
    <w:rsid w:val="00932691"/>
    <w:rsid w:val="00941DF4"/>
    <w:rsid w:val="00951C5D"/>
    <w:rsid w:val="0095668C"/>
    <w:rsid w:val="00963CC0"/>
    <w:rsid w:val="0096457A"/>
    <w:rsid w:val="0097541B"/>
    <w:rsid w:val="00975A36"/>
    <w:rsid w:val="00994774"/>
    <w:rsid w:val="0099735D"/>
    <w:rsid w:val="009A3D79"/>
    <w:rsid w:val="009A6B76"/>
    <w:rsid w:val="009D5B2F"/>
    <w:rsid w:val="009D7EA0"/>
    <w:rsid w:val="009E6734"/>
    <w:rsid w:val="009F6248"/>
    <w:rsid w:val="00A01F79"/>
    <w:rsid w:val="00A06464"/>
    <w:rsid w:val="00A1016A"/>
    <w:rsid w:val="00A119DE"/>
    <w:rsid w:val="00A1580A"/>
    <w:rsid w:val="00A21AA7"/>
    <w:rsid w:val="00A2434B"/>
    <w:rsid w:val="00A24631"/>
    <w:rsid w:val="00A26D2F"/>
    <w:rsid w:val="00A42E39"/>
    <w:rsid w:val="00A55202"/>
    <w:rsid w:val="00A571C5"/>
    <w:rsid w:val="00A6330A"/>
    <w:rsid w:val="00A65747"/>
    <w:rsid w:val="00A754CA"/>
    <w:rsid w:val="00A827EE"/>
    <w:rsid w:val="00A83F5B"/>
    <w:rsid w:val="00A86E61"/>
    <w:rsid w:val="00AA2D63"/>
    <w:rsid w:val="00AA58FB"/>
    <w:rsid w:val="00AB0FBA"/>
    <w:rsid w:val="00AB762A"/>
    <w:rsid w:val="00AC720D"/>
    <w:rsid w:val="00AE01A2"/>
    <w:rsid w:val="00AE4B52"/>
    <w:rsid w:val="00B040C2"/>
    <w:rsid w:val="00B073C4"/>
    <w:rsid w:val="00B14BCF"/>
    <w:rsid w:val="00B156AA"/>
    <w:rsid w:val="00B17F8A"/>
    <w:rsid w:val="00B27D71"/>
    <w:rsid w:val="00B3164F"/>
    <w:rsid w:val="00B34EA6"/>
    <w:rsid w:val="00B506FB"/>
    <w:rsid w:val="00B824FD"/>
    <w:rsid w:val="00B82549"/>
    <w:rsid w:val="00B848DC"/>
    <w:rsid w:val="00B92224"/>
    <w:rsid w:val="00BB117E"/>
    <w:rsid w:val="00BD74BA"/>
    <w:rsid w:val="00BF11CF"/>
    <w:rsid w:val="00BF18CC"/>
    <w:rsid w:val="00C11F2B"/>
    <w:rsid w:val="00C3178B"/>
    <w:rsid w:val="00C42183"/>
    <w:rsid w:val="00C50061"/>
    <w:rsid w:val="00C54639"/>
    <w:rsid w:val="00C5570C"/>
    <w:rsid w:val="00C578FC"/>
    <w:rsid w:val="00C6615D"/>
    <w:rsid w:val="00C662BE"/>
    <w:rsid w:val="00C7046F"/>
    <w:rsid w:val="00C76F05"/>
    <w:rsid w:val="00C83F61"/>
    <w:rsid w:val="00C9087A"/>
    <w:rsid w:val="00C90B74"/>
    <w:rsid w:val="00CA116E"/>
    <w:rsid w:val="00CA762D"/>
    <w:rsid w:val="00CB2AE0"/>
    <w:rsid w:val="00CD459E"/>
    <w:rsid w:val="00CD6908"/>
    <w:rsid w:val="00CE0B72"/>
    <w:rsid w:val="00CE14B9"/>
    <w:rsid w:val="00CF05C9"/>
    <w:rsid w:val="00CF206C"/>
    <w:rsid w:val="00D0385E"/>
    <w:rsid w:val="00D16012"/>
    <w:rsid w:val="00D21ACD"/>
    <w:rsid w:val="00D2587D"/>
    <w:rsid w:val="00D26405"/>
    <w:rsid w:val="00D27B3B"/>
    <w:rsid w:val="00D37CD7"/>
    <w:rsid w:val="00D40697"/>
    <w:rsid w:val="00D43F2D"/>
    <w:rsid w:val="00D460AB"/>
    <w:rsid w:val="00D53282"/>
    <w:rsid w:val="00D53EDC"/>
    <w:rsid w:val="00D54E73"/>
    <w:rsid w:val="00D56F65"/>
    <w:rsid w:val="00D71DB8"/>
    <w:rsid w:val="00D732B4"/>
    <w:rsid w:val="00D74CE9"/>
    <w:rsid w:val="00D83F0B"/>
    <w:rsid w:val="00D84133"/>
    <w:rsid w:val="00D95E5D"/>
    <w:rsid w:val="00DA1007"/>
    <w:rsid w:val="00DB5D53"/>
    <w:rsid w:val="00DB5DBD"/>
    <w:rsid w:val="00DB77D3"/>
    <w:rsid w:val="00DC004B"/>
    <w:rsid w:val="00DC4A8D"/>
    <w:rsid w:val="00DC5D36"/>
    <w:rsid w:val="00DD7054"/>
    <w:rsid w:val="00DE46FB"/>
    <w:rsid w:val="00DE55C2"/>
    <w:rsid w:val="00DE79DE"/>
    <w:rsid w:val="00E15761"/>
    <w:rsid w:val="00E15A11"/>
    <w:rsid w:val="00E17997"/>
    <w:rsid w:val="00E20754"/>
    <w:rsid w:val="00E30D28"/>
    <w:rsid w:val="00E33C0F"/>
    <w:rsid w:val="00E4301D"/>
    <w:rsid w:val="00E457C8"/>
    <w:rsid w:val="00E5022D"/>
    <w:rsid w:val="00E51259"/>
    <w:rsid w:val="00E53A58"/>
    <w:rsid w:val="00E62EC8"/>
    <w:rsid w:val="00E65DF4"/>
    <w:rsid w:val="00E807F8"/>
    <w:rsid w:val="00E82B2D"/>
    <w:rsid w:val="00EA6284"/>
    <w:rsid w:val="00EB0BED"/>
    <w:rsid w:val="00EB5FD2"/>
    <w:rsid w:val="00EF43DA"/>
    <w:rsid w:val="00F05C91"/>
    <w:rsid w:val="00F12C9D"/>
    <w:rsid w:val="00F15BFE"/>
    <w:rsid w:val="00F17F33"/>
    <w:rsid w:val="00F216C8"/>
    <w:rsid w:val="00F25BA4"/>
    <w:rsid w:val="00F31F4D"/>
    <w:rsid w:val="00F4424B"/>
    <w:rsid w:val="00F46FFF"/>
    <w:rsid w:val="00F502F2"/>
    <w:rsid w:val="00F57C96"/>
    <w:rsid w:val="00F70BA8"/>
    <w:rsid w:val="00F772DA"/>
    <w:rsid w:val="00F91072"/>
    <w:rsid w:val="00FA6B6C"/>
    <w:rsid w:val="00FA6F56"/>
    <w:rsid w:val="00FB08F6"/>
    <w:rsid w:val="00FB2B65"/>
    <w:rsid w:val="00FB418A"/>
    <w:rsid w:val="00FB7323"/>
    <w:rsid w:val="00FC0F24"/>
    <w:rsid w:val="00FC6232"/>
    <w:rsid w:val="00FE5E12"/>
    <w:rsid w:val="00FE6B00"/>
    <w:rsid w:val="00FF53F3"/>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8033C2-40AE-47B9-97CE-522A1BB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580"/>
    <w:pPr>
      <w:spacing w:after="0" w:line="240" w:lineRule="auto"/>
    </w:pPr>
    <w:rPr>
      <w:rFonts w:eastAsiaTheme="minorEastAsia"/>
      <w:sz w:val="24"/>
      <w:szCs w:val="24"/>
      <w:lang w:val="es-ES_tradnl" w:eastAsia="es-ES"/>
    </w:rPr>
  </w:style>
  <w:style w:type="paragraph" w:styleId="Ttulo2">
    <w:name w:val="heading 2"/>
    <w:basedOn w:val="Normal"/>
    <w:next w:val="Normal"/>
    <w:link w:val="Ttulo2Car"/>
    <w:uiPriority w:val="9"/>
    <w:unhideWhenUsed/>
    <w:qFormat/>
    <w:rsid w:val="009A6B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712370"/>
    <w:pPr>
      <w:spacing w:before="100" w:beforeAutospacing="1" w:after="100" w:afterAutospacing="1"/>
      <w:outlineLvl w:val="2"/>
    </w:pPr>
    <w:rPr>
      <w:rFonts w:ascii="Times New Roman" w:eastAsia="Times New Roman" w:hAnsi="Times New Roman" w:cs="Times New Roman"/>
      <w:b/>
      <w:bCs/>
      <w:sz w:val="27"/>
      <w:szCs w:val="27"/>
      <w:lang w:val="es-CO" w:eastAsia="es-CO"/>
    </w:rPr>
  </w:style>
  <w:style w:type="paragraph" w:styleId="Ttulo4">
    <w:name w:val="heading 4"/>
    <w:basedOn w:val="Normal"/>
    <w:next w:val="Normal"/>
    <w:link w:val="Ttulo4Car"/>
    <w:uiPriority w:val="99"/>
    <w:qFormat/>
    <w:rsid w:val="00045EDA"/>
    <w:pPr>
      <w:keepNext/>
      <w:keepLines/>
      <w:spacing w:before="200"/>
      <w:outlineLvl w:val="3"/>
    </w:pPr>
    <w:rPr>
      <w:rFonts w:ascii="Cambria" w:eastAsia="Times New Roman" w:hAnsi="Cambria" w:cs="Times New Roman"/>
      <w:b/>
      <w:bCs/>
      <w:i/>
      <w:iCs/>
      <w:color w:val="4F81BD"/>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p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hAnsi="Times New Roman" w:cs="Times New Roman"/>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table" w:styleId="Tablaconcuadrcula">
    <w:name w:val="Table Grid"/>
    <w:basedOn w:val="Tablanormal"/>
    <w:uiPriority w:val="59"/>
    <w:rsid w:val="00C578FC"/>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C578FC"/>
    <w:rPr>
      <w:b/>
      <w:bCs/>
    </w:rPr>
  </w:style>
  <w:style w:type="character" w:customStyle="1" w:styleId="apple-converted-space">
    <w:name w:val="apple-converted-space"/>
    <w:basedOn w:val="Fuentedeprrafopredeter"/>
    <w:rsid w:val="00C578FC"/>
  </w:style>
  <w:style w:type="character" w:styleId="Hipervnculo">
    <w:name w:val="Hyperlink"/>
    <w:basedOn w:val="Fuentedeprrafopredeter"/>
    <w:uiPriority w:val="99"/>
    <w:unhideWhenUsed/>
    <w:rsid w:val="00DA1007"/>
    <w:rPr>
      <w:color w:val="0000FF" w:themeColor="hyperlink"/>
      <w:u w:val="single"/>
    </w:rPr>
  </w:style>
  <w:style w:type="character" w:customStyle="1" w:styleId="Ttulo4Car">
    <w:name w:val="Título 4 Car"/>
    <w:basedOn w:val="Fuentedeprrafopredeter"/>
    <w:link w:val="Ttulo4"/>
    <w:uiPriority w:val="99"/>
    <w:rsid w:val="00045EDA"/>
    <w:rPr>
      <w:rFonts w:ascii="Cambria" w:eastAsia="Times New Roman" w:hAnsi="Cambria" w:cs="Times New Roman"/>
      <w:b/>
      <w:bCs/>
      <w:i/>
      <w:iCs/>
      <w:color w:val="4F81BD"/>
      <w:sz w:val="24"/>
      <w:szCs w:val="24"/>
      <w:lang w:val="es-ES" w:eastAsia="es-ES"/>
    </w:rPr>
  </w:style>
  <w:style w:type="character" w:customStyle="1" w:styleId="Ttulo2Car">
    <w:name w:val="Título 2 Car"/>
    <w:basedOn w:val="Fuentedeprrafopredeter"/>
    <w:link w:val="Ttulo2"/>
    <w:uiPriority w:val="9"/>
    <w:rsid w:val="009A6B76"/>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9A6B76"/>
    <w:pPr>
      <w:spacing w:after="0" w:line="240" w:lineRule="auto"/>
    </w:pPr>
  </w:style>
  <w:style w:type="paragraph" w:styleId="Textoindependiente">
    <w:name w:val="Body Text"/>
    <w:basedOn w:val="Normal"/>
    <w:link w:val="TextoindependienteCar"/>
    <w:semiHidden/>
    <w:rsid w:val="00426580"/>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426580"/>
    <w:rPr>
      <w:rFonts w:ascii="Arial" w:eastAsia="Times New Roman" w:hAnsi="Arial" w:cs="Times New Roman"/>
      <w:szCs w:val="20"/>
      <w:lang w:val="es-ES" w:eastAsia="es-ES"/>
    </w:rPr>
  </w:style>
  <w:style w:type="paragraph" w:styleId="Prrafodelista">
    <w:name w:val="List Paragraph"/>
    <w:basedOn w:val="Normal"/>
    <w:link w:val="PrrafodelistaCar"/>
    <w:uiPriority w:val="34"/>
    <w:qFormat/>
    <w:rsid w:val="00426580"/>
    <w:pPr>
      <w:ind w:left="720"/>
      <w:contextualSpacing/>
    </w:pPr>
  </w:style>
  <w:style w:type="character" w:customStyle="1" w:styleId="CharAttribute0">
    <w:name w:val="CharAttribute0"/>
    <w:rsid w:val="00426580"/>
    <w:rPr>
      <w:rFonts w:ascii="Arial" w:eastAsia="Arial" w:hAnsi="Arial"/>
      <w:sz w:val="24"/>
    </w:rPr>
  </w:style>
  <w:style w:type="paragraph" w:customStyle="1" w:styleId="CuerpoA">
    <w:name w:val="Cuerpo A"/>
    <w:rsid w:val="0042658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CO"/>
    </w:rPr>
  </w:style>
  <w:style w:type="character" w:customStyle="1" w:styleId="PrrafodelistaCar">
    <w:name w:val="Párrafo de lista Car"/>
    <w:link w:val="Prrafodelista"/>
    <w:rsid w:val="00426580"/>
    <w:rPr>
      <w:rFonts w:eastAsiaTheme="minorEastAsia"/>
      <w:sz w:val="24"/>
      <w:szCs w:val="24"/>
      <w:lang w:val="es-ES_tradnl" w:eastAsia="es-ES"/>
    </w:rPr>
  </w:style>
  <w:style w:type="character" w:customStyle="1" w:styleId="Ttulo3Car">
    <w:name w:val="Título 3 Car"/>
    <w:basedOn w:val="Fuentedeprrafopredeter"/>
    <w:link w:val="Ttulo3"/>
    <w:uiPriority w:val="9"/>
    <w:rsid w:val="00712370"/>
    <w:rPr>
      <w:rFonts w:ascii="Times New Roman" w:eastAsia="Times New Roman" w:hAnsi="Times New Roman" w:cs="Times New Roman"/>
      <w:b/>
      <w:bCs/>
      <w:sz w:val="27"/>
      <w:szCs w:val="27"/>
      <w:lang w:eastAsia="es-CO"/>
    </w:rPr>
  </w:style>
  <w:style w:type="character" w:customStyle="1" w:styleId="mw-headline">
    <w:name w:val="mw-headline"/>
    <w:basedOn w:val="Fuentedeprrafopredeter"/>
    <w:rsid w:val="00712370"/>
  </w:style>
  <w:style w:type="character" w:customStyle="1" w:styleId="mw-editsection">
    <w:name w:val="mw-editsection"/>
    <w:basedOn w:val="Fuentedeprrafopredeter"/>
    <w:rsid w:val="00712370"/>
  </w:style>
  <w:style w:type="character" w:customStyle="1" w:styleId="mw-editsection-bracket">
    <w:name w:val="mw-editsection-bracket"/>
    <w:basedOn w:val="Fuentedeprrafopredeter"/>
    <w:rsid w:val="00712370"/>
  </w:style>
  <w:style w:type="paragraph" w:styleId="Textonotapie">
    <w:name w:val="footnote text"/>
    <w:basedOn w:val="Normal"/>
    <w:link w:val="TextonotapieCar"/>
    <w:uiPriority w:val="99"/>
    <w:rsid w:val="00712370"/>
    <w:pPr>
      <w:autoSpaceDE w:val="0"/>
      <w:autoSpaceDN w:val="0"/>
      <w:jc w:val="both"/>
    </w:pPr>
    <w:rPr>
      <w:rFonts w:ascii="Arial" w:hAnsi="Arial" w:cs="Arial"/>
      <w:sz w:val="20"/>
      <w:szCs w:val="20"/>
      <w:lang w:eastAsia="es-CO"/>
    </w:rPr>
  </w:style>
  <w:style w:type="character" w:customStyle="1" w:styleId="TextonotapieCar">
    <w:name w:val="Texto nota pie Car"/>
    <w:basedOn w:val="Fuentedeprrafopredeter"/>
    <w:link w:val="Textonotapie"/>
    <w:uiPriority w:val="99"/>
    <w:rsid w:val="00712370"/>
    <w:rPr>
      <w:rFonts w:ascii="Arial" w:eastAsiaTheme="minorEastAsia" w:hAnsi="Arial" w:cs="Arial"/>
      <w:sz w:val="20"/>
      <w:szCs w:val="20"/>
      <w:lang w:val="es-ES_tradnl" w:eastAsia="es-CO"/>
    </w:rPr>
  </w:style>
  <w:style w:type="character" w:styleId="Refdenotaalpie">
    <w:name w:val="footnote reference"/>
    <w:aliases w:val="Nota de pie,referencia nota al pie,Ref. de nota al pieREF1,Footnote symbol,Footnote,Ref"/>
    <w:basedOn w:val="Fuentedeprrafopredeter"/>
    <w:uiPriority w:val="99"/>
    <w:rsid w:val="00712370"/>
    <w:rPr>
      <w:vertAlign w:val="superscript"/>
    </w:rPr>
  </w:style>
  <w:style w:type="paragraph" w:styleId="Textoindependiente2">
    <w:name w:val="Body Text 2"/>
    <w:basedOn w:val="Normal"/>
    <w:link w:val="Textoindependiente2Car"/>
    <w:uiPriority w:val="99"/>
    <w:rsid w:val="00712370"/>
    <w:pPr>
      <w:autoSpaceDE w:val="0"/>
      <w:autoSpaceDN w:val="0"/>
      <w:jc w:val="both"/>
    </w:pPr>
    <w:rPr>
      <w:rFonts w:ascii="Times New Roman" w:hAnsi="Times New Roman" w:cs="Times New Roman"/>
      <w:i/>
      <w:iCs/>
      <w:sz w:val="28"/>
      <w:szCs w:val="28"/>
      <w:lang w:eastAsia="es-CO"/>
    </w:rPr>
  </w:style>
  <w:style w:type="character" w:customStyle="1" w:styleId="Textoindependiente2Car">
    <w:name w:val="Texto independiente 2 Car"/>
    <w:basedOn w:val="Fuentedeprrafopredeter"/>
    <w:link w:val="Textoindependiente2"/>
    <w:uiPriority w:val="99"/>
    <w:rsid w:val="00712370"/>
    <w:rPr>
      <w:rFonts w:ascii="Times New Roman" w:eastAsiaTheme="minorEastAsia" w:hAnsi="Times New Roman" w:cs="Times New Roman"/>
      <w:i/>
      <w:iCs/>
      <w:sz w:val="28"/>
      <w:szCs w:val="28"/>
      <w:lang w:val="es-ES_tradnl" w:eastAsia="es-CO"/>
    </w:rPr>
  </w:style>
  <w:style w:type="character" w:styleId="Refdecomentario">
    <w:name w:val="annotation reference"/>
    <w:basedOn w:val="Fuentedeprrafopredeter"/>
    <w:uiPriority w:val="99"/>
    <w:semiHidden/>
    <w:unhideWhenUsed/>
    <w:rsid w:val="00E30D28"/>
    <w:rPr>
      <w:sz w:val="16"/>
      <w:szCs w:val="16"/>
    </w:rPr>
  </w:style>
  <w:style w:type="paragraph" w:styleId="Textocomentario">
    <w:name w:val="annotation text"/>
    <w:basedOn w:val="Normal"/>
    <w:link w:val="TextocomentarioCar"/>
    <w:uiPriority w:val="99"/>
    <w:semiHidden/>
    <w:unhideWhenUsed/>
    <w:rsid w:val="00E30D28"/>
    <w:rPr>
      <w:sz w:val="20"/>
      <w:szCs w:val="20"/>
    </w:rPr>
  </w:style>
  <w:style w:type="character" w:customStyle="1" w:styleId="TextocomentarioCar">
    <w:name w:val="Texto comentario Car"/>
    <w:basedOn w:val="Fuentedeprrafopredeter"/>
    <w:link w:val="Textocomentario"/>
    <w:uiPriority w:val="99"/>
    <w:semiHidden/>
    <w:rsid w:val="00E30D28"/>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E30D28"/>
    <w:rPr>
      <w:b/>
      <w:bCs/>
    </w:rPr>
  </w:style>
  <w:style w:type="character" w:customStyle="1" w:styleId="AsuntodelcomentarioCar">
    <w:name w:val="Asunto del comentario Car"/>
    <w:basedOn w:val="TextocomentarioCar"/>
    <w:link w:val="Asuntodelcomentario"/>
    <w:uiPriority w:val="99"/>
    <w:semiHidden/>
    <w:rsid w:val="00E30D28"/>
    <w:rPr>
      <w:rFonts w:eastAsiaTheme="minorEastAsia"/>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4461">
      <w:bodyDiv w:val="1"/>
      <w:marLeft w:val="0"/>
      <w:marRight w:val="0"/>
      <w:marTop w:val="0"/>
      <w:marBottom w:val="0"/>
      <w:divBdr>
        <w:top w:val="none" w:sz="0" w:space="0" w:color="auto"/>
        <w:left w:val="none" w:sz="0" w:space="0" w:color="auto"/>
        <w:bottom w:val="none" w:sz="0" w:space="0" w:color="auto"/>
        <w:right w:val="none" w:sz="0" w:space="0" w:color="auto"/>
      </w:divBdr>
    </w:div>
    <w:div w:id="229855105">
      <w:bodyDiv w:val="1"/>
      <w:marLeft w:val="0"/>
      <w:marRight w:val="0"/>
      <w:marTop w:val="0"/>
      <w:marBottom w:val="0"/>
      <w:divBdr>
        <w:top w:val="none" w:sz="0" w:space="0" w:color="auto"/>
        <w:left w:val="none" w:sz="0" w:space="0" w:color="auto"/>
        <w:bottom w:val="none" w:sz="0" w:space="0" w:color="auto"/>
        <w:right w:val="none" w:sz="0" w:space="0" w:color="auto"/>
      </w:divBdr>
    </w:div>
    <w:div w:id="238439983">
      <w:bodyDiv w:val="1"/>
      <w:marLeft w:val="0"/>
      <w:marRight w:val="0"/>
      <w:marTop w:val="0"/>
      <w:marBottom w:val="0"/>
      <w:divBdr>
        <w:top w:val="none" w:sz="0" w:space="0" w:color="auto"/>
        <w:left w:val="none" w:sz="0" w:space="0" w:color="auto"/>
        <w:bottom w:val="none" w:sz="0" w:space="0" w:color="auto"/>
        <w:right w:val="none" w:sz="0" w:space="0" w:color="auto"/>
      </w:divBdr>
    </w:div>
    <w:div w:id="253129553">
      <w:bodyDiv w:val="1"/>
      <w:marLeft w:val="0"/>
      <w:marRight w:val="0"/>
      <w:marTop w:val="0"/>
      <w:marBottom w:val="0"/>
      <w:divBdr>
        <w:top w:val="none" w:sz="0" w:space="0" w:color="auto"/>
        <w:left w:val="none" w:sz="0" w:space="0" w:color="auto"/>
        <w:bottom w:val="none" w:sz="0" w:space="0" w:color="auto"/>
        <w:right w:val="none" w:sz="0" w:space="0" w:color="auto"/>
      </w:divBdr>
    </w:div>
    <w:div w:id="313217478">
      <w:bodyDiv w:val="1"/>
      <w:marLeft w:val="0"/>
      <w:marRight w:val="0"/>
      <w:marTop w:val="0"/>
      <w:marBottom w:val="0"/>
      <w:divBdr>
        <w:top w:val="none" w:sz="0" w:space="0" w:color="auto"/>
        <w:left w:val="none" w:sz="0" w:space="0" w:color="auto"/>
        <w:bottom w:val="none" w:sz="0" w:space="0" w:color="auto"/>
        <w:right w:val="none" w:sz="0" w:space="0" w:color="auto"/>
      </w:divBdr>
    </w:div>
    <w:div w:id="333267108">
      <w:bodyDiv w:val="1"/>
      <w:marLeft w:val="0"/>
      <w:marRight w:val="0"/>
      <w:marTop w:val="0"/>
      <w:marBottom w:val="0"/>
      <w:divBdr>
        <w:top w:val="none" w:sz="0" w:space="0" w:color="auto"/>
        <w:left w:val="none" w:sz="0" w:space="0" w:color="auto"/>
        <w:bottom w:val="none" w:sz="0" w:space="0" w:color="auto"/>
        <w:right w:val="none" w:sz="0" w:space="0" w:color="auto"/>
      </w:divBdr>
    </w:div>
    <w:div w:id="852113240">
      <w:bodyDiv w:val="1"/>
      <w:marLeft w:val="0"/>
      <w:marRight w:val="0"/>
      <w:marTop w:val="0"/>
      <w:marBottom w:val="0"/>
      <w:divBdr>
        <w:top w:val="none" w:sz="0" w:space="0" w:color="auto"/>
        <w:left w:val="none" w:sz="0" w:space="0" w:color="auto"/>
        <w:bottom w:val="none" w:sz="0" w:space="0" w:color="auto"/>
        <w:right w:val="none" w:sz="0" w:space="0" w:color="auto"/>
      </w:divBdr>
    </w:div>
    <w:div w:id="1129977012">
      <w:bodyDiv w:val="1"/>
      <w:marLeft w:val="0"/>
      <w:marRight w:val="0"/>
      <w:marTop w:val="0"/>
      <w:marBottom w:val="0"/>
      <w:divBdr>
        <w:top w:val="none" w:sz="0" w:space="0" w:color="auto"/>
        <w:left w:val="none" w:sz="0" w:space="0" w:color="auto"/>
        <w:bottom w:val="none" w:sz="0" w:space="0" w:color="auto"/>
        <w:right w:val="none" w:sz="0" w:space="0" w:color="auto"/>
      </w:divBdr>
    </w:div>
    <w:div w:id="1152605019">
      <w:bodyDiv w:val="1"/>
      <w:marLeft w:val="0"/>
      <w:marRight w:val="0"/>
      <w:marTop w:val="0"/>
      <w:marBottom w:val="0"/>
      <w:divBdr>
        <w:top w:val="none" w:sz="0" w:space="0" w:color="auto"/>
        <w:left w:val="none" w:sz="0" w:space="0" w:color="auto"/>
        <w:bottom w:val="none" w:sz="0" w:space="0" w:color="auto"/>
        <w:right w:val="none" w:sz="0" w:space="0" w:color="auto"/>
      </w:divBdr>
    </w:div>
    <w:div w:id="1305088498">
      <w:bodyDiv w:val="1"/>
      <w:marLeft w:val="0"/>
      <w:marRight w:val="0"/>
      <w:marTop w:val="0"/>
      <w:marBottom w:val="0"/>
      <w:divBdr>
        <w:top w:val="none" w:sz="0" w:space="0" w:color="auto"/>
        <w:left w:val="none" w:sz="0" w:space="0" w:color="auto"/>
        <w:bottom w:val="none" w:sz="0" w:space="0" w:color="auto"/>
        <w:right w:val="none" w:sz="0" w:space="0" w:color="auto"/>
      </w:divBdr>
    </w:div>
    <w:div w:id="1358191510">
      <w:bodyDiv w:val="1"/>
      <w:marLeft w:val="0"/>
      <w:marRight w:val="0"/>
      <w:marTop w:val="0"/>
      <w:marBottom w:val="0"/>
      <w:divBdr>
        <w:top w:val="none" w:sz="0" w:space="0" w:color="auto"/>
        <w:left w:val="none" w:sz="0" w:space="0" w:color="auto"/>
        <w:bottom w:val="none" w:sz="0" w:space="0" w:color="auto"/>
        <w:right w:val="none" w:sz="0" w:space="0" w:color="auto"/>
      </w:divBdr>
    </w:div>
    <w:div w:id="1409962509">
      <w:bodyDiv w:val="1"/>
      <w:marLeft w:val="0"/>
      <w:marRight w:val="0"/>
      <w:marTop w:val="0"/>
      <w:marBottom w:val="0"/>
      <w:divBdr>
        <w:top w:val="none" w:sz="0" w:space="0" w:color="auto"/>
        <w:left w:val="none" w:sz="0" w:space="0" w:color="auto"/>
        <w:bottom w:val="none" w:sz="0" w:space="0" w:color="auto"/>
        <w:right w:val="none" w:sz="0" w:space="0" w:color="auto"/>
      </w:divBdr>
    </w:div>
    <w:div w:id="1495099753">
      <w:bodyDiv w:val="1"/>
      <w:marLeft w:val="0"/>
      <w:marRight w:val="0"/>
      <w:marTop w:val="0"/>
      <w:marBottom w:val="0"/>
      <w:divBdr>
        <w:top w:val="none" w:sz="0" w:space="0" w:color="auto"/>
        <w:left w:val="none" w:sz="0" w:space="0" w:color="auto"/>
        <w:bottom w:val="none" w:sz="0" w:space="0" w:color="auto"/>
        <w:right w:val="none" w:sz="0" w:space="0" w:color="auto"/>
      </w:divBdr>
    </w:div>
    <w:div w:id="1626421561">
      <w:bodyDiv w:val="1"/>
      <w:marLeft w:val="0"/>
      <w:marRight w:val="0"/>
      <w:marTop w:val="0"/>
      <w:marBottom w:val="0"/>
      <w:divBdr>
        <w:top w:val="none" w:sz="0" w:space="0" w:color="auto"/>
        <w:left w:val="none" w:sz="0" w:space="0" w:color="auto"/>
        <w:bottom w:val="none" w:sz="0" w:space="0" w:color="auto"/>
        <w:right w:val="none" w:sz="0" w:space="0" w:color="auto"/>
      </w:divBdr>
    </w:div>
    <w:div w:id="1713965477">
      <w:bodyDiv w:val="1"/>
      <w:marLeft w:val="0"/>
      <w:marRight w:val="0"/>
      <w:marTop w:val="0"/>
      <w:marBottom w:val="0"/>
      <w:divBdr>
        <w:top w:val="none" w:sz="0" w:space="0" w:color="auto"/>
        <w:left w:val="none" w:sz="0" w:space="0" w:color="auto"/>
        <w:bottom w:val="none" w:sz="0" w:space="0" w:color="auto"/>
        <w:right w:val="none" w:sz="0" w:space="0" w:color="auto"/>
      </w:divBdr>
    </w:div>
    <w:div w:id="1826513486">
      <w:bodyDiv w:val="1"/>
      <w:marLeft w:val="0"/>
      <w:marRight w:val="0"/>
      <w:marTop w:val="0"/>
      <w:marBottom w:val="0"/>
      <w:divBdr>
        <w:top w:val="none" w:sz="0" w:space="0" w:color="auto"/>
        <w:left w:val="none" w:sz="0" w:space="0" w:color="auto"/>
        <w:bottom w:val="none" w:sz="0" w:space="0" w:color="auto"/>
        <w:right w:val="none" w:sz="0" w:space="0" w:color="auto"/>
      </w:divBdr>
    </w:div>
    <w:div w:id="18889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6FBC32-3899-4435-AC8B-A75FFC0DAB56}" type="doc">
      <dgm:prSet loTypeId="urn:microsoft.com/office/officeart/2005/8/layout/hierarchy2" loCatId="hierarchy" qsTypeId="urn:microsoft.com/office/officeart/2005/8/quickstyle/simple1" qsCatId="simple" csTypeId="urn:microsoft.com/office/officeart/2005/8/colors/colorful4" csCatId="colorful" phldr="1"/>
      <dgm:spPr/>
      <dgm:t>
        <a:bodyPr/>
        <a:lstStyle/>
        <a:p>
          <a:endParaRPr lang="es-CO"/>
        </a:p>
      </dgm:t>
    </dgm:pt>
    <dgm:pt modelId="{083061F3-4937-4647-8E1D-520C8D046967}">
      <dgm:prSet phldrT="[Texto]"/>
      <dgm:spPr/>
      <dgm:t>
        <a:bodyPr/>
        <a:lstStyle/>
        <a:p>
          <a:r>
            <a:rPr lang="es-CO" b="1" smtClean="0">
              <a:solidFill>
                <a:schemeClr val="tx1"/>
              </a:solidFill>
              <a:latin typeface="Arial Narrow" panose="020B0606020202030204" pitchFamily="34" charset="0"/>
            </a:rPr>
            <a:t>35 polígonos</a:t>
          </a:r>
        </a:p>
        <a:p>
          <a:r>
            <a:rPr lang="es-CO" b="1" smtClean="0">
              <a:solidFill>
                <a:schemeClr val="tx1"/>
              </a:solidFill>
              <a:latin typeface="Arial Narrow" panose="020B0606020202030204" pitchFamily="34" charset="0"/>
            </a:rPr>
            <a:t>1.217.656,37 ha</a:t>
          </a:r>
          <a:endParaRPr lang="es-CO" b="1" dirty="0">
            <a:solidFill>
              <a:schemeClr val="tx1"/>
            </a:solidFill>
            <a:latin typeface="Arial Narrow" panose="020B0606020202030204" pitchFamily="34" charset="0"/>
          </a:endParaRPr>
        </a:p>
      </dgm:t>
    </dgm:pt>
    <dgm:pt modelId="{F07771EC-88D1-4BD3-8066-6B7700862079}" type="parTrans" cxnId="{5283F08E-A835-4C2D-8FA1-E4870F4ABF94}">
      <dgm:prSet/>
      <dgm:spPr/>
      <dgm:t>
        <a:bodyPr/>
        <a:lstStyle/>
        <a:p>
          <a:endParaRPr lang="es-CO" b="1">
            <a:solidFill>
              <a:schemeClr val="tx1"/>
            </a:solidFill>
            <a:latin typeface="Arial Narrow" panose="020B0606020202030204" pitchFamily="34" charset="0"/>
          </a:endParaRPr>
        </a:p>
      </dgm:t>
    </dgm:pt>
    <dgm:pt modelId="{022AC924-D7AA-4D65-8DB9-B638EF438D12}" type="sibTrans" cxnId="{5283F08E-A835-4C2D-8FA1-E4870F4ABF94}">
      <dgm:prSet/>
      <dgm:spPr/>
      <dgm:t>
        <a:bodyPr/>
        <a:lstStyle/>
        <a:p>
          <a:endParaRPr lang="es-CO" b="1">
            <a:solidFill>
              <a:schemeClr val="tx1"/>
            </a:solidFill>
            <a:latin typeface="Arial Narrow" panose="020B0606020202030204" pitchFamily="34" charset="0"/>
          </a:endParaRPr>
        </a:p>
      </dgm:t>
    </dgm:pt>
    <dgm:pt modelId="{55A74E3A-77E2-48E5-BF50-C0731E4A7753}">
      <dgm:prSet phldrT="[Texto]"/>
      <dgm:spPr/>
      <dgm:t>
        <a:bodyPr/>
        <a:lstStyle/>
        <a:p>
          <a:r>
            <a:rPr lang="es-CO" b="1" smtClean="0">
              <a:solidFill>
                <a:schemeClr val="tx1"/>
              </a:solidFill>
              <a:latin typeface="Arial Narrow" panose="020B0606020202030204" pitchFamily="34" charset="0"/>
            </a:rPr>
            <a:t>6 declarados</a:t>
          </a:r>
        </a:p>
        <a:p>
          <a:r>
            <a:rPr lang="es-CO" b="1" i="0" u="none" smtClean="0">
              <a:solidFill>
                <a:schemeClr val="tx1"/>
              </a:solidFill>
              <a:latin typeface="Arial Narrow" panose="020B0606020202030204" pitchFamily="34" charset="0"/>
            </a:rPr>
            <a:t>(94.912,14 ha)</a:t>
          </a:r>
          <a:endParaRPr lang="es-CO" b="1" dirty="0">
            <a:solidFill>
              <a:schemeClr val="tx1"/>
            </a:solidFill>
            <a:latin typeface="Arial Narrow" panose="020B0606020202030204" pitchFamily="34" charset="0"/>
          </a:endParaRPr>
        </a:p>
      </dgm:t>
    </dgm:pt>
    <dgm:pt modelId="{6E455C44-DBB5-4FE4-AA13-42BFBCE2DD91}" type="sibTrans" cxnId="{375AB14E-A2AF-4FC7-AAFE-307CC3EB3101}">
      <dgm:prSet/>
      <dgm:spPr/>
      <dgm:t>
        <a:bodyPr/>
        <a:lstStyle/>
        <a:p>
          <a:endParaRPr lang="es-CO" b="1">
            <a:solidFill>
              <a:schemeClr val="tx1"/>
            </a:solidFill>
            <a:latin typeface="Arial Narrow" panose="020B0606020202030204" pitchFamily="34" charset="0"/>
          </a:endParaRPr>
        </a:p>
      </dgm:t>
    </dgm:pt>
    <dgm:pt modelId="{C2E66617-091D-47C6-A4F6-10524341F93A}" type="parTrans" cxnId="{375AB14E-A2AF-4FC7-AAFE-307CC3EB3101}">
      <dgm:prSet/>
      <dgm:spPr/>
      <dgm:t>
        <a:bodyPr/>
        <a:lstStyle/>
        <a:p>
          <a:endParaRPr lang="es-CO" b="1">
            <a:solidFill>
              <a:schemeClr val="tx1"/>
            </a:solidFill>
            <a:latin typeface="Arial Narrow" panose="020B0606020202030204" pitchFamily="34" charset="0"/>
          </a:endParaRPr>
        </a:p>
      </dgm:t>
    </dgm:pt>
    <dgm:pt modelId="{F3203DB5-8D9F-459C-8EE2-187F38402EDF}">
      <dgm:prSet/>
      <dgm:spPr/>
      <dgm:t>
        <a:bodyPr/>
        <a:lstStyle/>
        <a:p>
          <a:r>
            <a:rPr lang="es-CO" b="1" smtClean="0">
              <a:solidFill>
                <a:schemeClr val="tx1"/>
              </a:solidFill>
              <a:latin typeface="Arial Narrow" panose="020B0606020202030204" pitchFamily="34" charset="0"/>
            </a:rPr>
            <a:t>29 Procesos En Ruta Declaratoria</a:t>
          </a:r>
        </a:p>
        <a:p>
          <a:r>
            <a:rPr lang="es-CO" b="1" smtClean="0">
              <a:solidFill>
                <a:schemeClr val="tx1"/>
              </a:solidFill>
              <a:latin typeface="Arial Narrow" panose="020B0606020202030204" pitchFamily="34" charset="0"/>
            </a:rPr>
            <a:t>(</a:t>
          </a:r>
          <a:r>
            <a:rPr lang="es-CO" b="1" i="0" u="none" smtClean="0">
              <a:solidFill>
                <a:schemeClr val="tx1"/>
              </a:solidFill>
              <a:latin typeface="Arial Narrow" panose="020B0606020202030204" pitchFamily="34" charset="0"/>
            </a:rPr>
            <a:t>984.007,42 ha)</a:t>
          </a:r>
          <a:endParaRPr lang="es-CO" b="1" dirty="0">
            <a:solidFill>
              <a:schemeClr val="tx1"/>
            </a:solidFill>
            <a:latin typeface="Arial Narrow" panose="020B0606020202030204" pitchFamily="34" charset="0"/>
          </a:endParaRPr>
        </a:p>
      </dgm:t>
    </dgm:pt>
    <dgm:pt modelId="{6703FBEB-B049-4284-9ACF-5682E73D7AD0}" type="parTrans" cxnId="{DB5F6632-CAA5-4CFC-A70F-CEB86EFF38A2}">
      <dgm:prSet/>
      <dgm:spPr/>
      <dgm:t>
        <a:bodyPr/>
        <a:lstStyle/>
        <a:p>
          <a:endParaRPr lang="es-CO" b="1">
            <a:solidFill>
              <a:schemeClr val="tx1"/>
            </a:solidFill>
            <a:latin typeface="Arial Narrow" panose="020B0606020202030204" pitchFamily="34" charset="0"/>
          </a:endParaRPr>
        </a:p>
      </dgm:t>
    </dgm:pt>
    <dgm:pt modelId="{6199F946-2A1D-4FD2-90D6-E56AFD3D96DF}" type="sibTrans" cxnId="{DB5F6632-CAA5-4CFC-A70F-CEB86EFF38A2}">
      <dgm:prSet/>
      <dgm:spPr/>
      <dgm:t>
        <a:bodyPr/>
        <a:lstStyle/>
        <a:p>
          <a:endParaRPr lang="es-CO" b="1">
            <a:solidFill>
              <a:schemeClr val="tx1"/>
            </a:solidFill>
            <a:latin typeface="Arial Narrow" panose="020B0606020202030204" pitchFamily="34" charset="0"/>
          </a:endParaRPr>
        </a:p>
      </dgm:t>
    </dgm:pt>
    <dgm:pt modelId="{D7F7EC93-6E25-4D28-BA44-12CCB31D5108}">
      <dgm:prSet/>
      <dgm:spPr/>
      <dgm:t>
        <a:bodyPr/>
        <a:lstStyle/>
        <a:p>
          <a:r>
            <a:rPr lang="es-CO" b="1" smtClean="0">
              <a:solidFill>
                <a:schemeClr val="tx1"/>
              </a:solidFill>
              <a:latin typeface="Arial Narrow" panose="020B0606020202030204" pitchFamily="34" charset="0"/>
            </a:rPr>
            <a:t>14 En Fase de Declaratoria</a:t>
          </a:r>
        </a:p>
        <a:p>
          <a:r>
            <a:rPr lang="es-CO" b="1" smtClean="0">
              <a:solidFill>
                <a:schemeClr val="tx1"/>
              </a:solidFill>
              <a:latin typeface="Arial Narrow" panose="020B0606020202030204" pitchFamily="34" charset="0"/>
            </a:rPr>
            <a:t>(</a:t>
          </a:r>
          <a:r>
            <a:rPr lang="es-CO" b="1" i="0" u="none" smtClean="0">
              <a:solidFill>
                <a:schemeClr val="tx1"/>
              </a:solidFill>
              <a:latin typeface="Arial Narrow" panose="020B0606020202030204" pitchFamily="34" charset="0"/>
            </a:rPr>
            <a:t>246.952,56  ha)</a:t>
          </a:r>
          <a:endParaRPr lang="es-CO" b="1" dirty="0">
            <a:solidFill>
              <a:schemeClr val="tx1"/>
            </a:solidFill>
            <a:latin typeface="Arial Narrow" panose="020B0606020202030204" pitchFamily="34" charset="0"/>
          </a:endParaRPr>
        </a:p>
      </dgm:t>
    </dgm:pt>
    <dgm:pt modelId="{D339E83F-E93B-45F4-A3D3-B682F3F43D9F}" type="parTrans" cxnId="{5680D6F9-85C2-4A66-80FF-F5E9D6E1E9ED}">
      <dgm:prSet/>
      <dgm:spPr/>
      <dgm:t>
        <a:bodyPr/>
        <a:lstStyle/>
        <a:p>
          <a:endParaRPr lang="es-CO" b="1">
            <a:solidFill>
              <a:schemeClr val="tx1"/>
            </a:solidFill>
            <a:latin typeface="Arial Narrow" panose="020B0606020202030204" pitchFamily="34" charset="0"/>
          </a:endParaRPr>
        </a:p>
      </dgm:t>
    </dgm:pt>
    <dgm:pt modelId="{DF278544-751B-4DF4-86E8-36541DD8925A}" type="sibTrans" cxnId="{5680D6F9-85C2-4A66-80FF-F5E9D6E1E9ED}">
      <dgm:prSet/>
      <dgm:spPr/>
      <dgm:t>
        <a:bodyPr/>
        <a:lstStyle/>
        <a:p>
          <a:endParaRPr lang="es-CO" b="1">
            <a:solidFill>
              <a:schemeClr val="tx1"/>
            </a:solidFill>
            <a:latin typeface="Arial Narrow" panose="020B0606020202030204" pitchFamily="34" charset="0"/>
          </a:endParaRPr>
        </a:p>
      </dgm:t>
    </dgm:pt>
    <dgm:pt modelId="{F618654D-4A10-468F-93FA-BD1F1AC667AD}">
      <dgm:prSet/>
      <dgm:spPr/>
      <dgm:t>
        <a:bodyPr/>
        <a:lstStyle/>
        <a:p>
          <a:r>
            <a:rPr lang="es-CO" b="1" smtClean="0">
              <a:solidFill>
                <a:schemeClr val="tx1"/>
              </a:solidFill>
              <a:latin typeface="Arial Narrow" panose="020B0606020202030204" pitchFamily="34" charset="0"/>
            </a:rPr>
            <a:t>5 disminuyeron área</a:t>
          </a:r>
          <a:endParaRPr lang="es-CO" b="1" dirty="0" smtClean="0">
            <a:solidFill>
              <a:schemeClr val="tx1"/>
            </a:solidFill>
            <a:latin typeface="Arial Narrow" panose="020B0606020202030204" pitchFamily="34" charset="0"/>
          </a:endParaRPr>
        </a:p>
      </dgm:t>
    </dgm:pt>
    <dgm:pt modelId="{1FF0C51F-A628-4099-93EB-3464AB7BD43E}" type="parTrans" cxnId="{64BC0A88-9647-4DE0-BCCA-305281DC9533}">
      <dgm:prSet/>
      <dgm:spPr/>
      <dgm:t>
        <a:bodyPr/>
        <a:lstStyle/>
        <a:p>
          <a:endParaRPr lang="es-CO" b="1">
            <a:solidFill>
              <a:schemeClr val="tx1"/>
            </a:solidFill>
            <a:latin typeface="Arial Narrow" panose="020B0606020202030204" pitchFamily="34" charset="0"/>
          </a:endParaRPr>
        </a:p>
      </dgm:t>
    </dgm:pt>
    <dgm:pt modelId="{97C7A67F-280B-41C3-BCF7-46A0E7703E1C}" type="sibTrans" cxnId="{64BC0A88-9647-4DE0-BCCA-305281DC9533}">
      <dgm:prSet/>
      <dgm:spPr/>
      <dgm:t>
        <a:bodyPr/>
        <a:lstStyle/>
        <a:p>
          <a:endParaRPr lang="es-CO" b="1">
            <a:solidFill>
              <a:schemeClr val="tx1"/>
            </a:solidFill>
            <a:latin typeface="Arial Narrow" panose="020B0606020202030204" pitchFamily="34" charset="0"/>
          </a:endParaRPr>
        </a:p>
      </dgm:t>
    </dgm:pt>
    <dgm:pt modelId="{19DC38CC-E690-4E88-92C0-FACF3C957D78}">
      <dgm:prSet/>
      <dgm:spPr/>
      <dgm:t>
        <a:bodyPr/>
        <a:lstStyle/>
        <a:p>
          <a:r>
            <a:rPr lang="es-CO" b="1" smtClean="0">
              <a:solidFill>
                <a:schemeClr val="tx1"/>
              </a:solidFill>
              <a:latin typeface="Arial Narrow" panose="020B0606020202030204" pitchFamily="34" charset="0"/>
            </a:rPr>
            <a:t>1 aumentó área</a:t>
          </a:r>
        </a:p>
        <a:p>
          <a:r>
            <a:rPr lang="es-CO" b="1" smtClean="0">
              <a:solidFill>
                <a:schemeClr val="tx1"/>
              </a:solidFill>
              <a:latin typeface="Arial Narrow" panose="020B0606020202030204" pitchFamily="34" charset="0"/>
            </a:rPr>
            <a:t>(</a:t>
          </a:r>
          <a:r>
            <a:rPr lang="es-CO" b="1" i="0" u="none" smtClean="0">
              <a:solidFill>
                <a:schemeClr val="tx1"/>
              </a:solidFill>
              <a:latin typeface="Arial Narrow" panose="020B0606020202030204" pitchFamily="34" charset="0"/>
            </a:rPr>
            <a:t>433,07 ha)</a:t>
          </a:r>
          <a:endParaRPr lang="es-CO" b="1" dirty="0">
            <a:solidFill>
              <a:schemeClr val="tx1"/>
            </a:solidFill>
            <a:latin typeface="Arial Narrow" panose="020B0606020202030204" pitchFamily="34" charset="0"/>
          </a:endParaRPr>
        </a:p>
      </dgm:t>
    </dgm:pt>
    <dgm:pt modelId="{6A6AD7EC-DAAF-423F-B607-D8B590136E56}" type="parTrans" cxnId="{1ED81F3F-6DB6-4BA8-B42F-3272B03024A8}">
      <dgm:prSet/>
      <dgm:spPr/>
      <dgm:t>
        <a:bodyPr/>
        <a:lstStyle/>
        <a:p>
          <a:endParaRPr lang="es-CO" b="1">
            <a:solidFill>
              <a:schemeClr val="tx1"/>
            </a:solidFill>
            <a:latin typeface="Arial Narrow" panose="020B0606020202030204" pitchFamily="34" charset="0"/>
          </a:endParaRPr>
        </a:p>
      </dgm:t>
    </dgm:pt>
    <dgm:pt modelId="{2E20A746-C2EA-43DA-8125-472E01EAE2EA}" type="sibTrans" cxnId="{1ED81F3F-6DB6-4BA8-B42F-3272B03024A8}">
      <dgm:prSet/>
      <dgm:spPr/>
      <dgm:t>
        <a:bodyPr/>
        <a:lstStyle/>
        <a:p>
          <a:endParaRPr lang="es-CO" b="1">
            <a:solidFill>
              <a:schemeClr val="tx1"/>
            </a:solidFill>
            <a:latin typeface="Arial Narrow" panose="020B0606020202030204" pitchFamily="34" charset="0"/>
          </a:endParaRPr>
        </a:p>
      </dgm:t>
    </dgm:pt>
    <dgm:pt modelId="{35296521-9642-4CC9-8D61-5DFF02711FC2}">
      <dgm:prSet/>
      <dgm:spPr/>
      <dgm:t>
        <a:bodyPr/>
        <a:lstStyle/>
        <a:p>
          <a:r>
            <a:rPr lang="es-CO" b="1" smtClean="0">
              <a:solidFill>
                <a:schemeClr val="tx1"/>
              </a:solidFill>
              <a:latin typeface="Arial Narrow" panose="020B0606020202030204" pitchFamily="34" charset="0"/>
            </a:rPr>
            <a:t>15 En Fase De Aprestamiento (737.054,86 ha) </a:t>
          </a:r>
          <a:endParaRPr lang="es-CO" b="1" dirty="0" smtClean="0">
            <a:solidFill>
              <a:schemeClr val="tx1"/>
            </a:solidFill>
            <a:latin typeface="Arial Narrow" panose="020B0606020202030204" pitchFamily="34" charset="0"/>
          </a:endParaRPr>
        </a:p>
      </dgm:t>
    </dgm:pt>
    <dgm:pt modelId="{5A4E1720-12BA-462E-8A1A-E84FC3FC31F5}" type="parTrans" cxnId="{4A20C955-8FD2-4D46-AA2C-73428480CD2D}">
      <dgm:prSet/>
      <dgm:spPr/>
      <dgm:t>
        <a:bodyPr/>
        <a:lstStyle/>
        <a:p>
          <a:endParaRPr lang="es-CO" b="1">
            <a:solidFill>
              <a:schemeClr val="tx1"/>
            </a:solidFill>
            <a:latin typeface="Arial Narrow" panose="020B0606020202030204" pitchFamily="34" charset="0"/>
          </a:endParaRPr>
        </a:p>
      </dgm:t>
    </dgm:pt>
    <dgm:pt modelId="{7B0D062B-7A7C-4E16-9E9D-0D04DA291FFD}" type="sibTrans" cxnId="{4A20C955-8FD2-4D46-AA2C-73428480CD2D}">
      <dgm:prSet/>
      <dgm:spPr/>
      <dgm:t>
        <a:bodyPr/>
        <a:lstStyle/>
        <a:p>
          <a:endParaRPr lang="es-CO" b="1">
            <a:solidFill>
              <a:schemeClr val="tx1"/>
            </a:solidFill>
            <a:latin typeface="Arial Narrow" panose="020B0606020202030204" pitchFamily="34" charset="0"/>
          </a:endParaRPr>
        </a:p>
      </dgm:t>
    </dgm:pt>
    <dgm:pt modelId="{F7833889-7710-4979-B55E-6F8EAD13FCA4}">
      <dgm:prSet/>
      <dgm:spPr/>
      <dgm:t>
        <a:bodyPr/>
        <a:lstStyle/>
        <a:p>
          <a:r>
            <a:rPr lang="es-CO" b="1" smtClean="0">
              <a:solidFill>
                <a:schemeClr val="tx1"/>
              </a:solidFill>
              <a:latin typeface="Arial Narrow" panose="020B0606020202030204" pitchFamily="34" charset="0"/>
            </a:rPr>
            <a:t>1 aumentó área</a:t>
          </a:r>
        </a:p>
        <a:p>
          <a:r>
            <a:rPr lang="es-CO" b="1" smtClean="0">
              <a:solidFill>
                <a:schemeClr val="tx1"/>
              </a:solidFill>
              <a:latin typeface="Arial Narrow" panose="020B0606020202030204" pitchFamily="34" charset="0"/>
            </a:rPr>
            <a:t>(</a:t>
          </a:r>
          <a:r>
            <a:rPr lang="es-CO" b="1" i="0" u="none" smtClean="0">
              <a:solidFill>
                <a:schemeClr val="tx1"/>
              </a:solidFill>
              <a:latin typeface="Arial Narrow" panose="020B0606020202030204" pitchFamily="34" charset="0"/>
            </a:rPr>
            <a:t>30.480,64 ha)</a:t>
          </a:r>
          <a:endParaRPr lang="es-CO" b="1" dirty="0">
            <a:solidFill>
              <a:schemeClr val="tx1"/>
            </a:solidFill>
            <a:latin typeface="Arial Narrow" panose="020B0606020202030204" pitchFamily="34" charset="0"/>
          </a:endParaRPr>
        </a:p>
      </dgm:t>
    </dgm:pt>
    <dgm:pt modelId="{BC0B2226-5079-400D-9E15-13DFF677DDAE}" type="parTrans" cxnId="{8EBE235F-D1EC-41ED-B115-B453D7FFE4C4}">
      <dgm:prSet/>
      <dgm:spPr/>
      <dgm:t>
        <a:bodyPr/>
        <a:lstStyle/>
        <a:p>
          <a:endParaRPr lang="es-CO" b="1">
            <a:solidFill>
              <a:schemeClr val="tx1"/>
            </a:solidFill>
            <a:latin typeface="Arial Narrow" panose="020B0606020202030204" pitchFamily="34" charset="0"/>
          </a:endParaRPr>
        </a:p>
      </dgm:t>
    </dgm:pt>
    <dgm:pt modelId="{935C1213-35CF-4468-A112-BDAE9B866DCB}" type="sibTrans" cxnId="{8EBE235F-D1EC-41ED-B115-B453D7FFE4C4}">
      <dgm:prSet/>
      <dgm:spPr/>
      <dgm:t>
        <a:bodyPr/>
        <a:lstStyle/>
        <a:p>
          <a:endParaRPr lang="es-CO" b="1">
            <a:solidFill>
              <a:schemeClr val="tx1"/>
            </a:solidFill>
            <a:latin typeface="Arial Narrow" panose="020B0606020202030204" pitchFamily="34" charset="0"/>
          </a:endParaRPr>
        </a:p>
      </dgm:t>
    </dgm:pt>
    <dgm:pt modelId="{5B5D4B53-1F8B-4912-AA54-34F36E5F4606}">
      <dgm:prSet/>
      <dgm:spPr/>
      <dgm:t>
        <a:bodyPr/>
        <a:lstStyle/>
        <a:p>
          <a:r>
            <a:rPr lang="es-CO" b="1" smtClean="0">
              <a:solidFill>
                <a:schemeClr val="tx1"/>
              </a:solidFill>
              <a:latin typeface="Arial Narrow" panose="020B0606020202030204" pitchFamily="34" charset="0"/>
            </a:rPr>
            <a:t>8 mantienen área</a:t>
          </a:r>
        </a:p>
        <a:p>
          <a:r>
            <a:rPr lang="es-CO" b="1" smtClean="0">
              <a:solidFill>
                <a:schemeClr val="tx1"/>
              </a:solidFill>
              <a:latin typeface="Arial Narrow" panose="020B0606020202030204" pitchFamily="34" charset="0"/>
            </a:rPr>
            <a:t>(</a:t>
          </a:r>
          <a:r>
            <a:rPr lang="es-CO" b="1" i="0" u="none" smtClean="0">
              <a:solidFill>
                <a:schemeClr val="tx1"/>
              </a:solidFill>
              <a:latin typeface="Arial Narrow" panose="020B0606020202030204" pitchFamily="34" charset="0"/>
            </a:rPr>
            <a:t>142.306,39  ha)</a:t>
          </a:r>
          <a:endParaRPr lang="es-CO" b="1" dirty="0">
            <a:solidFill>
              <a:schemeClr val="tx1"/>
            </a:solidFill>
            <a:latin typeface="Arial Narrow" panose="020B0606020202030204" pitchFamily="34" charset="0"/>
          </a:endParaRPr>
        </a:p>
      </dgm:t>
    </dgm:pt>
    <dgm:pt modelId="{3E463322-8407-4E9F-8BE4-A237CF81DF17}" type="parTrans" cxnId="{E0B30E7D-514A-45D2-9494-1D7E1FE01552}">
      <dgm:prSet/>
      <dgm:spPr/>
      <dgm:t>
        <a:bodyPr/>
        <a:lstStyle/>
        <a:p>
          <a:endParaRPr lang="es-CO" b="1">
            <a:solidFill>
              <a:schemeClr val="tx1"/>
            </a:solidFill>
            <a:latin typeface="Arial Narrow" panose="020B0606020202030204" pitchFamily="34" charset="0"/>
          </a:endParaRPr>
        </a:p>
      </dgm:t>
    </dgm:pt>
    <dgm:pt modelId="{B93074F5-92CE-4D38-98E1-81C5EF9AB8EF}" type="sibTrans" cxnId="{E0B30E7D-514A-45D2-9494-1D7E1FE01552}">
      <dgm:prSet/>
      <dgm:spPr/>
      <dgm:t>
        <a:bodyPr/>
        <a:lstStyle/>
        <a:p>
          <a:endParaRPr lang="es-CO" b="1">
            <a:solidFill>
              <a:schemeClr val="tx1"/>
            </a:solidFill>
            <a:latin typeface="Arial Narrow" panose="020B0606020202030204" pitchFamily="34" charset="0"/>
          </a:endParaRPr>
        </a:p>
      </dgm:t>
    </dgm:pt>
    <dgm:pt modelId="{B2B1FDA4-2BC7-4D91-BB1E-FF990B65EEE2}">
      <dgm:prSet/>
      <dgm:spPr/>
      <dgm:t>
        <a:bodyPr/>
        <a:lstStyle/>
        <a:p>
          <a:r>
            <a:rPr lang="es-CO" b="1" smtClean="0">
              <a:solidFill>
                <a:schemeClr val="tx1"/>
              </a:solidFill>
              <a:latin typeface="Arial Narrow" panose="020B0606020202030204" pitchFamily="34" charset="0"/>
            </a:rPr>
            <a:t>14 mantuvieron área</a:t>
          </a:r>
        </a:p>
        <a:p>
          <a:r>
            <a:rPr lang="es-CO" b="1" smtClean="0">
              <a:solidFill>
                <a:schemeClr val="tx1"/>
              </a:solidFill>
              <a:latin typeface="Arial Narrow" panose="020B0606020202030204" pitchFamily="34" charset="0"/>
            </a:rPr>
            <a:t>(</a:t>
          </a:r>
          <a:r>
            <a:rPr lang="es-CO" b="1" i="0" u="none" smtClean="0">
              <a:solidFill>
                <a:schemeClr val="tx1"/>
              </a:solidFill>
              <a:latin typeface="Arial Narrow" panose="020B0606020202030204" pitchFamily="34" charset="0"/>
            </a:rPr>
            <a:t>662.457,90  ha)</a:t>
          </a:r>
          <a:endParaRPr lang="es-CO" b="1" dirty="0">
            <a:solidFill>
              <a:schemeClr val="tx1"/>
            </a:solidFill>
            <a:latin typeface="Arial Narrow" panose="020B0606020202030204" pitchFamily="34" charset="0"/>
          </a:endParaRPr>
        </a:p>
      </dgm:t>
    </dgm:pt>
    <dgm:pt modelId="{20E4E6AB-1338-4475-9218-AFF1C888F01D}" type="parTrans" cxnId="{F9DC35CE-3CA3-44E0-BB91-25ACAC61BD0B}">
      <dgm:prSet/>
      <dgm:spPr/>
      <dgm:t>
        <a:bodyPr/>
        <a:lstStyle/>
        <a:p>
          <a:endParaRPr lang="es-CO" b="1">
            <a:solidFill>
              <a:schemeClr val="tx1"/>
            </a:solidFill>
            <a:latin typeface="Arial Narrow" panose="020B0606020202030204" pitchFamily="34" charset="0"/>
          </a:endParaRPr>
        </a:p>
      </dgm:t>
    </dgm:pt>
    <dgm:pt modelId="{E4E59553-BE74-4D8D-8697-FB478BEE0933}" type="sibTrans" cxnId="{F9DC35CE-3CA3-44E0-BB91-25ACAC61BD0B}">
      <dgm:prSet/>
      <dgm:spPr/>
      <dgm:t>
        <a:bodyPr/>
        <a:lstStyle/>
        <a:p>
          <a:endParaRPr lang="es-CO" b="1">
            <a:solidFill>
              <a:schemeClr val="tx1"/>
            </a:solidFill>
            <a:latin typeface="Arial Narrow" panose="020B0606020202030204" pitchFamily="34" charset="0"/>
          </a:endParaRPr>
        </a:p>
      </dgm:t>
    </dgm:pt>
    <dgm:pt modelId="{6263ECD3-5D46-4FB1-AD2B-E106938B462B}">
      <dgm:prSet/>
      <dgm:spPr/>
      <dgm:t>
        <a:bodyPr/>
        <a:lstStyle/>
        <a:p>
          <a:r>
            <a:rPr lang="es-CO" b="1" smtClean="0">
              <a:solidFill>
                <a:schemeClr val="tx1"/>
              </a:solidFill>
              <a:latin typeface="Arial Narrow" panose="020B0606020202030204" pitchFamily="34" charset="0"/>
            </a:rPr>
            <a:t>Pasaron de 251.755,09 ha a 103.917,07 ha, liberando 147.838,02 ha</a:t>
          </a:r>
          <a:endParaRPr lang="es-CO" b="1" dirty="0">
            <a:solidFill>
              <a:schemeClr val="tx1"/>
            </a:solidFill>
            <a:latin typeface="Arial Narrow" panose="020B0606020202030204" pitchFamily="34" charset="0"/>
          </a:endParaRPr>
        </a:p>
      </dgm:t>
    </dgm:pt>
    <dgm:pt modelId="{5D43BAE2-2A92-44C4-B9F6-2445F09AED50}" type="parTrans" cxnId="{27558E7B-1F62-45EE-99B7-587D45ACB2F0}">
      <dgm:prSet/>
      <dgm:spPr/>
      <dgm:t>
        <a:bodyPr/>
        <a:lstStyle/>
        <a:p>
          <a:endParaRPr lang="es-CO" b="1">
            <a:solidFill>
              <a:schemeClr val="tx1"/>
            </a:solidFill>
          </a:endParaRPr>
        </a:p>
      </dgm:t>
    </dgm:pt>
    <dgm:pt modelId="{69A63DF8-B932-4DDD-9C48-D182FA4C328D}" type="sibTrans" cxnId="{27558E7B-1F62-45EE-99B7-587D45ACB2F0}">
      <dgm:prSet/>
      <dgm:spPr/>
      <dgm:t>
        <a:bodyPr/>
        <a:lstStyle/>
        <a:p>
          <a:endParaRPr lang="es-CO" b="1">
            <a:solidFill>
              <a:schemeClr val="tx1"/>
            </a:solidFill>
          </a:endParaRPr>
        </a:p>
      </dgm:t>
    </dgm:pt>
    <dgm:pt modelId="{51F26ED7-E7CB-4295-BD32-FF9569E2A234}">
      <dgm:prSet/>
      <dgm:spPr/>
      <dgm:t>
        <a:bodyPr/>
        <a:lstStyle/>
        <a:p>
          <a:r>
            <a:rPr lang="es-CO" b="1" smtClean="0">
              <a:solidFill>
                <a:schemeClr val="tx1"/>
              </a:solidFill>
              <a:latin typeface="Arial Narrow" panose="020B0606020202030204" pitchFamily="34" charset="0"/>
            </a:rPr>
            <a:t>Paso de 296,03 ha a 729,10 ha, aumentado su área en 433,07 ha</a:t>
          </a:r>
          <a:endParaRPr lang="es-CO" b="1" dirty="0">
            <a:solidFill>
              <a:schemeClr val="tx1"/>
            </a:solidFill>
            <a:latin typeface="Arial Narrow" panose="020B0606020202030204" pitchFamily="34" charset="0"/>
          </a:endParaRPr>
        </a:p>
      </dgm:t>
    </dgm:pt>
    <dgm:pt modelId="{0E58ECBA-CC55-40CD-9157-BE3B63082F83}" type="parTrans" cxnId="{F5A86B30-9694-4343-BD20-F5DB446414EC}">
      <dgm:prSet/>
      <dgm:spPr/>
      <dgm:t>
        <a:bodyPr/>
        <a:lstStyle/>
        <a:p>
          <a:endParaRPr lang="es-CO" b="1">
            <a:solidFill>
              <a:schemeClr val="tx1"/>
            </a:solidFill>
          </a:endParaRPr>
        </a:p>
      </dgm:t>
    </dgm:pt>
    <dgm:pt modelId="{10C77250-40F9-4F9F-AFBA-E2238A42F08B}" type="sibTrans" cxnId="{F5A86B30-9694-4343-BD20-F5DB446414EC}">
      <dgm:prSet/>
      <dgm:spPr/>
      <dgm:t>
        <a:bodyPr/>
        <a:lstStyle/>
        <a:p>
          <a:endParaRPr lang="es-CO" b="1">
            <a:solidFill>
              <a:schemeClr val="tx1"/>
            </a:solidFill>
          </a:endParaRPr>
        </a:p>
      </dgm:t>
    </dgm:pt>
    <dgm:pt modelId="{3E7EA211-B53B-41D4-86AF-6284D8746F02}">
      <dgm:prSet/>
      <dgm:spPr/>
      <dgm:t>
        <a:bodyPr/>
        <a:lstStyle/>
        <a:p>
          <a:r>
            <a:rPr lang="es-CO" b="1" smtClean="0">
              <a:solidFill>
                <a:schemeClr val="tx1"/>
              </a:solidFill>
              <a:latin typeface="Arial Narrow" panose="020B0606020202030204" pitchFamily="34" charset="0"/>
            </a:rPr>
            <a:t>Pasó de 44.116,32 ha a 74.596,96	-ha, aumentando su área en 30.480,64 ha</a:t>
          </a:r>
          <a:endParaRPr lang="es-CO" b="1" dirty="0">
            <a:solidFill>
              <a:schemeClr val="tx1"/>
            </a:solidFill>
            <a:latin typeface="Arial Narrow" panose="020B0606020202030204" pitchFamily="34" charset="0"/>
          </a:endParaRPr>
        </a:p>
      </dgm:t>
    </dgm:pt>
    <dgm:pt modelId="{D446C45C-8614-491C-9258-D8F701D5A36D}" type="parTrans" cxnId="{F6ABBEAC-999F-4381-A3E7-6F434CBBD0D5}">
      <dgm:prSet/>
      <dgm:spPr/>
      <dgm:t>
        <a:bodyPr/>
        <a:lstStyle/>
        <a:p>
          <a:endParaRPr lang="es-CO" b="1">
            <a:solidFill>
              <a:schemeClr val="tx1"/>
            </a:solidFill>
          </a:endParaRPr>
        </a:p>
      </dgm:t>
    </dgm:pt>
    <dgm:pt modelId="{A350595F-A879-41F6-B7B1-A30B5011F601}" type="sibTrans" cxnId="{F6ABBEAC-999F-4381-A3E7-6F434CBBD0D5}">
      <dgm:prSet/>
      <dgm:spPr/>
      <dgm:t>
        <a:bodyPr/>
        <a:lstStyle/>
        <a:p>
          <a:endParaRPr lang="es-CO" b="1">
            <a:solidFill>
              <a:schemeClr val="tx1"/>
            </a:solidFill>
          </a:endParaRPr>
        </a:p>
      </dgm:t>
    </dgm:pt>
    <dgm:pt modelId="{7312F143-BAD8-4DE7-A187-539B99A1F424}" type="pres">
      <dgm:prSet presAssocID="{E66FBC32-3899-4435-AC8B-A75FFC0DAB56}" presName="diagram" presStyleCnt="0">
        <dgm:presLayoutVars>
          <dgm:chPref val="1"/>
          <dgm:dir/>
          <dgm:animOne val="branch"/>
          <dgm:animLvl val="lvl"/>
          <dgm:resizeHandles val="exact"/>
        </dgm:presLayoutVars>
      </dgm:prSet>
      <dgm:spPr/>
      <dgm:t>
        <a:bodyPr/>
        <a:lstStyle/>
        <a:p>
          <a:endParaRPr lang="es-CO"/>
        </a:p>
      </dgm:t>
    </dgm:pt>
    <dgm:pt modelId="{A5C16945-81FD-443E-A5F9-9BA0FE72741C}" type="pres">
      <dgm:prSet presAssocID="{083061F3-4937-4647-8E1D-520C8D046967}" presName="root1" presStyleCnt="0"/>
      <dgm:spPr/>
      <dgm:t>
        <a:bodyPr/>
        <a:lstStyle/>
        <a:p>
          <a:endParaRPr lang="es-CO"/>
        </a:p>
      </dgm:t>
    </dgm:pt>
    <dgm:pt modelId="{3F1AA19F-80FF-474F-954E-24D8C38964F6}" type="pres">
      <dgm:prSet presAssocID="{083061F3-4937-4647-8E1D-520C8D046967}" presName="LevelOneTextNode" presStyleLbl="node0" presStyleIdx="0" presStyleCnt="1">
        <dgm:presLayoutVars>
          <dgm:chPref val="3"/>
        </dgm:presLayoutVars>
      </dgm:prSet>
      <dgm:spPr/>
      <dgm:t>
        <a:bodyPr/>
        <a:lstStyle/>
        <a:p>
          <a:endParaRPr lang="es-CO"/>
        </a:p>
      </dgm:t>
    </dgm:pt>
    <dgm:pt modelId="{A2496702-391B-452A-BB47-3A09124DDDA9}" type="pres">
      <dgm:prSet presAssocID="{083061F3-4937-4647-8E1D-520C8D046967}" presName="level2hierChild" presStyleCnt="0"/>
      <dgm:spPr/>
      <dgm:t>
        <a:bodyPr/>
        <a:lstStyle/>
        <a:p>
          <a:endParaRPr lang="es-CO"/>
        </a:p>
      </dgm:t>
    </dgm:pt>
    <dgm:pt modelId="{4579CE0E-60E3-4F7F-A390-54BF5B6BFADA}" type="pres">
      <dgm:prSet presAssocID="{C2E66617-091D-47C6-A4F6-10524341F93A}" presName="conn2-1" presStyleLbl="parChTrans1D2" presStyleIdx="0" presStyleCnt="2"/>
      <dgm:spPr/>
      <dgm:t>
        <a:bodyPr/>
        <a:lstStyle/>
        <a:p>
          <a:endParaRPr lang="es-CO"/>
        </a:p>
      </dgm:t>
    </dgm:pt>
    <dgm:pt modelId="{6B67BE8A-9CFE-4B4E-B44D-69F0200F1F33}" type="pres">
      <dgm:prSet presAssocID="{C2E66617-091D-47C6-A4F6-10524341F93A}" presName="connTx" presStyleLbl="parChTrans1D2" presStyleIdx="0" presStyleCnt="2"/>
      <dgm:spPr/>
      <dgm:t>
        <a:bodyPr/>
        <a:lstStyle/>
        <a:p>
          <a:endParaRPr lang="es-CO"/>
        </a:p>
      </dgm:t>
    </dgm:pt>
    <dgm:pt modelId="{80FB1545-F5A2-4025-B081-4F815B7BBF26}" type="pres">
      <dgm:prSet presAssocID="{55A74E3A-77E2-48E5-BF50-C0731E4A7753}" presName="root2" presStyleCnt="0"/>
      <dgm:spPr/>
      <dgm:t>
        <a:bodyPr/>
        <a:lstStyle/>
        <a:p>
          <a:endParaRPr lang="es-CO"/>
        </a:p>
      </dgm:t>
    </dgm:pt>
    <dgm:pt modelId="{BF1B680F-E6A2-417F-B12E-E45F51C59663}" type="pres">
      <dgm:prSet presAssocID="{55A74E3A-77E2-48E5-BF50-C0731E4A7753}" presName="LevelTwoTextNode" presStyleLbl="node2" presStyleIdx="0" presStyleCnt="2" custScaleX="111471" custLinFactNeighborX="-11747">
        <dgm:presLayoutVars>
          <dgm:chPref val="3"/>
        </dgm:presLayoutVars>
      </dgm:prSet>
      <dgm:spPr/>
      <dgm:t>
        <a:bodyPr/>
        <a:lstStyle/>
        <a:p>
          <a:endParaRPr lang="es-CO"/>
        </a:p>
      </dgm:t>
    </dgm:pt>
    <dgm:pt modelId="{8898FE04-9444-4740-A40F-361C396DC7C4}" type="pres">
      <dgm:prSet presAssocID="{55A74E3A-77E2-48E5-BF50-C0731E4A7753}" presName="level3hierChild" presStyleCnt="0"/>
      <dgm:spPr/>
      <dgm:t>
        <a:bodyPr/>
        <a:lstStyle/>
        <a:p>
          <a:endParaRPr lang="es-CO"/>
        </a:p>
      </dgm:t>
    </dgm:pt>
    <dgm:pt modelId="{EC0002E7-5701-4BA2-9A78-D0F78AEB8FC6}" type="pres">
      <dgm:prSet presAssocID="{6703FBEB-B049-4284-9ACF-5682E73D7AD0}" presName="conn2-1" presStyleLbl="parChTrans1D2" presStyleIdx="1" presStyleCnt="2"/>
      <dgm:spPr/>
      <dgm:t>
        <a:bodyPr/>
        <a:lstStyle/>
        <a:p>
          <a:endParaRPr lang="es-CO"/>
        </a:p>
      </dgm:t>
    </dgm:pt>
    <dgm:pt modelId="{19FD4D99-356F-45B7-ABF8-CCFD917D9FB2}" type="pres">
      <dgm:prSet presAssocID="{6703FBEB-B049-4284-9ACF-5682E73D7AD0}" presName="connTx" presStyleLbl="parChTrans1D2" presStyleIdx="1" presStyleCnt="2"/>
      <dgm:spPr/>
      <dgm:t>
        <a:bodyPr/>
        <a:lstStyle/>
        <a:p>
          <a:endParaRPr lang="es-CO"/>
        </a:p>
      </dgm:t>
    </dgm:pt>
    <dgm:pt modelId="{9CE284A8-D89D-4F3B-A803-954AD2526509}" type="pres">
      <dgm:prSet presAssocID="{F3203DB5-8D9F-459C-8EE2-187F38402EDF}" presName="root2" presStyleCnt="0"/>
      <dgm:spPr/>
      <dgm:t>
        <a:bodyPr/>
        <a:lstStyle/>
        <a:p>
          <a:endParaRPr lang="es-CO"/>
        </a:p>
      </dgm:t>
    </dgm:pt>
    <dgm:pt modelId="{E45A3044-8E75-4DDA-9CD6-504665A47A1E}" type="pres">
      <dgm:prSet presAssocID="{F3203DB5-8D9F-459C-8EE2-187F38402EDF}" presName="LevelTwoTextNode" presStyleLbl="node2" presStyleIdx="1" presStyleCnt="2" custScaleX="106025" custLinFactNeighborX="-9230">
        <dgm:presLayoutVars>
          <dgm:chPref val="3"/>
        </dgm:presLayoutVars>
      </dgm:prSet>
      <dgm:spPr/>
      <dgm:t>
        <a:bodyPr/>
        <a:lstStyle/>
        <a:p>
          <a:endParaRPr lang="es-CO"/>
        </a:p>
      </dgm:t>
    </dgm:pt>
    <dgm:pt modelId="{D1E3FFD2-2CB1-400D-B1A6-1230D8D015E8}" type="pres">
      <dgm:prSet presAssocID="{F3203DB5-8D9F-459C-8EE2-187F38402EDF}" presName="level3hierChild" presStyleCnt="0"/>
      <dgm:spPr/>
      <dgm:t>
        <a:bodyPr/>
        <a:lstStyle/>
        <a:p>
          <a:endParaRPr lang="es-CO"/>
        </a:p>
      </dgm:t>
    </dgm:pt>
    <dgm:pt modelId="{EC57DA65-1F15-4DA2-AAEE-87F977D8D2EF}" type="pres">
      <dgm:prSet presAssocID="{D339E83F-E93B-45F4-A3D3-B682F3F43D9F}" presName="conn2-1" presStyleLbl="parChTrans1D3" presStyleIdx="0" presStyleCnt="2"/>
      <dgm:spPr/>
      <dgm:t>
        <a:bodyPr/>
        <a:lstStyle/>
        <a:p>
          <a:endParaRPr lang="es-CO"/>
        </a:p>
      </dgm:t>
    </dgm:pt>
    <dgm:pt modelId="{573D1081-EAB6-4DBA-9D72-E3E0FEA0C007}" type="pres">
      <dgm:prSet presAssocID="{D339E83F-E93B-45F4-A3D3-B682F3F43D9F}" presName="connTx" presStyleLbl="parChTrans1D3" presStyleIdx="0" presStyleCnt="2"/>
      <dgm:spPr/>
      <dgm:t>
        <a:bodyPr/>
        <a:lstStyle/>
        <a:p>
          <a:endParaRPr lang="es-CO"/>
        </a:p>
      </dgm:t>
    </dgm:pt>
    <dgm:pt modelId="{E938191D-8ABD-4937-B6A2-2144DFDDCB60}" type="pres">
      <dgm:prSet presAssocID="{D7F7EC93-6E25-4D28-BA44-12CCB31D5108}" presName="root2" presStyleCnt="0"/>
      <dgm:spPr/>
      <dgm:t>
        <a:bodyPr/>
        <a:lstStyle/>
        <a:p>
          <a:endParaRPr lang="es-CO"/>
        </a:p>
      </dgm:t>
    </dgm:pt>
    <dgm:pt modelId="{7D8091E9-5B8B-44D5-811D-399F87E39D88}" type="pres">
      <dgm:prSet presAssocID="{D7F7EC93-6E25-4D28-BA44-12CCB31D5108}" presName="LevelTwoTextNode" presStyleLbl="node3" presStyleIdx="0" presStyleCnt="2">
        <dgm:presLayoutVars>
          <dgm:chPref val="3"/>
        </dgm:presLayoutVars>
      </dgm:prSet>
      <dgm:spPr/>
      <dgm:t>
        <a:bodyPr/>
        <a:lstStyle/>
        <a:p>
          <a:endParaRPr lang="es-CO"/>
        </a:p>
      </dgm:t>
    </dgm:pt>
    <dgm:pt modelId="{2BBF0965-80E6-40C2-9367-2325E9D2E7E0}" type="pres">
      <dgm:prSet presAssocID="{D7F7EC93-6E25-4D28-BA44-12CCB31D5108}" presName="level3hierChild" presStyleCnt="0"/>
      <dgm:spPr/>
      <dgm:t>
        <a:bodyPr/>
        <a:lstStyle/>
        <a:p>
          <a:endParaRPr lang="es-CO"/>
        </a:p>
      </dgm:t>
    </dgm:pt>
    <dgm:pt modelId="{9B5E4EAF-3C21-47A0-A08C-06C8942D041E}" type="pres">
      <dgm:prSet presAssocID="{1FF0C51F-A628-4099-93EB-3464AB7BD43E}" presName="conn2-1" presStyleLbl="parChTrans1D4" presStyleIdx="0" presStyleCnt="8"/>
      <dgm:spPr/>
      <dgm:t>
        <a:bodyPr/>
        <a:lstStyle/>
        <a:p>
          <a:endParaRPr lang="es-CO"/>
        </a:p>
      </dgm:t>
    </dgm:pt>
    <dgm:pt modelId="{B424F8DA-BE7F-4EAF-BE6C-9C9FB17ABE11}" type="pres">
      <dgm:prSet presAssocID="{1FF0C51F-A628-4099-93EB-3464AB7BD43E}" presName="connTx" presStyleLbl="parChTrans1D4" presStyleIdx="0" presStyleCnt="8"/>
      <dgm:spPr/>
      <dgm:t>
        <a:bodyPr/>
        <a:lstStyle/>
        <a:p>
          <a:endParaRPr lang="es-CO"/>
        </a:p>
      </dgm:t>
    </dgm:pt>
    <dgm:pt modelId="{F566C823-BDC7-45F6-9D95-E9EE5E08EF36}" type="pres">
      <dgm:prSet presAssocID="{F618654D-4A10-468F-93FA-BD1F1AC667AD}" presName="root2" presStyleCnt="0"/>
      <dgm:spPr/>
      <dgm:t>
        <a:bodyPr/>
        <a:lstStyle/>
        <a:p>
          <a:endParaRPr lang="es-CO"/>
        </a:p>
      </dgm:t>
    </dgm:pt>
    <dgm:pt modelId="{831383D9-ACE8-4B07-AADC-9ADCECAC6734}" type="pres">
      <dgm:prSet presAssocID="{F618654D-4A10-468F-93FA-BD1F1AC667AD}" presName="LevelTwoTextNode" presStyleLbl="node4" presStyleIdx="0" presStyleCnt="8">
        <dgm:presLayoutVars>
          <dgm:chPref val="3"/>
        </dgm:presLayoutVars>
      </dgm:prSet>
      <dgm:spPr/>
      <dgm:t>
        <a:bodyPr/>
        <a:lstStyle/>
        <a:p>
          <a:endParaRPr lang="es-CO"/>
        </a:p>
      </dgm:t>
    </dgm:pt>
    <dgm:pt modelId="{46B659B5-9F60-4AEF-9EDC-A029BBD956FC}" type="pres">
      <dgm:prSet presAssocID="{F618654D-4A10-468F-93FA-BD1F1AC667AD}" presName="level3hierChild" presStyleCnt="0"/>
      <dgm:spPr/>
      <dgm:t>
        <a:bodyPr/>
        <a:lstStyle/>
        <a:p>
          <a:endParaRPr lang="es-CO"/>
        </a:p>
      </dgm:t>
    </dgm:pt>
    <dgm:pt modelId="{BF299402-79A5-4E7D-86DB-42779A735263}" type="pres">
      <dgm:prSet presAssocID="{5D43BAE2-2A92-44C4-B9F6-2445F09AED50}" presName="conn2-1" presStyleLbl="parChTrans1D4" presStyleIdx="1" presStyleCnt="8"/>
      <dgm:spPr/>
      <dgm:t>
        <a:bodyPr/>
        <a:lstStyle/>
        <a:p>
          <a:endParaRPr lang="es-CO"/>
        </a:p>
      </dgm:t>
    </dgm:pt>
    <dgm:pt modelId="{AD952CCA-0C86-44F0-A576-BE2C565EC6FA}" type="pres">
      <dgm:prSet presAssocID="{5D43BAE2-2A92-44C4-B9F6-2445F09AED50}" presName="connTx" presStyleLbl="parChTrans1D4" presStyleIdx="1" presStyleCnt="8"/>
      <dgm:spPr/>
      <dgm:t>
        <a:bodyPr/>
        <a:lstStyle/>
        <a:p>
          <a:endParaRPr lang="es-CO"/>
        </a:p>
      </dgm:t>
    </dgm:pt>
    <dgm:pt modelId="{C05F7E6E-C7D0-40D2-A73F-0C46411DF672}" type="pres">
      <dgm:prSet presAssocID="{6263ECD3-5D46-4FB1-AD2B-E106938B462B}" presName="root2" presStyleCnt="0"/>
      <dgm:spPr/>
      <dgm:t>
        <a:bodyPr/>
        <a:lstStyle/>
        <a:p>
          <a:endParaRPr lang="es-CO"/>
        </a:p>
      </dgm:t>
    </dgm:pt>
    <dgm:pt modelId="{F6A5175D-EA16-48BF-93E4-AF2B869DB006}" type="pres">
      <dgm:prSet presAssocID="{6263ECD3-5D46-4FB1-AD2B-E106938B462B}" presName="LevelTwoTextNode" presStyleLbl="node4" presStyleIdx="1" presStyleCnt="8" custScaleX="150674">
        <dgm:presLayoutVars>
          <dgm:chPref val="3"/>
        </dgm:presLayoutVars>
      </dgm:prSet>
      <dgm:spPr/>
      <dgm:t>
        <a:bodyPr/>
        <a:lstStyle/>
        <a:p>
          <a:endParaRPr lang="es-CO"/>
        </a:p>
      </dgm:t>
    </dgm:pt>
    <dgm:pt modelId="{B77B0E51-3136-4E80-BDE9-14F4C587C58C}" type="pres">
      <dgm:prSet presAssocID="{6263ECD3-5D46-4FB1-AD2B-E106938B462B}" presName="level3hierChild" presStyleCnt="0"/>
      <dgm:spPr/>
      <dgm:t>
        <a:bodyPr/>
        <a:lstStyle/>
        <a:p>
          <a:endParaRPr lang="es-CO"/>
        </a:p>
      </dgm:t>
    </dgm:pt>
    <dgm:pt modelId="{39EDF7DB-210C-4780-870A-C8341CABE739}" type="pres">
      <dgm:prSet presAssocID="{6A6AD7EC-DAAF-423F-B607-D8B590136E56}" presName="conn2-1" presStyleLbl="parChTrans1D4" presStyleIdx="2" presStyleCnt="8"/>
      <dgm:spPr/>
      <dgm:t>
        <a:bodyPr/>
        <a:lstStyle/>
        <a:p>
          <a:endParaRPr lang="es-CO"/>
        </a:p>
      </dgm:t>
    </dgm:pt>
    <dgm:pt modelId="{14E78A6E-1095-4207-8665-230CA9B98784}" type="pres">
      <dgm:prSet presAssocID="{6A6AD7EC-DAAF-423F-B607-D8B590136E56}" presName="connTx" presStyleLbl="parChTrans1D4" presStyleIdx="2" presStyleCnt="8"/>
      <dgm:spPr/>
      <dgm:t>
        <a:bodyPr/>
        <a:lstStyle/>
        <a:p>
          <a:endParaRPr lang="es-CO"/>
        </a:p>
      </dgm:t>
    </dgm:pt>
    <dgm:pt modelId="{16F86076-0978-4EFC-AFF1-E9A5704CD746}" type="pres">
      <dgm:prSet presAssocID="{19DC38CC-E690-4E88-92C0-FACF3C957D78}" presName="root2" presStyleCnt="0"/>
      <dgm:spPr/>
      <dgm:t>
        <a:bodyPr/>
        <a:lstStyle/>
        <a:p>
          <a:endParaRPr lang="es-CO"/>
        </a:p>
      </dgm:t>
    </dgm:pt>
    <dgm:pt modelId="{DE0792B3-A430-450C-9DE8-69007777CB7B}" type="pres">
      <dgm:prSet presAssocID="{19DC38CC-E690-4E88-92C0-FACF3C957D78}" presName="LevelTwoTextNode" presStyleLbl="node4" presStyleIdx="2" presStyleCnt="8">
        <dgm:presLayoutVars>
          <dgm:chPref val="3"/>
        </dgm:presLayoutVars>
      </dgm:prSet>
      <dgm:spPr/>
      <dgm:t>
        <a:bodyPr/>
        <a:lstStyle/>
        <a:p>
          <a:endParaRPr lang="es-CO"/>
        </a:p>
      </dgm:t>
    </dgm:pt>
    <dgm:pt modelId="{FE340BF9-5318-4BFB-A241-0699E8C59F06}" type="pres">
      <dgm:prSet presAssocID="{19DC38CC-E690-4E88-92C0-FACF3C957D78}" presName="level3hierChild" presStyleCnt="0"/>
      <dgm:spPr/>
      <dgm:t>
        <a:bodyPr/>
        <a:lstStyle/>
        <a:p>
          <a:endParaRPr lang="es-CO"/>
        </a:p>
      </dgm:t>
    </dgm:pt>
    <dgm:pt modelId="{6A7E71EC-2B71-4743-A495-9047DCEF5BB3}" type="pres">
      <dgm:prSet presAssocID="{0E58ECBA-CC55-40CD-9157-BE3B63082F83}" presName="conn2-1" presStyleLbl="parChTrans1D4" presStyleIdx="3" presStyleCnt="8"/>
      <dgm:spPr/>
      <dgm:t>
        <a:bodyPr/>
        <a:lstStyle/>
        <a:p>
          <a:endParaRPr lang="es-CO"/>
        </a:p>
      </dgm:t>
    </dgm:pt>
    <dgm:pt modelId="{0AD8A284-6ED5-44F2-BB98-9596A0D56579}" type="pres">
      <dgm:prSet presAssocID="{0E58ECBA-CC55-40CD-9157-BE3B63082F83}" presName="connTx" presStyleLbl="parChTrans1D4" presStyleIdx="3" presStyleCnt="8"/>
      <dgm:spPr/>
      <dgm:t>
        <a:bodyPr/>
        <a:lstStyle/>
        <a:p>
          <a:endParaRPr lang="es-CO"/>
        </a:p>
      </dgm:t>
    </dgm:pt>
    <dgm:pt modelId="{2AFF431A-4E0A-411C-9EA5-F7393780CE51}" type="pres">
      <dgm:prSet presAssocID="{51F26ED7-E7CB-4295-BD32-FF9569E2A234}" presName="root2" presStyleCnt="0"/>
      <dgm:spPr/>
      <dgm:t>
        <a:bodyPr/>
        <a:lstStyle/>
        <a:p>
          <a:endParaRPr lang="es-CO"/>
        </a:p>
      </dgm:t>
    </dgm:pt>
    <dgm:pt modelId="{6805704B-C71A-4416-8EFA-E3D2FE3E5D43}" type="pres">
      <dgm:prSet presAssocID="{51F26ED7-E7CB-4295-BD32-FF9569E2A234}" presName="LevelTwoTextNode" presStyleLbl="node4" presStyleIdx="3" presStyleCnt="8" custScaleX="149225">
        <dgm:presLayoutVars>
          <dgm:chPref val="3"/>
        </dgm:presLayoutVars>
      </dgm:prSet>
      <dgm:spPr/>
      <dgm:t>
        <a:bodyPr/>
        <a:lstStyle/>
        <a:p>
          <a:endParaRPr lang="es-CO"/>
        </a:p>
      </dgm:t>
    </dgm:pt>
    <dgm:pt modelId="{EB1A9780-FA44-4790-8CAE-CFF42D2A25DB}" type="pres">
      <dgm:prSet presAssocID="{51F26ED7-E7CB-4295-BD32-FF9569E2A234}" presName="level3hierChild" presStyleCnt="0"/>
      <dgm:spPr/>
      <dgm:t>
        <a:bodyPr/>
        <a:lstStyle/>
        <a:p>
          <a:endParaRPr lang="es-CO"/>
        </a:p>
      </dgm:t>
    </dgm:pt>
    <dgm:pt modelId="{351C87E4-87F7-4E7F-8065-802A5F8B3055}" type="pres">
      <dgm:prSet presAssocID="{3E463322-8407-4E9F-8BE4-A237CF81DF17}" presName="conn2-1" presStyleLbl="parChTrans1D4" presStyleIdx="4" presStyleCnt="8"/>
      <dgm:spPr/>
      <dgm:t>
        <a:bodyPr/>
        <a:lstStyle/>
        <a:p>
          <a:endParaRPr lang="es-CO"/>
        </a:p>
      </dgm:t>
    </dgm:pt>
    <dgm:pt modelId="{2B11545A-BA71-4EE8-A394-83A92C6159C1}" type="pres">
      <dgm:prSet presAssocID="{3E463322-8407-4E9F-8BE4-A237CF81DF17}" presName="connTx" presStyleLbl="parChTrans1D4" presStyleIdx="4" presStyleCnt="8"/>
      <dgm:spPr/>
      <dgm:t>
        <a:bodyPr/>
        <a:lstStyle/>
        <a:p>
          <a:endParaRPr lang="es-CO"/>
        </a:p>
      </dgm:t>
    </dgm:pt>
    <dgm:pt modelId="{E214464B-C461-48F2-9C58-F0C25535301D}" type="pres">
      <dgm:prSet presAssocID="{5B5D4B53-1F8B-4912-AA54-34F36E5F4606}" presName="root2" presStyleCnt="0"/>
      <dgm:spPr/>
      <dgm:t>
        <a:bodyPr/>
        <a:lstStyle/>
        <a:p>
          <a:endParaRPr lang="es-CO"/>
        </a:p>
      </dgm:t>
    </dgm:pt>
    <dgm:pt modelId="{B488F0E7-C257-48D9-8421-583B77523D10}" type="pres">
      <dgm:prSet presAssocID="{5B5D4B53-1F8B-4912-AA54-34F36E5F4606}" presName="LevelTwoTextNode" presStyleLbl="node4" presStyleIdx="4" presStyleCnt="8">
        <dgm:presLayoutVars>
          <dgm:chPref val="3"/>
        </dgm:presLayoutVars>
      </dgm:prSet>
      <dgm:spPr/>
      <dgm:t>
        <a:bodyPr/>
        <a:lstStyle/>
        <a:p>
          <a:endParaRPr lang="es-CO"/>
        </a:p>
      </dgm:t>
    </dgm:pt>
    <dgm:pt modelId="{B93267BE-2C8E-4C45-A49E-2FF9EE66F69A}" type="pres">
      <dgm:prSet presAssocID="{5B5D4B53-1F8B-4912-AA54-34F36E5F4606}" presName="level3hierChild" presStyleCnt="0"/>
      <dgm:spPr/>
      <dgm:t>
        <a:bodyPr/>
        <a:lstStyle/>
        <a:p>
          <a:endParaRPr lang="es-CO"/>
        </a:p>
      </dgm:t>
    </dgm:pt>
    <dgm:pt modelId="{A69E7A03-A7D0-4BE3-9407-2578E214D313}" type="pres">
      <dgm:prSet presAssocID="{5A4E1720-12BA-462E-8A1A-E84FC3FC31F5}" presName="conn2-1" presStyleLbl="parChTrans1D3" presStyleIdx="1" presStyleCnt="2"/>
      <dgm:spPr/>
      <dgm:t>
        <a:bodyPr/>
        <a:lstStyle/>
        <a:p>
          <a:endParaRPr lang="es-CO"/>
        </a:p>
      </dgm:t>
    </dgm:pt>
    <dgm:pt modelId="{56834F99-E3AE-4BF8-96BA-92CD07D702D7}" type="pres">
      <dgm:prSet presAssocID="{5A4E1720-12BA-462E-8A1A-E84FC3FC31F5}" presName="connTx" presStyleLbl="parChTrans1D3" presStyleIdx="1" presStyleCnt="2"/>
      <dgm:spPr/>
      <dgm:t>
        <a:bodyPr/>
        <a:lstStyle/>
        <a:p>
          <a:endParaRPr lang="es-CO"/>
        </a:p>
      </dgm:t>
    </dgm:pt>
    <dgm:pt modelId="{F2623FA8-EA6E-4E22-825E-D1D0E0AB58EC}" type="pres">
      <dgm:prSet presAssocID="{35296521-9642-4CC9-8D61-5DFF02711FC2}" presName="root2" presStyleCnt="0"/>
      <dgm:spPr/>
      <dgm:t>
        <a:bodyPr/>
        <a:lstStyle/>
        <a:p>
          <a:endParaRPr lang="es-CO"/>
        </a:p>
      </dgm:t>
    </dgm:pt>
    <dgm:pt modelId="{28A6E99C-5B28-466D-B915-E25EA12E13F4}" type="pres">
      <dgm:prSet presAssocID="{35296521-9642-4CC9-8D61-5DFF02711FC2}" presName="LevelTwoTextNode" presStyleLbl="node3" presStyleIdx="1" presStyleCnt="2" custLinFactNeighborX="2644" custLinFactNeighborY="-58158">
        <dgm:presLayoutVars>
          <dgm:chPref val="3"/>
        </dgm:presLayoutVars>
      </dgm:prSet>
      <dgm:spPr/>
      <dgm:t>
        <a:bodyPr/>
        <a:lstStyle/>
        <a:p>
          <a:endParaRPr lang="es-CO"/>
        </a:p>
      </dgm:t>
    </dgm:pt>
    <dgm:pt modelId="{497BF5A6-AB29-4A4E-9911-EFB2A112CC91}" type="pres">
      <dgm:prSet presAssocID="{35296521-9642-4CC9-8D61-5DFF02711FC2}" presName="level3hierChild" presStyleCnt="0"/>
      <dgm:spPr/>
      <dgm:t>
        <a:bodyPr/>
        <a:lstStyle/>
        <a:p>
          <a:endParaRPr lang="es-CO"/>
        </a:p>
      </dgm:t>
    </dgm:pt>
    <dgm:pt modelId="{E76FB13B-1029-4192-B370-37F4D02F8E19}" type="pres">
      <dgm:prSet presAssocID="{BC0B2226-5079-400D-9E15-13DFF677DDAE}" presName="conn2-1" presStyleLbl="parChTrans1D4" presStyleIdx="5" presStyleCnt="8"/>
      <dgm:spPr/>
      <dgm:t>
        <a:bodyPr/>
        <a:lstStyle/>
        <a:p>
          <a:endParaRPr lang="es-CO"/>
        </a:p>
      </dgm:t>
    </dgm:pt>
    <dgm:pt modelId="{5CF37BFD-CEC4-41D7-BB1B-22D67043536C}" type="pres">
      <dgm:prSet presAssocID="{BC0B2226-5079-400D-9E15-13DFF677DDAE}" presName="connTx" presStyleLbl="parChTrans1D4" presStyleIdx="5" presStyleCnt="8"/>
      <dgm:spPr/>
      <dgm:t>
        <a:bodyPr/>
        <a:lstStyle/>
        <a:p>
          <a:endParaRPr lang="es-CO"/>
        </a:p>
      </dgm:t>
    </dgm:pt>
    <dgm:pt modelId="{8FA017D3-9C93-492A-AA7B-44F3B310B310}" type="pres">
      <dgm:prSet presAssocID="{F7833889-7710-4979-B55E-6F8EAD13FCA4}" presName="root2" presStyleCnt="0"/>
      <dgm:spPr/>
      <dgm:t>
        <a:bodyPr/>
        <a:lstStyle/>
        <a:p>
          <a:endParaRPr lang="es-CO"/>
        </a:p>
      </dgm:t>
    </dgm:pt>
    <dgm:pt modelId="{C36992FF-F43C-4F73-8C8D-25D3B98A8B3D}" type="pres">
      <dgm:prSet presAssocID="{F7833889-7710-4979-B55E-6F8EAD13FCA4}" presName="LevelTwoTextNode" presStyleLbl="node4" presStyleIdx="5" presStyleCnt="8">
        <dgm:presLayoutVars>
          <dgm:chPref val="3"/>
        </dgm:presLayoutVars>
      </dgm:prSet>
      <dgm:spPr/>
      <dgm:t>
        <a:bodyPr/>
        <a:lstStyle/>
        <a:p>
          <a:endParaRPr lang="es-CO"/>
        </a:p>
      </dgm:t>
    </dgm:pt>
    <dgm:pt modelId="{17821818-4380-4DEC-AB56-5A64E00CD552}" type="pres">
      <dgm:prSet presAssocID="{F7833889-7710-4979-B55E-6F8EAD13FCA4}" presName="level3hierChild" presStyleCnt="0"/>
      <dgm:spPr/>
      <dgm:t>
        <a:bodyPr/>
        <a:lstStyle/>
        <a:p>
          <a:endParaRPr lang="es-CO"/>
        </a:p>
      </dgm:t>
    </dgm:pt>
    <dgm:pt modelId="{8E49998B-74FD-4ACC-A449-748FE11FED5E}" type="pres">
      <dgm:prSet presAssocID="{D446C45C-8614-491C-9258-D8F701D5A36D}" presName="conn2-1" presStyleLbl="parChTrans1D4" presStyleIdx="6" presStyleCnt="8"/>
      <dgm:spPr/>
      <dgm:t>
        <a:bodyPr/>
        <a:lstStyle/>
        <a:p>
          <a:endParaRPr lang="es-CO"/>
        </a:p>
      </dgm:t>
    </dgm:pt>
    <dgm:pt modelId="{FF3A5F02-3BD3-4E34-A889-F7AE0FDC8C79}" type="pres">
      <dgm:prSet presAssocID="{D446C45C-8614-491C-9258-D8F701D5A36D}" presName="connTx" presStyleLbl="parChTrans1D4" presStyleIdx="6" presStyleCnt="8"/>
      <dgm:spPr/>
      <dgm:t>
        <a:bodyPr/>
        <a:lstStyle/>
        <a:p>
          <a:endParaRPr lang="es-CO"/>
        </a:p>
      </dgm:t>
    </dgm:pt>
    <dgm:pt modelId="{DEA41CA8-5036-4B9D-B814-5BECD16BEBD3}" type="pres">
      <dgm:prSet presAssocID="{3E7EA211-B53B-41D4-86AF-6284D8746F02}" presName="root2" presStyleCnt="0"/>
      <dgm:spPr/>
      <dgm:t>
        <a:bodyPr/>
        <a:lstStyle/>
        <a:p>
          <a:endParaRPr lang="es-CO"/>
        </a:p>
      </dgm:t>
    </dgm:pt>
    <dgm:pt modelId="{E85697F7-0D17-47A6-95DF-649388A86D33}" type="pres">
      <dgm:prSet presAssocID="{3E7EA211-B53B-41D4-86AF-6284D8746F02}" presName="LevelTwoTextNode" presStyleLbl="node4" presStyleIdx="6" presStyleCnt="8" custScaleX="162255">
        <dgm:presLayoutVars>
          <dgm:chPref val="3"/>
        </dgm:presLayoutVars>
      </dgm:prSet>
      <dgm:spPr/>
      <dgm:t>
        <a:bodyPr/>
        <a:lstStyle/>
        <a:p>
          <a:endParaRPr lang="es-CO"/>
        </a:p>
      </dgm:t>
    </dgm:pt>
    <dgm:pt modelId="{F9A53749-D4DF-4415-BB81-82432062914A}" type="pres">
      <dgm:prSet presAssocID="{3E7EA211-B53B-41D4-86AF-6284D8746F02}" presName="level3hierChild" presStyleCnt="0"/>
      <dgm:spPr/>
      <dgm:t>
        <a:bodyPr/>
        <a:lstStyle/>
        <a:p>
          <a:endParaRPr lang="es-CO"/>
        </a:p>
      </dgm:t>
    </dgm:pt>
    <dgm:pt modelId="{A471BD0B-A1F8-49E8-96AA-66B7D5963571}" type="pres">
      <dgm:prSet presAssocID="{20E4E6AB-1338-4475-9218-AFF1C888F01D}" presName="conn2-1" presStyleLbl="parChTrans1D4" presStyleIdx="7" presStyleCnt="8"/>
      <dgm:spPr/>
      <dgm:t>
        <a:bodyPr/>
        <a:lstStyle/>
        <a:p>
          <a:endParaRPr lang="es-CO"/>
        </a:p>
      </dgm:t>
    </dgm:pt>
    <dgm:pt modelId="{EB28278B-7876-494C-B7E7-680D8362E6C7}" type="pres">
      <dgm:prSet presAssocID="{20E4E6AB-1338-4475-9218-AFF1C888F01D}" presName="connTx" presStyleLbl="parChTrans1D4" presStyleIdx="7" presStyleCnt="8"/>
      <dgm:spPr/>
      <dgm:t>
        <a:bodyPr/>
        <a:lstStyle/>
        <a:p>
          <a:endParaRPr lang="es-CO"/>
        </a:p>
      </dgm:t>
    </dgm:pt>
    <dgm:pt modelId="{0F9A449A-9E8B-4AC6-A2BE-5C95573A35A3}" type="pres">
      <dgm:prSet presAssocID="{B2B1FDA4-2BC7-4D91-BB1E-FF990B65EEE2}" presName="root2" presStyleCnt="0"/>
      <dgm:spPr/>
      <dgm:t>
        <a:bodyPr/>
        <a:lstStyle/>
        <a:p>
          <a:endParaRPr lang="es-CO"/>
        </a:p>
      </dgm:t>
    </dgm:pt>
    <dgm:pt modelId="{4436F200-50E9-46FC-B60C-0EE6406C7B34}" type="pres">
      <dgm:prSet presAssocID="{B2B1FDA4-2BC7-4D91-BB1E-FF990B65EEE2}" presName="LevelTwoTextNode" presStyleLbl="node4" presStyleIdx="7" presStyleCnt="8">
        <dgm:presLayoutVars>
          <dgm:chPref val="3"/>
        </dgm:presLayoutVars>
      </dgm:prSet>
      <dgm:spPr/>
      <dgm:t>
        <a:bodyPr/>
        <a:lstStyle/>
        <a:p>
          <a:endParaRPr lang="es-CO"/>
        </a:p>
      </dgm:t>
    </dgm:pt>
    <dgm:pt modelId="{F8DDF40C-09B5-4207-BE55-433558CC8379}" type="pres">
      <dgm:prSet presAssocID="{B2B1FDA4-2BC7-4D91-BB1E-FF990B65EEE2}" presName="level3hierChild" presStyleCnt="0"/>
      <dgm:spPr/>
      <dgm:t>
        <a:bodyPr/>
        <a:lstStyle/>
        <a:p>
          <a:endParaRPr lang="es-CO"/>
        </a:p>
      </dgm:t>
    </dgm:pt>
  </dgm:ptLst>
  <dgm:cxnLst>
    <dgm:cxn modelId="{17B45EC4-CDEA-489D-9CF0-5C8251373C42}" type="presOf" srcId="{6703FBEB-B049-4284-9ACF-5682E73D7AD0}" destId="{19FD4D99-356F-45B7-ABF8-CCFD917D9FB2}" srcOrd="1" destOrd="0" presId="urn:microsoft.com/office/officeart/2005/8/layout/hierarchy2"/>
    <dgm:cxn modelId="{D2896F9A-80FC-4799-9BFB-DDEEC4743970}" type="presOf" srcId="{BC0B2226-5079-400D-9E15-13DFF677DDAE}" destId="{5CF37BFD-CEC4-41D7-BB1B-22D67043536C}" srcOrd="1" destOrd="0" presId="urn:microsoft.com/office/officeart/2005/8/layout/hierarchy2"/>
    <dgm:cxn modelId="{971DA3CD-4F41-4C8E-AAEA-9271031369A0}" type="presOf" srcId="{5D43BAE2-2A92-44C4-B9F6-2445F09AED50}" destId="{BF299402-79A5-4E7D-86DB-42779A735263}" srcOrd="0" destOrd="0" presId="urn:microsoft.com/office/officeart/2005/8/layout/hierarchy2"/>
    <dgm:cxn modelId="{DB5F6632-CAA5-4CFC-A70F-CEB86EFF38A2}" srcId="{083061F3-4937-4647-8E1D-520C8D046967}" destId="{F3203DB5-8D9F-459C-8EE2-187F38402EDF}" srcOrd="1" destOrd="0" parTransId="{6703FBEB-B049-4284-9ACF-5682E73D7AD0}" sibTransId="{6199F946-2A1D-4FD2-90D6-E56AFD3D96DF}"/>
    <dgm:cxn modelId="{51A752BC-04FB-4D6F-A76D-83A9B3FE8D96}" type="presOf" srcId="{B2B1FDA4-2BC7-4D91-BB1E-FF990B65EEE2}" destId="{4436F200-50E9-46FC-B60C-0EE6406C7B34}" srcOrd="0" destOrd="0" presId="urn:microsoft.com/office/officeart/2005/8/layout/hierarchy2"/>
    <dgm:cxn modelId="{9E575F1D-8BE4-4F2F-AB42-2B46544069C9}" type="presOf" srcId="{D339E83F-E93B-45F4-A3D3-B682F3F43D9F}" destId="{EC57DA65-1F15-4DA2-AAEE-87F977D8D2EF}" srcOrd="0" destOrd="0" presId="urn:microsoft.com/office/officeart/2005/8/layout/hierarchy2"/>
    <dgm:cxn modelId="{3CE06681-EF5A-4A9C-8610-AA13B75EBD36}" type="presOf" srcId="{C2E66617-091D-47C6-A4F6-10524341F93A}" destId="{6B67BE8A-9CFE-4B4E-B44D-69F0200F1F33}" srcOrd="1" destOrd="0" presId="urn:microsoft.com/office/officeart/2005/8/layout/hierarchy2"/>
    <dgm:cxn modelId="{E0AFEFB2-464D-48C1-B717-B3DD40FBADEF}" type="presOf" srcId="{6263ECD3-5D46-4FB1-AD2B-E106938B462B}" destId="{F6A5175D-EA16-48BF-93E4-AF2B869DB006}" srcOrd="0" destOrd="0" presId="urn:microsoft.com/office/officeart/2005/8/layout/hierarchy2"/>
    <dgm:cxn modelId="{ECE09E1A-2D3E-4260-9E03-35A6608396DD}" type="presOf" srcId="{BC0B2226-5079-400D-9E15-13DFF677DDAE}" destId="{E76FB13B-1029-4192-B370-37F4D02F8E19}" srcOrd="0" destOrd="0" presId="urn:microsoft.com/office/officeart/2005/8/layout/hierarchy2"/>
    <dgm:cxn modelId="{48D0C371-8FDE-499F-8428-2E932A234CE5}" type="presOf" srcId="{D446C45C-8614-491C-9258-D8F701D5A36D}" destId="{8E49998B-74FD-4ACC-A449-748FE11FED5E}" srcOrd="0" destOrd="0" presId="urn:microsoft.com/office/officeart/2005/8/layout/hierarchy2"/>
    <dgm:cxn modelId="{375AB14E-A2AF-4FC7-AAFE-307CC3EB3101}" srcId="{083061F3-4937-4647-8E1D-520C8D046967}" destId="{55A74E3A-77E2-48E5-BF50-C0731E4A7753}" srcOrd="0" destOrd="0" parTransId="{C2E66617-091D-47C6-A4F6-10524341F93A}" sibTransId="{6E455C44-DBB5-4FE4-AA13-42BFBCE2DD91}"/>
    <dgm:cxn modelId="{B7F3E6F8-CC9A-4310-9A32-1A216CFF4CD2}" type="presOf" srcId="{E66FBC32-3899-4435-AC8B-A75FFC0DAB56}" destId="{7312F143-BAD8-4DE7-A187-539B99A1F424}" srcOrd="0" destOrd="0" presId="urn:microsoft.com/office/officeart/2005/8/layout/hierarchy2"/>
    <dgm:cxn modelId="{4C97C305-CAF2-49DA-839A-D4AA9114FEFC}" type="presOf" srcId="{51F26ED7-E7CB-4295-BD32-FF9569E2A234}" destId="{6805704B-C71A-4416-8EFA-E3D2FE3E5D43}" srcOrd="0" destOrd="0" presId="urn:microsoft.com/office/officeart/2005/8/layout/hierarchy2"/>
    <dgm:cxn modelId="{2EFDE026-62EA-47E9-8279-A75113A126A4}" type="presOf" srcId="{083061F3-4937-4647-8E1D-520C8D046967}" destId="{3F1AA19F-80FF-474F-954E-24D8C38964F6}" srcOrd="0" destOrd="0" presId="urn:microsoft.com/office/officeart/2005/8/layout/hierarchy2"/>
    <dgm:cxn modelId="{D622A556-D16C-415A-A637-8B62ADE032B2}" type="presOf" srcId="{3E7EA211-B53B-41D4-86AF-6284D8746F02}" destId="{E85697F7-0D17-47A6-95DF-649388A86D33}" srcOrd="0" destOrd="0" presId="urn:microsoft.com/office/officeart/2005/8/layout/hierarchy2"/>
    <dgm:cxn modelId="{9FDA3D8E-FEB1-4DAE-9BA5-7C8D001BDAA2}" type="presOf" srcId="{19DC38CC-E690-4E88-92C0-FACF3C957D78}" destId="{DE0792B3-A430-450C-9DE8-69007777CB7B}" srcOrd="0" destOrd="0" presId="urn:microsoft.com/office/officeart/2005/8/layout/hierarchy2"/>
    <dgm:cxn modelId="{AF11BDCE-8BAA-453D-A9DC-88CFEAE63EFF}" type="presOf" srcId="{1FF0C51F-A628-4099-93EB-3464AB7BD43E}" destId="{B424F8DA-BE7F-4EAF-BE6C-9C9FB17ABE11}" srcOrd="1" destOrd="0" presId="urn:microsoft.com/office/officeart/2005/8/layout/hierarchy2"/>
    <dgm:cxn modelId="{64BC0A88-9647-4DE0-BCCA-305281DC9533}" srcId="{D7F7EC93-6E25-4D28-BA44-12CCB31D5108}" destId="{F618654D-4A10-468F-93FA-BD1F1AC667AD}" srcOrd="0" destOrd="0" parTransId="{1FF0C51F-A628-4099-93EB-3464AB7BD43E}" sibTransId="{97C7A67F-280B-41C3-BCF7-46A0E7703E1C}"/>
    <dgm:cxn modelId="{F9DC35CE-3CA3-44E0-BB91-25ACAC61BD0B}" srcId="{35296521-9642-4CC9-8D61-5DFF02711FC2}" destId="{B2B1FDA4-2BC7-4D91-BB1E-FF990B65EEE2}" srcOrd="1" destOrd="0" parTransId="{20E4E6AB-1338-4475-9218-AFF1C888F01D}" sibTransId="{E4E59553-BE74-4D8D-8697-FB478BEE0933}"/>
    <dgm:cxn modelId="{80BDB051-8E23-4538-A37C-4C7E156C1521}" type="presOf" srcId="{20E4E6AB-1338-4475-9218-AFF1C888F01D}" destId="{A471BD0B-A1F8-49E8-96AA-66B7D5963571}" srcOrd="0" destOrd="0" presId="urn:microsoft.com/office/officeart/2005/8/layout/hierarchy2"/>
    <dgm:cxn modelId="{E0B30E7D-514A-45D2-9494-1D7E1FE01552}" srcId="{D7F7EC93-6E25-4D28-BA44-12CCB31D5108}" destId="{5B5D4B53-1F8B-4912-AA54-34F36E5F4606}" srcOrd="2" destOrd="0" parTransId="{3E463322-8407-4E9F-8BE4-A237CF81DF17}" sibTransId="{B93074F5-92CE-4D38-98E1-81C5EF9AB8EF}"/>
    <dgm:cxn modelId="{9E3AF430-7854-4B69-A6B9-5D16B1D09C98}" type="presOf" srcId="{1FF0C51F-A628-4099-93EB-3464AB7BD43E}" destId="{9B5E4EAF-3C21-47A0-A08C-06C8942D041E}" srcOrd="0" destOrd="0" presId="urn:microsoft.com/office/officeart/2005/8/layout/hierarchy2"/>
    <dgm:cxn modelId="{C43A9E2F-9100-41FA-B367-E2F9D8D7DCB5}" type="presOf" srcId="{F7833889-7710-4979-B55E-6F8EAD13FCA4}" destId="{C36992FF-F43C-4F73-8C8D-25D3B98A8B3D}" srcOrd="0" destOrd="0" presId="urn:microsoft.com/office/officeart/2005/8/layout/hierarchy2"/>
    <dgm:cxn modelId="{DEE1135D-3346-4E93-83C6-8D92B1B2F3F1}" type="presOf" srcId="{35296521-9642-4CC9-8D61-5DFF02711FC2}" destId="{28A6E99C-5B28-466D-B915-E25EA12E13F4}" srcOrd="0" destOrd="0" presId="urn:microsoft.com/office/officeart/2005/8/layout/hierarchy2"/>
    <dgm:cxn modelId="{1ED81F3F-6DB6-4BA8-B42F-3272B03024A8}" srcId="{D7F7EC93-6E25-4D28-BA44-12CCB31D5108}" destId="{19DC38CC-E690-4E88-92C0-FACF3C957D78}" srcOrd="1" destOrd="0" parTransId="{6A6AD7EC-DAAF-423F-B607-D8B590136E56}" sibTransId="{2E20A746-C2EA-43DA-8125-472E01EAE2EA}"/>
    <dgm:cxn modelId="{5283F08E-A835-4C2D-8FA1-E4870F4ABF94}" srcId="{E66FBC32-3899-4435-AC8B-A75FFC0DAB56}" destId="{083061F3-4937-4647-8E1D-520C8D046967}" srcOrd="0" destOrd="0" parTransId="{F07771EC-88D1-4BD3-8066-6B7700862079}" sibTransId="{022AC924-D7AA-4D65-8DB9-B638EF438D12}"/>
    <dgm:cxn modelId="{81070DA5-DC54-4C51-8D82-33EF96F4E01B}" type="presOf" srcId="{6A6AD7EC-DAAF-423F-B607-D8B590136E56}" destId="{14E78A6E-1095-4207-8665-230CA9B98784}" srcOrd="1" destOrd="0" presId="urn:microsoft.com/office/officeart/2005/8/layout/hierarchy2"/>
    <dgm:cxn modelId="{F4815E22-4E31-4F74-9725-E81927992944}" type="presOf" srcId="{0E58ECBA-CC55-40CD-9157-BE3B63082F83}" destId="{6A7E71EC-2B71-4743-A495-9047DCEF5BB3}" srcOrd="0" destOrd="0" presId="urn:microsoft.com/office/officeart/2005/8/layout/hierarchy2"/>
    <dgm:cxn modelId="{F6ABBEAC-999F-4381-A3E7-6F434CBBD0D5}" srcId="{F7833889-7710-4979-B55E-6F8EAD13FCA4}" destId="{3E7EA211-B53B-41D4-86AF-6284D8746F02}" srcOrd="0" destOrd="0" parTransId="{D446C45C-8614-491C-9258-D8F701D5A36D}" sibTransId="{A350595F-A879-41F6-B7B1-A30B5011F601}"/>
    <dgm:cxn modelId="{411B5D21-C33B-46B8-B4A2-52C59FE2D141}" type="presOf" srcId="{5A4E1720-12BA-462E-8A1A-E84FC3FC31F5}" destId="{56834F99-E3AE-4BF8-96BA-92CD07D702D7}" srcOrd="1" destOrd="0" presId="urn:microsoft.com/office/officeart/2005/8/layout/hierarchy2"/>
    <dgm:cxn modelId="{664EBE61-C09A-401F-9205-5FE2AC9547D9}" type="presOf" srcId="{F3203DB5-8D9F-459C-8EE2-187F38402EDF}" destId="{E45A3044-8E75-4DDA-9CD6-504665A47A1E}" srcOrd="0" destOrd="0" presId="urn:microsoft.com/office/officeart/2005/8/layout/hierarchy2"/>
    <dgm:cxn modelId="{8C2BAA19-F5BB-47AB-8C08-3FFEB305AB52}" type="presOf" srcId="{5A4E1720-12BA-462E-8A1A-E84FC3FC31F5}" destId="{A69E7A03-A7D0-4BE3-9407-2578E214D313}" srcOrd="0" destOrd="0" presId="urn:microsoft.com/office/officeart/2005/8/layout/hierarchy2"/>
    <dgm:cxn modelId="{4A20C955-8FD2-4D46-AA2C-73428480CD2D}" srcId="{F3203DB5-8D9F-459C-8EE2-187F38402EDF}" destId="{35296521-9642-4CC9-8D61-5DFF02711FC2}" srcOrd="1" destOrd="0" parTransId="{5A4E1720-12BA-462E-8A1A-E84FC3FC31F5}" sibTransId="{7B0D062B-7A7C-4E16-9E9D-0D04DA291FFD}"/>
    <dgm:cxn modelId="{F5A86B30-9694-4343-BD20-F5DB446414EC}" srcId="{19DC38CC-E690-4E88-92C0-FACF3C957D78}" destId="{51F26ED7-E7CB-4295-BD32-FF9569E2A234}" srcOrd="0" destOrd="0" parTransId="{0E58ECBA-CC55-40CD-9157-BE3B63082F83}" sibTransId="{10C77250-40F9-4F9F-AFBA-E2238A42F08B}"/>
    <dgm:cxn modelId="{C7083AE1-A7BD-4351-9AAF-216567B29B8E}" type="presOf" srcId="{6703FBEB-B049-4284-9ACF-5682E73D7AD0}" destId="{EC0002E7-5701-4BA2-9A78-D0F78AEB8FC6}" srcOrd="0" destOrd="0" presId="urn:microsoft.com/office/officeart/2005/8/layout/hierarchy2"/>
    <dgm:cxn modelId="{305192CF-418C-4E8C-AE0F-1DB7CB75A0FD}" type="presOf" srcId="{5D43BAE2-2A92-44C4-B9F6-2445F09AED50}" destId="{AD952CCA-0C86-44F0-A576-BE2C565EC6FA}" srcOrd="1" destOrd="0" presId="urn:microsoft.com/office/officeart/2005/8/layout/hierarchy2"/>
    <dgm:cxn modelId="{9B0C2CD5-9A16-4B87-AE57-C520D1C47EBA}" type="presOf" srcId="{20E4E6AB-1338-4475-9218-AFF1C888F01D}" destId="{EB28278B-7876-494C-B7E7-680D8362E6C7}" srcOrd="1" destOrd="0" presId="urn:microsoft.com/office/officeart/2005/8/layout/hierarchy2"/>
    <dgm:cxn modelId="{63A76ECD-FE34-4BD9-91F6-0BAABD93F562}" type="presOf" srcId="{C2E66617-091D-47C6-A4F6-10524341F93A}" destId="{4579CE0E-60E3-4F7F-A390-54BF5B6BFADA}" srcOrd="0" destOrd="0" presId="urn:microsoft.com/office/officeart/2005/8/layout/hierarchy2"/>
    <dgm:cxn modelId="{5017451F-2C40-4D69-925F-DD47CF01CF70}" type="presOf" srcId="{D7F7EC93-6E25-4D28-BA44-12CCB31D5108}" destId="{7D8091E9-5B8B-44D5-811D-399F87E39D88}" srcOrd="0" destOrd="0" presId="urn:microsoft.com/office/officeart/2005/8/layout/hierarchy2"/>
    <dgm:cxn modelId="{5680D6F9-85C2-4A66-80FF-F5E9D6E1E9ED}" srcId="{F3203DB5-8D9F-459C-8EE2-187F38402EDF}" destId="{D7F7EC93-6E25-4D28-BA44-12CCB31D5108}" srcOrd="0" destOrd="0" parTransId="{D339E83F-E93B-45F4-A3D3-B682F3F43D9F}" sibTransId="{DF278544-751B-4DF4-86E8-36541DD8925A}"/>
    <dgm:cxn modelId="{BCB01EAB-EB32-48FF-97B6-299BAD108C30}" type="presOf" srcId="{3E463322-8407-4E9F-8BE4-A237CF81DF17}" destId="{2B11545A-BA71-4EE8-A394-83A92C6159C1}" srcOrd="1" destOrd="0" presId="urn:microsoft.com/office/officeart/2005/8/layout/hierarchy2"/>
    <dgm:cxn modelId="{9F1B2FF4-9FBE-48EA-B1FE-806CD64691AF}" type="presOf" srcId="{55A74E3A-77E2-48E5-BF50-C0731E4A7753}" destId="{BF1B680F-E6A2-417F-B12E-E45F51C59663}" srcOrd="0" destOrd="0" presId="urn:microsoft.com/office/officeart/2005/8/layout/hierarchy2"/>
    <dgm:cxn modelId="{F37C4071-DD59-4728-9471-EB27B39ABA8F}" type="presOf" srcId="{F618654D-4A10-468F-93FA-BD1F1AC667AD}" destId="{831383D9-ACE8-4B07-AADC-9ADCECAC6734}" srcOrd="0" destOrd="0" presId="urn:microsoft.com/office/officeart/2005/8/layout/hierarchy2"/>
    <dgm:cxn modelId="{E6BB9C9E-74B3-4B5D-8A1B-D5E647D66DCA}" type="presOf" srcId="{0E58ECBA-CC55-40CD-9157-BE3B63082F83}" destId="{0AD8A284-6ED5-44F2-BB98-9596A0D56579}" srcOrd="1" destOrd="0" presId="urn:microsoft.com/office/officeart/2005/8/layout/hierarchy2"/>
    <dgm:cxn modelId="{0B2352A6-007A-44C7-A1C3-5CAB17C07D6C}" type="presOf" srcId="{D339E83F-E93B-45F4-A3D3-B682F3F43D9F}" destId="{573D1081-EAB6-4DBA-9D72-E3E0FEA0C007}" srcOrd="1" destOrd="0" presId="urn:microsoft.com/office/officeart/2005/8/layout/hierarchy2"/>
    <dgm:cxn modelId="{7EC19B2F-4B63-428F-A0D6-0440D3A9C5A2}" type="presOf" srcId="{6A6AD7EC-DAAF-423F-B607-D8B590136E56}" destId="{39EDF7DB-210C-4780-870A-C8341CABE739}" srcOrd="0" destOrd="0" presId="urn:microsoft.com/office/officeart/2005/8/layout/hierarchy2"/>
    <dgm:cxn modelId="{40D450DA-1BED-48F6-898E-E708375BBFF8}" type="presOf" srcId="{5B5D4B53-1F8B-4912-AA54-34F36E5F4606}" destId="{B488F0E7-C257-48D9-8421-583B77523D10}" srcOrd="0" destOrd="0" presId="urn:microsoft.com/office/officeart/2005/8/layout/hierarchy2"/>
    <dgm:cxn modelId="{27558E7B-1F62-45EE-99B7-587D45ACB2F0}" srcId="{F618654D-4A10-468F-93FA-BD1F1AC667AD}" destId="{6263ECD3-5D46-4FB1-AD2B-E106938B462B}" srcOrd="0" destOrd="0" parTransId="{5D43BAE2-2A92-44C4-B9F6-2445F09AED50}" sibTransId="{69A63DF8-B932-4DDD-9C48-D182FA4C328D}"/>
    <dgm:cxn modelId="{F089EF17-EA9D-404C-A3CB-269097C9D3CA}" type="presOf" srcId="{D446C45C-8614-491C-9258-D8F701D5A36D}" destId="{FF3A5F02-3BD3-4E34-A889-F7AE0FDC8C79}" srcOrd="1" destOrd="0" presId="urn:microsoft.com/office/officeart/2005/8/layout/hierarchy2"/>
    <dgm:cxn modelId="{8EBE235F-D1EC-41ED-B115-B453D7FFE4C4}" srcId="{35296521-9642-4CC9-8D61-5DFF02711FC2}" destId="{F7833889-7710-4979-B55E-6F8EAD13FCA4}" srcOrd="0" destOrd="0" parTransId="{BC0B2226-5079-400D-9E15-13DFF677DDAE}" sibTransId="{935C1213-35CF-4468-A112-BDAE9B866DCB}"/>
    <dgm:cxn modelId="{6B85A1DB-1FA8-4AE7-BED8-38FBC7FAED70}" type="presOf" srcId="{3E463322-8407-4E9F-8BE4-A237CF81DF17}" destId="{351C87E4-87F7-4E7F-8065-802A5F8B3055}" srcOrd="0" destOrd="0" presId="urn:microsoft.com/office/officeart/2005/8/layout/hierarchy2"/>
    <dgm:cxn modelId="{94627B63-72BA-4E0D-8D88-F1EE29E0D342}" type="presParOf" srcId="{7312F143-BAD8-4DE7-A187-539B99A1F424}" destId="{A5C16945-81FD-443E-A5F9-9BA0FE72741C}" srcOrd="0" destOrd="0" presId="urn:microsoft.com/office/officeart/2005/8/layout/hierarchy2"/>
    <dgm:cxn modelId="{26DEB4B6-FD2F-44F0-B195-16416E10676D}" type="presParOf" srcId="{A5C16945-81FD-443E-A5F9-9BA0FE72741C}" destId="{3F1AA19F-80FF-474F-954E-24D8C38964F6}" srcOrd="0" destOrd="0" presId="urn:microsoft.com/office/officeart/2005/8/layout/hierarchy2"/>
    <dgm:cxn modelId="{9AA18313-C5D7-4ABC-A8A6-EB975B5A4076}" type="presParOf" srcId="{A5C16945-81FD-443E-A5F9-9BA0FE72741C}" destId="{A2496702-391B-452A-BB47-3A09124DDDA9}" srcOrd="1" destOrd="0" presId="urn:microsoft.com/office/officeart/2005/8/layout/hierarchy2"/>
    <dgm:cxn modelId="{AA0EA35A-0C96-4324-AA05-ED52028A8E86}" type="presParOf" srcId="{A2496702-391B-452A-BB47-3A09124DDDA9}" destId="{4579CE0E-60E3-4F7F-A390-54BF5B6BFADA}" srcOrd="0" destOrd="0" presId="urn:microsoft.com/office/officeart/2005/8/layout/hierarchy2"/>
    <dgm:cxn modelId="{4157C866-D499-4B99-9AFB-5170E4D158A2}" type="presParOf" srcId="{4579CE0E-60E3-4F7F-A390-54BF5B6BFADA}" destId="{6B67BE8A-9CFE-4B4E-B44D-69F0200F1F33}" srcOrd="0" destOrd="0" presId="urn:microsoft.com/office/officeart/2005/8/layout/hierarchy2"/>
    <dgm:cxn modelId="{A5AF5BC5-4DB2-42DF-ADFD-CDC587FE77FC}" type="presParOf" srcId="{A2496702-391B-452A-BB47-3A09124DDDA9}" destId="{80FB1545-F5A2-4025-B081-4F815B7BBF26}" srcOrd="1" destOrd="0" presId="urn:microsoft.com/office/officeart/2005/8/layout/hierarchy2"/>
    <dgm:cxn modelId="{8FDF79F8-8FE2-470F-9FF5-8AFC03164E75}" type="presParOf" srcId="{80FB1545-F5A2-4025-B081-4F815B7BBF26}" destId="{BF1B680F-E6A2-417F-B12E-E45F51C59663}" srcOrd="0" destOrd="0" presId="urn:microsoft.com/office/officeart/2005/8/layout/hierarchy2"/>
    <dgm:cxn modelId="{B39D04BD-9748-4309-82EF-AFEEA4FCC546}" type="presParOf" srcId="{80FB1545-F5A2-4025-B081-4F815B7BBF26}" destId="{8898FE04-9444-4740-A40F-361C396DC7C4}" srcOrd="1" destOrd="0" presId="urn:microsoft.com/office/officeart/2005/8/layout/hierarchy2"/>
    <dgm:cxn modelId="{ED19E7D2-4411-4D4D-BDD8-43C62B303BEC}" type="presParOf" srcId="{A2496702-391B-452A-BB47-3A09124DDDA9}" destId="{EC0002E7-5701-4BA2-9A78-D0F78AEB8FC6}" srcOrd="2" destOrd="0" presId="urn:microsoft.com/office/officeart/2005/8/layout/hierarchy2"/>
    <dgm:cxn modelId="{719D7A4B-11B1-4CA6-A95E-C3BD30350057}" type="presParOf" srcId="{EC0002E7-5701-4BA2-9A78-D0F78AEB8FC6}" destId="{19FD4D99-356F-45B7-ABF8-CCFD917D9FB2}" srcOrd="0" destOrd="0" presId="urn:microsoft.com/office/officeart/2005/8/layout/hierarchy2"/>
    <dgm:cxn modelId="{6C6D8845-3093-4E2F-B693-3B579D999461}" type="presParOf" srcId="{A2496702-391B-452A-BB47-3A09124DDDA9}" destId="{9CE284A8-D89D-4F3B-A803-954AD2526509}" srcOrd="3" destOrd="0" presId="urn:microsoft.com/office/officeart/2005/8/layout/hierarchy2"/>
    <dgm:cxn modelId="{7D88EA03-E9F2-41B6-A37C-E0F5684896E2}" type="presParOf" srcId="{9CE284A8-D89D-4F3B-A803-954AD2526509}" destId="{E45A3044-8E75-4DDA-9CD6-504665A47A1E}" srcOrd="0" destOrd="0" presId="urn:microsoft.com/office/officeart/2005/8/layout/hierarchy2"/>
    <dgm:cxn modelId="{5439EB4F-66A1-4319-8C24-0EF0719E381B}" type="presParOf" srcId="{9CE284A8-D89D-4F3B-A803-954AD2526509}" destId="{D1E3FFD2-2CB1-400D-B1A6-1230D8D015E8}" srcOrd="1" destOrd="0" presId="urn:microsoft.com/office/officeart/2005/8/layout/hierarchy2"/>
    <dgm:cxn modelId="{0887C44A-276F-4114-AAA3-5F8361BBFC1F}" type="presParOf" srcId="{D1E3FFD2-2CB1-400D-B1A6-1230D8D015E8}" destId="{EC57DA65-1F15-4DA2-AAEE-87F977D8D2EF}" srcOrd="0" destOrd="0" presId="urn:microsoft.com/office/officeart/2005/8/layout/hierarchy2"/>
    <dgm:cxn modelId="{66CBE0B2-1D05-4500-BE94-61D637257B32}" type="presParOf" srcId="{EC57DA65-1F15-4DA2-AAEE-87F977D8D2EF}" destId="{573D1081-EAB6-4DBA-9D72-E3E0FEA0C007}" srcOrd="0" destOrd="0" presId="urn:microsoft.com/office/officeart/2005/8/layout/hierarchy2"/>
    <dgm:cxn modelId="{1293E49C-DB9A-4D94-8506-DD5AE3BC58C6}" type="presParOf" srcId="{D1E3FFD2-2CB1-400D-B1A6-1230D8D015E8}" destId="{E938191D-8ABD-4937-B6A2-2144DFDDCB60}" srcOrd="1" destOrd="0" presId="urn:microsoft.com/office/officeart/2005/8/layout/hierarchy2"/>
    <dgm:cxn modelId="{71FC7DED-91A4-45E6-BBB6-584A1C346C58}" type="presParOf" srcId="{E938191D-8ABD-4937-B6A2-2144DFDDCB60}" destId="{7D8091E9-5B8B-44D5-811D-399F87E39D88}" srcOrd="0" destOrd="0" presId="urn:microsoft.com/office/officeart/2005/8/layout/hierarchy2"/>
    <dgm:cxn modelId="{4CE77F81-2DBE-427E-9FB9-39C21BE89269}" type="presParOf" srcId="{E938191D-8ABD-4937-B6A2-2144DFDDCB60}" destId="{2BBF0965-80E6-40C2-9367-2325E9D2E7E0}" srcOrd="1" destOrd="0" presId="urn:microsoft.com/office/officeart/2005/8/layout/hierarchy2"/>
    <dgm:cxn modelId="{13807C55-156B-4F92-BE2E-AB49015CABAF}" type="presParOf" srcId="{2BBF0965-80E6-40C2-9367-2325E9D2E7E0}" destId="{9B5E4EAF-3C21-47A0-A08C-06C8942D041E}" srcOrd="0" destOrd="0" presId="urn:microsoft.com/office/officeart/2005/8/layout/hierarchy2"/>
    <dgm:cxn modelId="{8B2F2C48-1149-448F-9A28-D9552DCB53A9}" type="presParOf" srcId="{9B5E4EAF-3C21-47A0-A08C-06C8942D041E}" destId="{B424F8DA-BE7F-4EAF-BE6C-9C9FB17ABE11}" srcOrd="0" destOrd="0" presId="urn:microsoft.com/office/officeart/2005/8/layout/hierarchy2"/>
    <dgm:cxn modelId="{EB51CC34-4929-4F16-9704-E7FC4EACE749}" type="presParOf" srcId="{2BBF0965-80E6-40C2-9367-2325E9D2E7E0}" destId="{F566C823-BDC7-45F6-9D95-E9EE5E08EF36}" srcOrd="1" destOrd="0" presId="urn:microsoft.com/office/officeart/2005/8/layout/hierarchy2"/>
    <dgm:cxn modelId="{4C2C0937-9640-4DC4-AB45-EE9D0622BC47}" type="presParOf" srcId="{F566C823-BDC7-45F6-9D95-E9EE5E08EF36}" destId="{831383D9-ACE8-4B07-AADC-9ADCECAC6734}" srcOrd="0" destOrd="0" presId="urn:microsoft.com/office/officeart/2005/8/layout/hierarchy2"/>
    <dgm:cxn modelId="{69919E90-C5F4-4632-9621-00B5CD3733C2}" type="presParOf" srcId="{F566C823-BDC7-45F6-9D95-E9EE5E08EF36}" destId="{46B659B5-9F60-4AEF-9EDC-A029BBD956FC}" srcOrd="1" destOrd="0" presId="urn:microsoft.com/office/officeart/2005/8/layout/hierarchy2"/>
    <dgm:cxn modelId="{4A032B04-4583-40E6-A46B-AE02DBDD2CA7}" type="presParOf" srcId="{46B659B5-9F60-4AEF-9EDC-A029BBD956FC}" destId="{BF299402-79A5-4E7D-86DB-42779A735263}" srcOrd="0" destOrd="0" presId="urn:microsoft.com/office/officeart/2005/8/layout/hierarchy2"/>
    <dgm:cxn modelId="{11E9A648-754B-428C-832E-4C36F0B93354}" type="presParOf" srcId="{BF299402-79A5-4E7D-86DB-42779A735263}" destId="{AD952CCA-0C86-44F0-A576-BE2C565EC6FA}" srcOrd="0" destOrd="0" presId="urn:microsoft.com/office/officeart/2005/8/layout/hierarchy2"/>
    <dgm:cxn modelId="{0A8F522D-626A-44A8-A436-9F980FC30630}" type="presParOf" srcId="{46B659B5-9F60-4AEF-9EDC-A029BBD956FC}" destId="{C05F7E6E-C7D0-40D2-A73F-0C46411DF672}" srcOrd="1" destOrd="0" presId="urn:microsoft.com/office/officeart/2005/8/layout/hierarchy2"/>
    <dgm:cxn modelId="{40FE130B-0F41-4E01-A776-BF85160726DF}" type="presParOf" srcId="{C05F7E6E-C7D0-40D2-A73F-0C46411DF672}" destId="{F6A5175D-EA16-48BF-93E4-AF2B869DB006}" srcOrd="0" destOrd="0" presId="urn:microsoft.com/office/officeart/2005/8/layout/hierarchy2"/>
    <dgm:cxn modelId="{A615A72D-2A86-49A7-B84A-E863DA42E5BA}" type="presParOf" srcId="{C05F7E6E-C7D0-40D2-A73F-0C46411DF672}" destId="{B77B0E51-3136-4E80-BDE9-14F4C587C58C}" srcOrd="1" destOrd="0" presId="urn:microsoft.com/office/officeart/2005/8/layout/hierarchy2"/>
    <dgm:cxn modelId="{F61E602F-1E99-46F6-B507-96520782F58A}" type="presParOf" srcId="{2BBF0965-80E6-40C2-9367-2325E9D2E7E0}" destId="{39EDF7DB-210C-4780-870A-C8341CABE739}" srcOrd="2" destOrd="0" presId="urn:microsoft.com/office/officeart/2005/8/layout/hierarchy2"/>
    <dgm:cxn modelId="{E86EF379-0776-42A3-B494-60D9990AB37C}" type="presParOf" srcId="{39EDF7DB-210C-4780-870A-C8341CABE739}" destId="{14E78A6E-1095-4207-8665-230CA9B98784}" srcOrd="0" destOrd="0" presId="urn:microsoft.com/office/officeart/2005/8/layout/hierarchy2"/>
    <dgm:cxn modelId="{A3533DE4-C539-4C28-8BA0-C1B51F82F540}" type="presParOf" srcId="{2BBF0965-80E6-40C2-9367-2325E9D2E7E0}" destId="{16F86076-0978-4EFC-AFF1-E9A5704CD746}" srcOrd="3" destOrd="0" presId="urn:microsoft.com/office/officeart/2005/8/layout/hierarchy2"/>
    <dgm:cxn modelId="{D71B1DF9-CE77-48AA-A762-C90E5E11721E}" type="presParOf" srcId="{16F86076-0978-4EFC-AFF1-E9A5704CD746}" destId="{DE0792B3-A430-450C-9DE8-69007777CB7B}" srcOrd="0" destOrd="0" presId="urn:microsoft.com/office/officeart/2005/8/layout/hierarchy2"/>
    <dgm:cxn modelId="{9959C60D-997B-4CFE-975D-306D4B4AA44F}" type="presParOf" srcId="{16F86076-0978-4EFC-AFF1-E9A5704CD746}" destId="{FE340BF9-5318-4BFB-A241-0699E8C59F06}" srcOrd="1" destOrd="0" presId="urn:microsoft.com/office/officeart/2005/8/layout/hierarchy2"/>
    <dgm:cxn modelId="{3C2DC981-E65F-441B-BA91-C145A4A40640}" type="presParOf" srcId="{FE340BF9-5318-4BFB-A241-0699E8C59F06}" destId="{6A7E71EC-2B71-4743-A495-9047DCEF5BB3}" srcOrd="0" destOrd="0" presId="urn:microsoft.com/office/officeart/2005/8/layout/hierarchy2"/>
    <dgm:cxn modelId="{440B5A52-6702-4635-B070-B4B44D5839AC}" type="presParOf" srcId="{6A7E71EC-2B71-4743-A495-9047DCEF5BB3}" destId="{0AD8A284-6ED5-44F2-BB98-9596A0D56579}" srcOrd="0" destOrd="0" presId="urn:microsoft.com/office/officeart/2005/8/layout/hierarchy2"/>
    <dgm:cxn modelId="{88A30C1B-43D3-4678-BD89-8B5ABBA5FA0E}" type="presParOf" srcId="{FE340BF9-5318-4BFB-A241-0699E8C59F06}" destId="{2AFF431A-4E0A-411C-9EA5-F7393780CE51}" srcOrd="1" destOrd="0" presId="urn:microsoft.com/office/officeart/2005/8/layout/hierarchy2"/>
    <dgm:cxn modelId="{F929208A-47F5-404D-9D88-4BCAD826A4DF}" type="presParOf" srcId="{2AFF431A-4E0A-411C-9EA5-F7393780CE51}" destId="{6805704B-C71A-4416-8EFA-E3D2FE3E5D43}" srcOrd="0" destOrd="0" presId="urn:microsoft.com/office/officeart/2005/8/layout/hierarchy2"/>
    <dgm:cxn modelId="{7C4B12BC-1E49-4A1D-9C08-6AAE99D96E72}" type="presParOf" srcId="{2AFF431A-4E0A-411C-9EA5-F7393780CE51}" destId="{EB1A9780-FA44-4790-8CAE-CFF42D2A25DB}" srcOrd="1" destOrd="0" presId="urn:microsoft.com/office/officeart/2005/8/layout/hierarchy2"/>
    <dgm:cxn modelId="{3B4E5DB4-E936-4D4C-8336-1B033781C620}" type="presParOf" srcId="{2BBF0965-80E6-40C2-9367-2325E9D2E7E0}" destId="{351C87E4-87F7-4E7F-8065-802A5F8B3055}" srcOrd="4" destOrd="0" presId="urn:microsoft.com/office/officeart/2005/8/layout/hierarchy2"/>
    <dgm:cxn modelId="{A22AF986-00A7-4157-A902-D475EC70EAA4}" type="presParOf" srcId="{351C87E4-87F7-4E7F-8065-802A5F8B3055}" destId="{2B11545A-BA71-4EE8-A394-83A92C6159C1}" srcOrd="0" destOrd="0" presId="urn:microsoft.com/office/officeart/2005/8/layout/hierarchy2"/>
    <dgm:cxn modelId="{359BBB5E-0472-470E-B3C4-211295BB4C62}" type="presParOf" srcId="{2BBF0965-80E6-40C2-9367-2325E9D2E7E0}" destId="{E214464B-C461-48F2-9C58-F0C25535301D}" srcOrd="5" destOrd="0" presId="urn:microsoft.com/office/officeart/2005/8/layout/hierarchy2"/>
    <dgm:cxn modelId="{19ED0FEE-BF8A-446F-8741-178EFFCF68B1}" type="presParOf" srcId="{E214464B-C461-48F2-9C58-F0C25535301D}" destId="{B488F0E7-C257-48D9-8421-583B77523D10}" srcOrd="0" destOrd="0" presId="urn:microsoft.com/office/officeart/2005/8/layout/hierarchy2"/>
    <dgm:cxn modelId="{33C56EEC-DAC2-47E1-B9F0-0910665D79CF}" type="presParOf" srcId="{E214464B-C461-48F2-9C58-F0C25535301D}" destId="{B93267BE-2C8E-4C45-A49E-2FF9EE66F69A}" srcOrd="1" destOrd="0" presId="urn:microsoft.com/office/officeart/2005/8/layout/hierarchy2"/>
    <dgm:cxn modelId="{0EE3078A-8438-4E2B-8376-5BC3434FC296}" type="presParOf" srcId="{D1E3FFD2-2CB1-400D-B1A6-1230D8D015E8}" destId="{A69E7A03-A7D0-4BE3-9407-2578E214D313}" srcOrd="2" destOrd="0" presId="urn:microsoft.com/office/officeart/2005/8/layout/hierarchy2"/>
    <dgm:cxn modelId="{A39FF772-797E-4CA2-B707-64FA26FB8023}" type="presParOf" srcId="{A69E7A03-A7D0-4BE3-9407-2578E214D313}" destId="{56834F99-E3AE-4BF8-96BA-92CD07D702D7}" srcOrd="0" destOrd="0" presId="urn:microsoft.com/office/officeart/2005/8/layout/hierarchy2"/>
    <dgm:cxn modelId="{F6DCD1FA-9A7B-448B-AE2B-F0DF2D781589}" type="presParOf" srcId="{D1E3FFD2-2CB1-400D-B1A6-1230D8D015E8}" destId="{F2623FA8-EA6E-4E22-825E-D1D0E0AB58EC}" srcOrd="3" destOrd="0" presId="urn:microsoft.com/office/officeart/2005/8/layout/hierarchy2"/>
    <dgm:cxn modelId="{7EF053C3-CAB3-42B9-964E-273B14A3CA61}" type="presParOf" srcId="{F2623FA8-EA6E-4E22-825E-D1D0E0AB58EC}" destId="{28A6E99C-5B28-466D-B915-E25EA12E13F4}" srcOrd="0" destOrd="0" presId="urn:microsoft.com/office/officeart/2005/8/layout/hierarchy2"/>
    <dgm:cxn modelId="{DC4CDEF6-0799-4700-B8CE-A55B3CE0A35D}" type="presParOf" srcId="{F2623FA8-EA6E-4E22-825E-D1D0E0AB58EC}" destId="{497BF5A6-AB29-4A4E-9911-EFB2A112CC91}" srcOrd="1" destOrd="0" presId="urn:microsoft.com/office/officeart/2005/8/layout/hierarchy2"/>
    <dgm:cxn modelId="{08F14CD5-0701-4A10-AC17-C86ACA90F275}" type="presParOf" srcId="{497BF5A6-AB29-4A4E-9911-EFB2A112CC91}" destId="{E76FB13B-1029-4192-B370-37F4D02F8E19}" srcOrd="0" destOrd="0" presId="urn:microsoft.com/office/officeart/2005/8/layout/hierarchy2"/>
    <dgm:cxn modelId="{EE39C29D-B287-45FB-A0F4-1F28A223C642}" type="presParOf" srcId="{E76FB13B-1029-4192-B370-37F4D02F8E19}" destId="{5CF37BFD-CEC4-41D7-BB1B-22D67043536C}" srcOrd="0" destOrd="0" presId="urn:microsoft.com/office/officeart/2005/8/layout/hierarchy2"/>
    <dgm:cxn modelId="{D4C0ACA1-FF7A-4EBA-8E8F-BCB39D812D8F}" type="presParOf" srcId="{497BF5A6-AB29-4A4E-9911-EFB2A112CC91}" destId="{8FA017D3-9C93-492A-AA7B-44F3B310B310}" srcOrd="1" destOrd="0" presId="urn:microsoft.com/office/officeart/2005/8/layout/hierarchy2"/>
    <dgm:cxn modelId="{8E576B10-E753-4647-B45B-38F1B456FB95}" type="presParOf" srcId="{8FA017D3-9C93-492A-AA7B-44F3B310B310}" destId="{C36992FF-F43C-4F73-8C8D-25D3B98A8B3D}" srcOrd="0" destOrd="0" presId="urn:microsoft.com/office/officeart/2005/8/layout/hierarchy2"/>
    <dgm:cxn modelId="{90D16047-666E-4DDA-AD41-87B9D92434A3}" type="presParOf" srcId="{8FA017D3-9C93-492A-AA7B-44F3B310B310}" destId="{17821818-4380-4DEC-AB56-5A64E00CD552}" srcOrd="1" destOrd="0" presId="urn:microsoft.com/office/officeart/2005/8/layout/hierarchy2"/>
    <dgm:cxn modelId="{36110F5D-1411-4F0C-89E6-064BBE49597F}" type="presParOf" srcId="{17821818-4380-4DEC-AB56-5A64E00CD552}" destId="{8E49998B-74FD-4ACC-A449-748FE11FED5E}" srcOrd="0" destOrd="0" presId="urn:microsoft.com/office/officeart/2005/8/layout/hierarchy2"/>
    <dgm:cxn modelId="{637C8A0A-01F8-4AA9-86FE-73227CBA8BEA}" type="presParOf" srcId="{8E49998B-74FD-4ACC-A449-748FE11FED5E}" destId="{FF3A5F02-3BD3-4E34-A889-F7AE0FDC8C79}" srcOrd="0" destOrd="0" presId="urn:microsoft.com/office/officeart/2005/8/layout/hierarchy2"/>
    <dgm:cxn modelId="{B048C63B-C7D3-4F6D-ABF1-B742093FA5CE}" type="presParOf" srcId="{17821818-4380-4DEC-AB56-5A64E00CD552}" destId="{DEA41CA8-5036-4B9D-B814-5BECD16BEBD3}" srcOrd="1" destOrd="0" presId="urn:microsoft.com/office/officeart/2005/8/layout/hierarchy2"/>
    <dgm:cxn modelId="{3B83CB0E-C843-4CA4-AD2B-16806BA0419C}" type="presParOf" srcId="{DEA41CA8-5036-4B9D-B814-5BECD16BEBD3}" destId="{E85697F7-0D17-47A6-95DF-649388A86D33}" srcOrd="0" destOrd="0" presId="urn:microsoft.com/office/officeart/2005/8/layout/hierarchy2"/>
    <dgm:cxn modelId="{B861C8F2-1126-4D8D-8872-60E8E0890A82}" type="presParOf" srcId="{DEA41CA8-5036-4B9D-B814-5BECD16BEBD3}" destId="{F9A53749-D4DF-4415-BB81-82432062914A}" srcOrd="1" destOrd="0" presId="urn:microsoft.com/office/officeart/2005/8/layout/hierarchy2"/>
    <dgm:cxn modelId="{A6C6651F-24BD-4B07-8113-230D3EE07D4F}" type="presParOf" srcId="{497BF5A6-AB29-4A4E-9911-EFB2A112CC91}" destId="{A471BD0B-A1F8-49E8-96AA-66B7D5963571}" srcOrd="2" destOrd="0" presId="urn:microsoft.com/office/officeart/2005/8/layout/hierarchy2"/>
    <dgm:cxn modelId="{F96F46B7-228D-442A-A093-746E42813693}" type="presParOf" srcId="{A471BD0B-A1F8-49E8-96AA-66B7D5963571}" destId="{EB28278B-7876-494C-B7E7-680D8362E6C7}" srcOrd="0" destOrd="0" presId="urn:microsoft.com/office/officeart/2005/8/layout/hierarchy2"/>
    <dgm:cxn modelId="{DE2D929C-45E2-45C0-B0D8-75F51A01B3F5}" type="presParOf" srcId="{497BF5A6-AB29-4A4E-9911-EFB2A112CC91}" destId="{0F9A449A-9E8B-4AC6-A2BE-5C95573A35A3}" srcOrd="3" destOrd="0" presId="urn:microsoft.com/office/officeart/2005/8/layout/hierarchy2"/>
    <dgm:cxn modelId="{DCF541AE-9042-4AB0-A66F-FE620BADDFCE}" type="presParOf" srcId="{0F9A449A-9E8B-4AC6-A2BE-5C95573A35A3}" destId="{4436F200-50E9-46FC-B60C-0EE6406C7B34}" srcOrd="0" destOrd="0" presId="urn:microsoft.com/office/officeart/2005/8/layout/hierarchy2"/>
    <dgm:cxn modelId="{2C6E5F88-A07D-41DA-8AA4-6AD88E89F756}" type="presParOf" srcId="{0F9A449A-9E8B-4AC6-A2BE-5C95573A35A3}" destId="{F8DDF40C-09B5-4207-BE55-433558CC8379}" srcOrd="1" destOrd="0" presId="urn:microsoft.com/office/officeart/2005/8/layout/hierarchy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AA19F-80FF-474F-954E-24D8C38964F6}">
      <dsp:nvSpPr>
        <dsp:cNvPr id="0" name=""/>
        <dsp:cNvSpPr/>
      </dsp:nvSpPr>
      <dsp:spPr>
        <a:xfrm>
          <a:off x="54402" y="761003"/>
          <a:ext cx="755660" cy="377830"/>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35 polígonos</a:t>
          </a:r>
        </a:p>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1.217.656,37 ha</a:t>
          </a:r>
          <a:endParaRPr lang="es-CO" sz="600" b="1" kern="1200" dirty="0">
            <a:solidFill>
              <a:schemeClr val="tx1"/>
            </a:solidFill>
            <a:latin typeface="Arial Narrow" panose="020B0606020202030204" pitchFamily="34" charset="0"/>
          </a:endParaRPr>
        </a:p>
      </dsp:txBody>
      <dsp:txXfrm>
        <a:off x="65468" y="772069"/>
        <a:ext cx="733528" cy="355698"/>
      </dsp:txXfrm>
    </dsp:sp>
    <dsp:sp modelId="{4579CE0E-60E3-4F7F-A390-54BF5B6BFADA}">
      <dsp:nvSpPr>
        <dsp:cNvPr id="0" name=""/>
        <dsp:cNvSpPr/>
      </dsp:nvSpPr>
      <dsp:spPr>
        <a:xfrm rot="18870028">
          <a:off x="764513" y="825230"/>
          <a:ext cx="304597" cy="32124"/>
        </a:xfrm>
        <a:custGeom>
          <a:avLst/>
          <a:gdLst/>
          <a:ahLst/>
          <a:cxnLst/>
          <a:rect l="0" t="0" r="0" b="0"/>
          <a:pathLst>
            <a:path>
              <a:moveTo>
                <a:pt x="0" y="16062"/>
              </a:moveTo>
              <a:lnTo>
                <a:pt x="304597" y="16062"/>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909196" y="833677"/>
        <a:ext cx="15229" cy="15229"/>
      </dsp:txXfrm>
    </dsp:sp>
    <dsp:sp modelId="{BF1B680F-E6A2-417F-B12E-E45F51C59663}">
      <dsp:nvSpPr>
        <dsp:cNvPr id="0" name=""/>
        <dsp:cNvSpPr/>
      </dsp:nvSpPr>
      <dsp:spPr>
        <a:xfrm>
          <a:off x="1023560" y="543751"/>
          <a:ext cx="842342" cy="377830"/>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6 declarados</a:t>
          </a:r>
        </a:p>
        <a:p>
          <a:pPr lvl="0" algn="ctr" defTabSz="266700">
            <a:lnSpc>
              <a:spcPct val="90000"/>
            </a:lnSpc>
            <a:spcBef>
              <a:spcPct val="0"/>
            </a:spcBef>
            <a:spcAft>
              <a:spcPct val="35000"/>
            </a:spcAft>
          </a:pPr>
          <a:r>
            <a:rPr lang="es-CO" sz="600" b="1" i="0" u="none" kern="1200" smtClean="0">
              <a:solidFill>
                <a:schemeClr val="tx1"/>
              </a:solidFill>
              <a:latin typeface="Arial Narrow" panose="020B0606020202030204" pitchFamily="34" charset="0"/>
            </a:rPr>
            <a:t>(94.912,14 ha)</a:t>
          </a:r>
          <a:endParaRPr lang="es-CO" sz="600" b="1" kern="1200" dirty="0">
            <a:solidFill>
              <a:schemeClr val="tx1"/>
            </a:solidFill>
            <a:latin typeface="Arial Narrow" panose="020B0606020202030204" pitchFamily="34" charset="0"/>
          </a:endParaRPr>
        </a:p>
      </dsp:txBody>
      <dsp:txXfrm>
        <a:off x="1034626" y="554817"/>
        <a:ext cx="820210" cy="355698"/>
      </dsp:txXfrm>
    </dsp:sp>
    <dsp:sp modelId="{EC0002E7-5701-4BA2-9A78-D0F78AEB8FC6}">
      <dsp:nvSpPr>
        <dsp:cNvPr id="0" name=""/>
        <dsp:cNvSpPr/>
      </dsp:nvSpPr>
      <dsp:spPr>
        <a:xfrm rot="2583374">
          <a:off x="767212" y="1042482"/>
          <a:ext cx="318217" cy="32124"/>
        </a:xfrm>
        <a:custGeom>
          <a:avLst/>
          <a:gdLst/>
          <a:ahLst/>
          <a:cxnLst/>
          <a:rect l="0" t="0" r="0" b="0"/>
          <a:pathLst>
            <a:path>
              <a:moveTo>
                <a:pt x="0" y="16062"/>
              </a:moveTo>
              <a:lnTo>
                <a:pt x="318217" y="16062"/>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918366" y="1050589"/>
        <a:ext cx="15910" cy="15910"/>
      </dsp:txXfrm>
    </dsp:sp>
    <dsp:sp modelId="{E45A3044-8E75-4DDA-9CD6-504665A47A1E}">
      <dsp:nvSpPr>
        <dsp:cNvPr id="0" name=""/>
        <dsp:cNvSpPr/>
      </dsp:nvSpPr>
      <dsp:spPr>
        <a:xfrm>
          <a:off x="1042579" y="978256"/>
          <a:ext cx="801189" cy="377830"/>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29 Procesos En Ruta Declaratoria</a:t>
          </a:r>
        </a:p>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a:t>
          </a:r>
          <a:r>
            <a:rPr lang="es-CO" sz="600" b="1" i="0" u="none" kern="1200" smtClean="0">
              <a:solidFill>
                <a:schemeClr val="tx1"/>
              </a:solidFill>
              <a:latin typeface="Arial Narrow" panose="020B0606020202030204" pitchFamily="34" charset="0"/>
            </a:rPr>
            <a:t>984.007,42 ha)</a:t>
          </a:r>
          <a:endParaRPr lang="es-CO" sz="600" b="1" kern="1200" dirty="0">
            <a:solidFill>
              <a:schemeClr val="tx1"/>
            </a:solidFill>
            <a:latin typeface="Arial Narrow" panose="020B0606020202030204" pitchFamily="34" charset="0"/>
          </a:endParaRPr>
        </a:p>
      </dsp:txBody>
      <dsp:txXfrm>
        <a:off x="1053645" y="989322"/>
        <a:ext cx="779057" cy="355698"/>
      </dsp:txXfrm>
    </dsp:sp>
    <dsp:sp modelId="{EC57DA65-1F15-4DA2-AAEE-87F977D8D2EF}">
      <dsp:nvSpPr>
        <dsp:cNvPr id="0" name=""/>
        <dsp:cNvSpPr/>
      </dsp:nvSpPr>
      <dsp:spPr>
        <a:xfrm rot="18264526">
          <a:off x="1700615" y="879543"/>
          <a:ext cx="658319" cy="32124"/>
        </a:xfrm>
        <a:custGeom>
          <a:avLst/>
          <a:gdLst/>
          <a:ahLst/>
          <a:cxnLst/>
          <a:rect l="0" t="0" r="0" b="0"/>
          <a:pathLst>
            <a:path>
              <a:moveTo>
                <a:pt x="0" y="16062"/>
              </a:moveTo>
              <a:lnTo>
                <a:pt x="658319" y="1606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2013316" y="879147"/>
        <a:ext cx="32915" cy="32915"/>
      </dsp:txXfrm>
    </dsp:sp>
    <dsp:sp modelId="{7D8091E9-5B8B-44D5-811D-399F87E39D88}">
      <dsp:nvSpPr>
        <dsp:cNvPr id="0" name=""/>
        <dsp:cNvSpPr/>
      </dsp:nvSpPr>
      <dsp:spPr>
        <a:xfrm>
          <a:off x="2215780" y="435125"/>
          <a:ext cx="755660" cy="377830"/>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14 En Fase de Declaratoria</a:t>
          </a:r>
        </a:p>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a:t>
          </a:r>
          <a:r>
            <a:rPr lang="es-CO" sz="600" b="1" i="0" u="none" kern="1200" smtClean="0">
              <a:solidFill>
                <a:schemeClr val="tx1"/>
              </a:solidFill>
              <a:latin typeface="Arial Narrow" panose="020B0606020202030204" pitchFamily="34" charset="0"/>
            </a:rPr>
            <a:t>246.952,56  ha)</a:t>
          </a:r>
          <a:endParaRPr lang="es-CO" sz="600" b="1" kern="1200" dirty="0">
            <a:solidFill>
              <a:schemeClr val="tx1"/>
            </a:solidFill>
            <a:latin typeface="Arial Narrow" panose="020B0606020202030204" pitchFamily="34" charset="0"/>
          </a:endParaRPr>
        </a:p>
      </dsp:txBody>
      <dsp:txXfrm>
        <a:off x="2226846" y="446191"/>
        <a:ext cx="733528" cy="355698"/>
      </dsp:txXfrm>
    </dsp:sp>
    <dsp:sp modelId="{9B5E4EAF-3C21-47A0-A08C-06C8942D041E}">
      <dsp:nvSpPr>
        <dsp:cNvPr id="0" name=""/>
        <dsp:cNvSpPr/>
      </dsp:nvSpPr>
      <dsp:spPr>
        <a:xfrm rot="18289469">
          <a:off x="2857923" y="390725"/>
          <a:ext cx="529299" cy="32124"/>
        </a:xfrm>
        <a:custGeom>
          <a:avLst/>
          <a:gdLst/>
          <a:ahLst/>
          <a:cxnLst/>
          <a:rect l="0" t="0" r="0" b="0"/>
          <a:pathLst>
            <a:path>
              <a:moveTo>
                <a:pt x="0" y="16062"/>
              </a:moveTo>
              <a:lnTo>
                <a:pt x="529299"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3109340" y="393555"/>
        <a:ext cx="26464" cy="26464"/>
      </dsp:txXfrm>
    </dsp:sp>
    <dsp:sp modelId="{831383D9-ACE8-4B07-AADC-9ADCECAC6734}">
      <dsp:nvSpPr>
        <dsp:cNvPr id="0" name=""/>
        <dsp:cNvSpPr/>
      </dsp:nvSpPr>
      <dsp:spPr>
        <a:xfrm>
          <a:off x="3273705" y="620"/>
          <a:ext cx="755660"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5 disminuyeron área</a:t>
          </a:r>
          <a:endParaRPr lang="es-CO" sz="600" b="1" kern="1200" dirty="0" smtClean="0">
            <a:solidFill>
              <a:schemeClr val="tx1"/>
            </a:solidFill>
            <a:latin typeface="Arial Narrow" panose="020B0606020202030204" pitchFamily="34" charset="0"/>
          </a:endParaRPr>
        </a:p>
      </dsp:txBody>
      <dsp:txXfrm>
        <a:off x="3284771" y="11686"/>
        <a:ext cx="733528" cy="355698"/>
      </dsp:txXfrm>
    </dsp:sp>
    <dsp:sp modelId="{BF299402-79A5-4E7D-86DB-42779A735263}">
      <dsp:nvSpPr>
        <dsp:cNvPr id="0" name=""/>
        <dsp:cNvSpPr/>
      </dsp:nvSpPr>
      <dsp:spPr>
        <a:xfrm>
          <a:off x="4029366" y="173473"/>
          <a:ext cx="302264" cy="32124"/>
        </a:xfrm>
        <a:custGeom>
          <a:avLst/>
          <a:gdLst/>
          <a:ahLst/>
          <a:cxnLst/>
          <a:rect l="0" t="0" r="0" b="0"/>
          <a:pathLst>
            <a:path>
              <a:moveTo>
                <a:pt x="0" y="16062"/>
              </a:moveTo>
              <a:lnTo>
                <a:pt x="302264"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endParaRPr>
        </a:p>
      </dsp:txBody>
      <dsp:txXfrm>
        <a:off x="4172941" y="181978"/>
        <a:ext cx="15113" cy="15113"/>
      </dsp:txXfrm>
    </dsp:sp>
    <dsp:sp modelId="{F6A5175D-EA16-48BF-93E4-AF2B869DB006}">
      <dsp:nvSpPr>
        <dsp:cNvPr id="0" name=""/>
        <dsp:cNvSpPr/>
      </dsp:nvSpPr>
      <dsp:spPr>
        <a:xfrm>
          <a:off x="4331630" y="620"/>
          <a:ext cx="1138583"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Pasaron de 251.755,09 ha a 103.917,07 ha, liberando 147.838,02 ha</a:t>
          </a:r>
          <a:endParaRPr lang="es-CO" sz="600" b="1" kern="1200" dirty="0">
            <a:solidFill>
              <a:schemeClr val="tx1"/>
            </a:solidFill>
            <a:latin typeface="Arial Narrow" panose="020B0606020202030204" pitchFamily="34" charset="0"/>
          </a:endParaRPr>
        </a:p>
      </dsp:txBody>
      <dsp:txXfrm>
        <a:off x="4342696" y="11686"/>
        <a:ext cx="1116451" cy="355698"/>
      </dsp:txXfrm>
    </dsp:sp>
    <dsp:sp modelId="{39EDF7DB-210C-4780-870A-C8341CABE739}">
      <dsp:nvSpPr>
        <dsp:cNvPr id="0" name=""/>
        <dsp:cNvSpPr/>
      </dsp:nvSpPr>
      <dsp:spPr>
        <a:xfrm>
          <a:off x="2971441" y="607978"/>
          <a:ext cx="302264" cy="32124"/>
        </a:xfrm>
        <a:custGeom>
          <a:avLst/>
          <a:gdLst/>
          <a:ahLst/>
          <a:cxnLst/>
          <a:rect l="0" t="0" r="0" b="0"/>
          <a:pathLst>
            <a:path>
              <a:moveTo>
                <a:pt x="0" y="16062"/>
              </a:moveTo>
              <a:lnTo>
                <a:pt x="302264"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3115016" y="616483"/>
        <a:ext cx="15113" cy="15113"/>
      </dsp:txXfrm>
    </dsp:sp>
    <dsp:sp modelId="{DE0792B3-A430-450C-9DE8-69007777CB7B}">
      <dsp:nvSpPr>
        <dsp:cNvPr id="0" name=""/>
        <dsp:cNvSpPr/>
      </dsp:nvSpPr>
      <dsp:spPr>
        <a:xfrm>
          <a:off x="3273705" y="435125"/>
          <a:ext cx="755660"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1 aumentó área</a:t>
          </a:r>
        </a:p>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a:t>
          </a:r>
          <a:r>
            <a:rPr lang="es-CO" sz="600" b="1" i="0" u="none" kern="1200" smtClean="0">
              <a:solidFill>
                <a:schemeClr val="tx1"/>
              </a:solidFill>
              <a:latin typeface="Arial Narrow" panose="020B0606020202030204" pitchFamily="34" charset="0"/>
            </a:rPr>
            <a:t>433,07 ha)</a:t>
          </a:r>
          <a:endParaRPr lang="es-CO" sz="600" b="1" kern="1200" dirty="0">
            <a:solidFill>
              <a:schemeClr val="tx1"/>
            </a:solidFill>
            <a:latin typeface="Arial Narrow" panose="020B0606020202030204" pitchFamily="34" charset="0"/>
          </a:endParaRPr>
        </a:p>
      </dsp:txBody>
      <dsp:txXfrm>
        <a:off x="3284771" y="446191"/>
        <a:ext cx="733528" cy="355698"/>
      </dsp:txXfrm>
    </dsp:sp>
    <dsp:sp modelId="{6A7E71EC-2B71-4743-A495-9047DCEF5BB3}">
      <dsp:nvSpPr>
        <dsp:cNvPr id="0" name=""/>
        <dsp:cNvSpPr/>
      </dsp:nvSpPr>
      <dsp:spPr>
        <a:xfrm>
          <a:off x="4029366" y="607978"/>
          <a:ext cx="302264" cy="32124"/>
        </a:xfrm>
        <a:custGeom>
          <a:avLst/>
          <a:gdLst/>
          <a:ahLst/>
          <a:cxnLst/>
          <a:rect l="0" t="0" r="0" b="0"/>
          <a:pathLst>
            <a:path>
              <a:moveTo>
                <a:pt x="0" y="16062"/>
              </a:moveTo>
              <a:lnTo>
                <a:pt x="302264"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endParaRPr>
        </a:p>
      </dsp:txBody>
      <dsp:txXfrm>
        <a:off x="4172941" y="616483"/>
        <a:ext cx="15113" cy="15113"/>
      </dsp:txXfrm>
    </dsp:sp>
    <dsp:sp modelId="{6805704B-C71A-4416-8EFA-E3D2FE3E5D43}">
      <dsp:nvSpPr>
        <dsp:cNvPr id="0" name=""/>
        <dsp:cNvSpPr/>
      </dsp:nvSpPr>
      <dsp:spPr>
        <a:xfrm>
          <a:off x="4331630" y="435125"/>
          <a:ext cx="1127634"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Paso de 296,03 ha a 729,10 ha, aumentado su área en 433,07 ha</a:t>
          </a:r>
          <a:endParaRPr lang="es-CO" sz="600" b="1" kern="1200" dirty="0">
            <a:solidFill>
              <a:schemeClr val="tx1"/>
            </a:solidFill>
            <a:latin typeface="Arial Narrow" panose="020B0606020202030204" pitchFamily="34" charset="0"/>
          </a:endParaRPr>
        </a:p>
      </dsp:txBody>
      <dsp:txXfrm>
        <a:off x="4342696" y="446191"/>
        <a:ext cx="1105502" cy="355698"/>
      </dsp:txXfrm>
    </dsp:sp>
    <dsp:sp modelId="{351C87E4-87F7-4E7F-8065-802A5F8B3055}">
      <dsp:nvSpPr>
        <dsp:cNvPr id="0" name=""/>
        <dsp:cNvSpPr/>
      </dsp:nvSpPr>
      <dsp:spPr>
        <a:xfrm rot="3310531">
          <a:off x="2857923" y="825230"/>
          <a:ext cx="529299" cy="32124"/>
        </a:xfrm>
        <a:custGeom>
          <a:avLst/>
          <a:gdLst/>
          <a:ahLst/>
          <a:cxnLst/>
          <a:rect l="0" t="0" r="0" b="0"/>
          <a:pathLst>
            <a:path>
              <a:moveTo>
                <a:pt x="0" y="16062"/>
              </a:moveTo>
              <a:lnTo>
                <a:pt x="529299"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3109340" y="828060"/>
        <a:ext cx="26464" cy="26464"/>
      </dsp:txXfrm>
    </dsp:sp>
    <dsp:sp modelId="{B488F0E7-C257-48D9-8421-583B77523D10}">
      <dsp:nvSpPr>
        <dsp:cNvPr id="0" name=""/>
        <dsp:cNvSpPr/>
      </dsp:nvSpPr>
      <dsp:spPr>
        <a:xfrm>
          <a:off x="3273705" y="869629"/>
          <a:ext cx="755660"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8 mantienen área</a:t>
          </a:r>
        </a:p>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a:t>
          </a:r>
          <a:r>
            <a:rPr lang="es-CO" sz="600" b="1" i="0" u="none" kern="1200" smtClean="0">
              <a:solidFill>
                <a:schemeClr val="tx1"/>
              </a:solidFill>
              <a:latin typeface="Arial Narrow" panose="020B0606020202030204" pitchFamily="34" charset="0"/>
            </a:rPr>
            <a:t>142.306,39  ha)</a:t>
          </a:r>
          <a:endParaRPr lang="es-CO" sz="600" b="1" kern="1200" dirty="0">
            <a:solidFill>
              <a:schemeClr val="tx1"/>
            </a:solidFill>
            <a:latin typeface="Arial Narrow" panose="020B0606020202030204" pitchFamily="34" charset="0"/>
          </a:endParaRPr>
        </a:p>
      </dsp:txBody>
      <dsp:txXfrm>
        <a:off x="3284771" y="880695"/>
        <a:ext cx="733528" cy="355698"/>
      </dsp:txXfrm>
    </dsp:sp>
    <dsp:sp modelId="{A69E7A03-A7D0-4BE3-9407-2578E214D313}">
      <dsp:nvSpPr>
        <dsp:cNvPr id="0" name=""/>
        <dsp:cNvSpPr/>
      </dsp:nvSpPr>
      <dsp:spPr>
        <a:xfrm rot="2371356">
          <a:off x="1785678" y="1312805"/>
          <a:ext cx="508173" cy="32124"/>
        </a:xfrm>
        <a:custGeom>
          <a:avLst/>
          <a:gdLst/>
          <a:ahLst/>
          <a:cxnLst/>
          <a:rect l="0" t="0" r="0" b="0"/>
          <a:pathLst>
            <a:path>
              <a:moveTo>
                <a:pt x="0" y="16062"/>
              </a:moveTo>
              <a:lnTo>
                <a:pt x="508173" y="1606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2027060" y="1316163"/>
        <a:ext cx="25408" cy="25408"/>
      </dsp:txXfrm>
    </dsp:sp>
    <dsp:sp modelId="{28A6E99C-5B28-466D-B915-E25EA12E13F4}">
      <dsp:nvSpPr>
        <dsp:cNvPr id="0" name=""/>
        <dsp:cNvSpPr/>
      </dsp:nvSpPr>
      <dsp:spPr>
        <a:xfrm>
          <a:off x="2235760" y="1301648"/>
          <a:ext cx="755660" cy="377830"/>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15 En Fase De Aprestamiento (737.054,86 ha) </a:t>
          </a:r>
          <a:endParaRPr lang="es-CO" sz="600" b="1" kern="1200" dirty="0" smtClean="0">
            <a:solidFill>
              <a:schemeClr val="tx1"/>
            </a:solidFill>
            <a:latin typeface="Arial Narrow" panose="020B0606020202030204" pitchFamily="34" charset="0"/>
          </a:endParaRPr>
        </a:p>
      </dsp:txBody>
      <dsp:txXfrm>
        <a:off x="2246826" y="1312714"/>
        <a:ext cx="733528" cy="355698"/>
      </dsp:txXfrm>
    </dsp:sp>
    <dsp:sp modelId="{E76FB13B-1029-4192-B370-37F4D02F8E19}">
      <dsp:nvSpPr>
        <dsp:cNvPr id="0" name=""/>
        <dsp:cNvSpPr/>
      </dsp:nvSpPr>
      <dsp:spPr>
        <a:xfrm rot="30276">
          <a:off x="2991415" y="1475744"/>
          <a:ext cx="282295" cy="32124"/>
        </a:xfrm>
        <a:custGeom>
          <a:avLst/>
          <a:gdLst/>
          <a:ahLst/>
          <a:cxnLst/>
          <a:rect l="0" t="0" r="0" b="0"/>
          <a:pathLst>
            <a:path>
              <a:moveTo>
                <a:pt x="0" y="16062"/>
              </a:moveTo>
              <a:lnTo>
                <a:pt x="282295"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3125505" y="1484749"/>
        <a:ext cx="14114" cy="14114"/>
      </dsp:txXfrm>
    </dsp:sp>
    <dsp:sp modelId="{C36992FF-F43C-4F73-8C8D-25D3B98A8B3D}">
      <dsp:nvSpPr>
        <dsp:cNvPr id="0" name=""/>
        <dsp:cNvSpPr/>
      </dsp:nvSpPr>
      <dsp:spPr>
        <a:xfrm>
          <a:off x="3273705" y="1304134"/>
          <a:ext cx="755660"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1 aumentó área</a:t>
          </a:r>
        </a:p>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a:t>
          </a:r>
          <a:r>
            <a:rPr lang="es-CO" sz="600" b="1" i="0" u="none" kern="1200" smtClean="0">
              <a:solidFill>
                <a:schemeClr val="tx1"/>
              </a:solidFill>
              <a:latin typeface="Arial Narrow" panose="020B0606020202030204" pitchFamily="34" charset="0"/>
            </a:rPr>
            <a:t>30.480,64 ha)</a:t>
          </a:r>
          <a:endParaRPr lang="es-CO" sz="600" b="1" kern="1200" dirty="0">
            <a:solidFill>
              <a:schemeClr val="tx1"/>
            </a:solidFill>
            <a:latin typeface="Arial Narrow" panose="020B0606020202030204" pitchFamily="34" charset="0"/>
          </a:endParaRPr>
        </a:p>
      </dsp:txBody>
      <dsp:txXfrm>
        <a:off x="3284771" y="1315200"/>
        <a:ext cx="733528" cy="355698"/>
      </dsp:txXfrm>
    </dsp:sp>
    <dsp:sp modelId="{8E49998B-74FD-4ACC-A449-748FE11FED5E}">
      <dsp:nvSpPr>
        <dsp:cNvPr id="0" name=""/>
        <dsp:cNvSpPr/>
      </dsp:nvSpPr>
      <dsp:spPr>
        <a:xfrm>
          <a:off x="4029366" y="1476987"/>
          <a:ext cx="302264" cy="32124"/>
        </a:xfrm>
        <a:custGeom>
          <a:avLst/>
          <a:gdLst/>
          <a:ahLst/>
          <a:cxnLst/>
          <a:rect l="0" t="0" r="0" b="0"/>
          <a:pathLst>
            <a:path>
              <a:moveTo>
                <a:pt x="0" y="16062"/>
              </a:moveTo>
              <a:lnTo>
                <a:pt x="302264"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endParaRPr>
        </a:p>
      </dsp:txBody>
      <dsp:txXfrm>
        <a:off x="4172941" y="1485493"/>
        <a:ext cx="15113" cy="15113"/>
      </dsp:txXfrm>
    </dsp:sp>
    <dsp:sp modelId="{E85697F7-0D17-47A6-95DF-649388A86D33}">
      <dsp:nvSpPr>
        <dsp:cNvPr id="0" name=""/>
        <dsp:cNvSpPr/>
      </dsp:nvSpPr>
      <dsp:spPr>
        <a:xfrm>
          <a:off x="4331630" y="1304134"/>
          <a:ext cx="1226097"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Pasó de 44.116,32 ha a 74.596,96	-ha, aumentando su área en 30.480,64 ha</a:t>
          </a:r>
          <a:endParaRPr lang="es-CO" sz="600" b="1" kern="1200" dirty="0">
            <a:solidFill>
              <a:schemeClr val="tx1"/>
            </a:solidFill>
            <a:latin typeface="Arial Narrow" panose="020B0606020202030204" pitchFamily="34" charset="0"/>
          </a:endParaRPr>
        </a:p>
      </dsp:txBody>
      <dsp:txXfrm>
        <a:off x="4342696" y="1315200"/>
        <a:ext cx="1203965" cy="355698"/>
      </dsp:txXfrm>
    </dsp:sp>
    <dsp:sp modelId="{A471BD0B-A1F8-49E8-96AA-66B7D5963571}">
      <dsp:nvSpPr>
        <dsp:cNvPr id="0" name=""/>
        <dsp:cNvSpPr/>
      </dsp:nvSpPr>
      <dsp:spPr>
        <a:xfrm rot="3428317">
          <a:off x="2872445" y="1692997"/>
          <a:ext cx="520236" cy="32124"/>
        </a:xfrm>
        <a:custGeom>
          <a:avLst/>
          <a:gdLst/>
          <a:ahLst/>
          <a:cxnLst/>
          <a:rect l="0" t="0" r="0" b="0"/>
          <a:pathLst>
            <a:path>
              <a:moveTo>
                <a:pt x="0" y="16062"/>
              </a:moveTo>
              <a:lnTo>
                <a:pt x="520236" y="16062"/>
              </a:lnTo>
            </a:path>
          </a:pathLst>
        </a:custGeom>
        <a:noFill/>
        <a:ln w="25400" cap="flat" cmpd="sng" algn="ctr">
          <a:solidFill>
            <a:schemeClr val="accent1">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O" sz="500" b="1" kern="1200">
            <a:solidFill>
              <a:schemeClr val="tx1"/>
            </a:solidFill>
            <a:latin typeface="Arial Narrow" panose="020B0606020202030204" pitchFamily="34" charset="0"/>
          </a:endParaRPr>
        </a:p>
      </dsp:txBody>
      <dsp:txXfrm>
        <a:off x="3119557" y="1696053"/>
        <a:ext cx="26011" cy="26011"/>
      </dsp:txXfrm>
    </dsp:sp>
    <dsp:sp modelId="{4436F200-50E9-46FC-B60C-0EE6406C7B34}">
      <dsp:nvSpPr>
        <dsp:cNvPr id="0" name=""/>
        <dsp:cNvSpPr/>
      </dsp:nvSpPr>
      <dsp:spPr>
        <a:xfrm>
          <a:off x="3273705" y="1738639"/>
          <a:ext cx="755660" cy="3778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14 mantuvieron área</a:t>
          </a:r>
        </a:p>
        <a:p>
          <a:pPr lvl="0" algn="ctr" defTabSz="266700">
            <a:lnSpc>
              <a:spcPct val="90000"/>
            </a:lnSpc>
            <a:spcBef>
              <a:spcPct val="0"/>
            </a:spcBef>
            <a:spcAft>
              <a:spcPct val="35000"/>
            </a:spcAft>
          </a:pPr>
          <a:r>
            <a:rPr lang="es-CO" sz="600" b="1" kern="1200" smtClean="0">
              <a:solidFill>
                <a:schemeClr val="tx1"/>
              </a:solidFill>
              <a:latin typeface="Arial Narrow" panose="020B0606020202030204" pitchFamily="34" charset="0"/>
            </a:rPr>
            <a:t>(</a:t>
          </a:r>
          <a:r>
            <a:rPr lang="es-CO" sz="600" b="1" i="0" u="none" kern="1200" smtClean="0">
              <a:solidFill>
                <a:schemeClr val="tx1"/>
              </a:solidFill>
              <a:latin typeface="Arial Narrow" panose="020B0606020202030204" pitchFamily="34" charset="0"/>
            </a:rPr>
            <a:t>662.457,90  ha)</a:t>
          </a:r>
          <a:endParaRPr lang="es-CO" sz="600" b="1" kern="1200" dirty="0">
            <a:solidFill>
              <a:schemeClr val="tx1"/>
            </a:solidFill>
            <a:latin typeface="Arial Narrow" panose="020B0606020202030204" pitchFamily="34" charset="0"/>
          </a:endParaRPr>
        </a:p>
      </dsp:txBody>
      <dsp:txXfrm>
        <a:off x="3284771" y="1749705"/>
        <a:ext cx="733528" cy="35569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27FBF-57C3-45E3-A1AE-5AC8291C9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36</Pages>
  <Words>11527</Words>
  <Characters>63403</Characters>
  <Application>Microsoft Office Word</Application>
  <DocSecurity>0</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Acosta Gutierrez</dc:creator>
  <cp:keywords/>
  <dc:description/>
  <cp:lastModifiedBy>Alexander Ibagon Montes</cp:lastModifiedBy>
  <cp:revision>143</cp:revision>
  <cp:lastPrinted>2017-07-12T00:40:00Z</cp:lastPrinted>
  <dcterms:created xsi:type="dcterms:W3CDTF">2018-10-03T23:20:00Z</dcterms:created>
  <dcterms:modified xsi:type="dcterms:W3CDTF">2018-10-09T16:19:00Z</dcterms:modified>
</cp:coreProperties>
</file>