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522" w:rsidRPr="00872A9B" w:rsidRDefault="00CC72E8" w:rsidP="003A7D92">
      <w:pPr>
        <w:pStyle w:val="CuerpoA"/>
        <w:ind w:firstLine="708"/>
        <w:jc w:val="both"/>
        <w:rPr>
          <w:rStyle w:val="Nmerodepgina"/>
          <w:rFonts w:ascii="Arial" w:eastAsia="Arial" w:hAnsi="Arial" w:cs="Arial"/>
          <w:color w:val="auto"/>
        </w:rPr>
      </w:pPr>
      <w:r w:rsidRPr="00872A9B">
        <w:rPr>
          <w:rStyle w:val="Nmerodepgina"/>
          <w:rFonts w:ascii="Arial" w:hAnsi="Arial" w:cs="Arial"/>
          <w:color w:val="auto"/>
        </w:rPr>
        <w:t xml:space="preserve"> </w:t>
      </w:r>
    </w:p>
    <w:p w:rsidR="00915522" w:rsidRPr="00872A9B" w:rsidRDefault="00915522" w:rsidP="00915522">
      <w:pPr>
        <w:rPr>
          <w:rFonts w:ascii="Arial" w:eastAsia="Arial" w:hAnsi="Arial" w:cs="Arial"/>
          <w:szCs w:val="24"/>
          <w:lang w:val="es-ES_tradnl" w:eastAsia="es-CO"/>
        </w:rPr>
      </w:pPr>
    </w:p>
    <w:p w:rsidR="00915522" w:rsidRPr="00872A9B" w:rsidRDefault="00915522" w:rsidP="00915522">
      <w:pPr>
        <w:rPr>
          <w:rFonts w:ascii="Arial" w:eastAsia="Arial" w:hAnsi="Arial" w:cs="Arial"/>
          <w:szCs w:val="24"/>
          <w:lang w:val="es-ES_tradnl" w:eastAsia="es-CO"/>
        </w:rPr>
      </w:pPr>
    </w:p>
    <w:p w:rsidR="00915522" w:rsidRPr="00872A9B" w:rsidRDefault="00915522" w:rsidP="00915522">
      <w:pPr>
        <w:rPr>
          <w:rFonts w:ascii="Arial" w:eastAsia="Arial" w:hAnsi="Arial" w:cs="Arial"/>
          <w:szCs w:val="24"/>
          <w:lang w:val="es-ES_tradnl" w:eastAsia="es-CO"/>
        </w:rPr>
      </w:pPr>
    </w:p>
    <w:p w:rsidR="00915522" w:rsidRPr="00872A9B" w:rsidRDefault="00915522" w:rsidP="00915522">
      <w:pPr>
        <w:rPr>
          <w:rFonts w:ascii="Arial" w:eastAsia="Arial" w:hAnsi="Arial" w:cs="Arial"/>
          <w:szCs w:val="24"/>
          <w:lang w:val="es-ES_tradnl" w:eastAsia="es-CO"/>
        </w:rPr>
      </w:pPr>
    </w:p>
    <w:p w:rsidR="00915522" w:rsidRPr="00872A9B" w:rsidRDefault="00915522" w:rsidP="00915522">
      <w:pPr>
        <w:rPr>
          <w:rFonts w:ascii="Arial" w:eastAsia="Arial" w:hAnsi="Arial" w:cs="Arial"/>
          <w:szCs w:val="24"/>
          <w:lang w:val="es-ES_tradnl" w:eastAsia="es-CO"/>
        </w:rPr>
      </w:pPr>
    </w:p>
    <w:p w:rsidR="00A15791" w:rsidRPr="00872A9B" w:rsidRDefault="00915522" w:rsidP="00915522">
      <w:pPr>
        <w:tabs>
          <w:tab w:val="left" w:pos="5416"/>
        </w:tabs>
        <w:rPr>
          <w:rFonts w:ascii="Arial" w:eastAsia="Arial" w:hAnsi="Arial" w:cs="Arial"/>
          <w:szCs w:val="24"/>
          <w:lang w:val="es-ES_tradnl" w:eastAsia="es-CO"/>
        </w:rPr>
      </w:pPr>
      <w:r w:rsidRPr="00872A9B">
        <w:rPr>
          <w:rFonts w:ascii="Arial" w:eastAsia="Arial" w:hAnsi="Arial" w:cs="Arial"/>
          <w:szCs w:val="24"/>
          <w:lang w:val="es-ES_tradnl" w:eastAsia="es-CO"/>
        </w:rPr>
        <w:tab/>
      </w:r>
    </w:p>
    <w:p w:rsidR="000743AB" w:rsidRPr="00CD053A" w:rsidRDefault="00915522" w:rsidP="00340546">
      <w:pPr>
        <w:jc w:val="center"/>
        <w:rPr>
          <w:rFonts w:ascii="Arial" w:hAnsi="Arial" w:cs="Arial"/>
          <w:szCs w:val="24"/>
        </w:rPr>
      </w:pPr>
      <w:r w:rsidRPr="00CD053A">
        <w:rPr>
          <w:rFonts w:ascii="Arial" w:hAnsi="Arial" w:cs="Arial"/>
          <w:szCs w:val="24"/>
        </w:rPr>
        <w:t>“</w:t>
      </w:r>
      <w:r w:rsidR="00340546" w:rsidRPr="00FB1EFA">
        <w:rPr>
          <w:rFonts w:ascii="Arial" w:hAnsi="Arial" w:cs="Arial"/>
          <w:i/>
          <w:szCs w:val="24"/>
        </w:rPr>
        <w:t xml:space="preserve">Por medio de la cual se prórroga el término de duración de las zonas de protección y desarrollo de los recursos naturales renovables y del medio ambiente, declaradas mediante la </w:t>
      </w:r>
      <w:r w:rsidR="005A3B3D">
        <w:rPr>
          <w:rFonts w:ascii="Arial" w:hAnsi="Arial" w:cs="Arial"/>
          <w:i/>
          <w:szCs w:val="24"/>
        </w:rPr>
        <w:t>R</w:t>
      </w:r>
      <w:r w:rsidR="00340546" w:rsidRPr="00FB1EFA">
        <w:rPr>
          <w:rFonts w:ascii="Arial" w:hAnsi="Arial" w:cs="Arial"/>
          <w:i/>
          <w:szCs w:val="24"/>
        </w:rPr>
        <w:t xml:space="preserve">esolución 1628 de 2015 y prorrogadas mediante las </w:t>
      </w:r>
      <w:r w:rsidR="006500D9" w:rsidRPr="00FB1EFA">
        <w:rPr>
          <w:rFonts w:ascii="Arial" w:hAnsi="Arial" w:cs="Arial"/>
          <w:i/>
          <w:szCs w:val="24"/>
        </w:rPr>
        <w:t>R</w:t>
      </w:r>
      <w:r w:rsidR="00340546" w:rsidRPr="00FB1EFA">
        <w:rPr>
          <w:rFonts w:ascii="Arial" w:hAnsi="Arial" w:cs="Arial"/>
          <w:i/>
          <w:szCs w:val="24"/>
        </w:rPr>
        <w:t>esoluciones 1433 de 2017 y 1310 de 2018 y se adoptan otras determinaciones</w:t>
      </w:r>
      <w:r w:rsidR="00340546" w:rsidRPr="00CD053A">
        <w:rPr>
          <w:rFonts w:ascii="Arial" w:hAnsi="Arial" w:cs="Arial"/>
          <w:szCs w:val="24"/>
        </w:rPr>
        <w:t>”</w:t>
      </w:r>
    </w:p>
    <w:p w:rsidR="007447D5" w:rsidRDefault="007447D5" w:rsidP="00915522">
      <w:pPr>
        <w:ind w:left="-284" w:right="50"/>
        <w:jc w:val="center"/>
        <w:rPr>
          <w:rFonts w:ascii="Arial" w:hAnsi="Arial" w:cs="Arial"/>
          <w:b/>
          <w:szCs w:val="24"/>
        </w:rPr>
      </w:pPr>
    </w:p>
    <w:p w:rsidR="007447D5" w:rsidRDefault="007447D5" w:rsidP="00915522">
      <w:pPr>
        <w:ind w:left="-284" w:right="50"/>
        <w:jc w:val="center"/>
        <w:rPr>
          <w:rFonts w:ascii="Arial" w:hAnsi="Arial" w:cs="Arial"/>
          <w:b/>
          <w:szCs w:val="24"/>
        </w:rPr>
      </w:pPr>
    </w:p>
    <w:p w:rsidR="00915522" w:rsidRPr="00CD053A" w:rsidRDefault="00915522" w:rsidP="00915522">
      <w:pPr>
        <w:ind w:left="-284" w:right="50"/>
        <w:jc w:val="center"/>
        <w:rPr>
          <w:rFonts w:ascii="Arial" w:hAnsi="Arial" w:cs="Arial"/>
          <w:b/>
          <w:szCs w:val="24"/>
        </w:rPr>
      </w:pPr>
      <w:r w:rsidRPr="00CD053A">
        <w:rPr>
          <w:rFonts w:ascii="Arial" w:hAnsi="Arial" w:cs="Arial"/>
          <w:b/>
          <w:szCs w:val="24"/>
        </w:rPr>
        <w:t xml:space="preserve">EL MINISTRO DE AMBIENTE Y DESARROLLO SOSTENIBLE </w:t>
      </w:r>
    </w:p>
    <w:p w:rsidR="00915522" w:rsidRPr="00CD053A" w:rsidRDefault="00915522" w:rsidP="00671F47">
      <w:pPr>
        <w:rPr>
          <w:rFonts w:ascii="Arial" w:hAnsi="Arial" w:cs="Arial"/>
          <w:szCs w:val="24"/>
        </w:rPr>
      </w:pPr>
    </w:p>
    <w:p w:rsidR="00455947" w:rsidRPr="00CD053A" w:rsidRDefault="00455947" w:rsidP="00671F47">
      <w:pPr>
        <w:rPr>
          <w:rFonts w:ascii="Arial" w:hAnsi="Arial" w:cs="Arial"/>
          <w:szCs w:val="24"/>
        </w:rPr>
      </w:pPr>
    </w:p>
    <w:p w:rsidR="00915522" w:rsidRPr="00CD053A" w:rsidRDefault="00915522" w:rsidP="00915522">
      <w:pPr>
        <w:jc w:val="center"/>
        <w:rPr>
          <w:rFonts w:ascii="Arial" w:hAnsi="Arial" w:cs="Arial"/>
          <w:szCs w:val="24"/>
        </w:rPr>
      </w:pPr>
      <w:r w:rsidRPr="00CD053A">
        <w:rPr>
          <w:rFonts w:ascii="Arial" w:hAnsi="Arial" w:cs="Arial"/>
          <w:szCs w:val="24"/>
        </w:rPr>
        <w:t>En ejercicio de sus facultades constitucionales y legales, y en especial las conferidas en el artículo 5, numerales 2, 5, 14, 19 y 24 de la Ley 99 de 1993</w:t>
      </w:r>
      <w:r w:rsidR="006C5628" w:rsidRPr="00CD053A">
        <w:rPr>
          <w:rFonts w:ascii="Arial" w:hAnsi="Arial" w:cs="Arial"/>
          <w:szCs w:val="24"/>
        </w:rPr>
        <w:t xml:space="preserve">, </w:t>
      </w:r>
      <w:r w:rsidRPr="00CD053A">
        <w:rPr>
          <w:rFonts w:ascii="Arial" w:hAnsi="Arial" w:cs="Arial"/>
          <w:szCs w:val="24"/>
        </w:rPr>
        <w:t>el artículo 2 del Decreto Ley 3570 de 2011</w:t>
      </w:r>
      <w:r w:rsidR="00FB1EFA">
        <w:rPr>
          <w:rFonts w:ascii="Arial" w:hAnsi="Arial" w:cs="Arial"/>
          <w:szCs w:val="24"/>
        </w:rPr>
        <w:t>, y</w:t>
      </w:r>
    </w:p>
    <w:p w:rsidR="00915522" w:rsidRDefault="00915522" w:rsidP="00671F47">
      <w:pPr>
        <w:rPr>
          <w:rFonts w:ascii="Arial" w:hAnsi="Arial" w:cs="Arial"/>
          <w:b/>
          <w:bCs/>
          <w:szCs w:val="24"/>
        </w:rPr>
      </w:pPr>
    </w:p>
    <w:p w:rsidR="007447D5" w:rsidRPr="00FB1EFA" w:rsidRDefault="007447D5" w:rsidP="00671F47">
      <w:pPr>
        <w:rPr>
          <w:rFonts w:ascii="Arial" w:hAnsi="Arial" w:cs="Arial"/>
          <w:b/>
          <w:bCs/>
          <w:szCs w:val="24"/>
        </w:rPr>
      </w:pPr>
    </w:p>
    <w:p w:rsidR="00915522" w:rsidRPr="00CD053A" w:rsidRDefault="00915522" w:rsidP="00915522">
      <w:pPr>
        <w:ind w:left="-284"/>
        <w:jc w:val="center"/>
        <w:rPr>
          <w:rFonts w:ascii="Arial" w:hAnsi="Arial" w:cs="Arial"/>
          <w:b/>
          <w:bCs/>
          <w:szCs w:val="24"/>
          <w:lang w:val="pt-BR"/>
        </w:rPr>
      </w:pPr>
      <w:r w:rsidRPr="00CD053A">
        <w:rPr>
          <w:rFonts w:ascii="Arial" w:hAnsi="Arial" w:cs="Arial"/>
          <w:b/>
          <w:bCs/>
          <w:szCs w:val="24"/>
          <w:lang w:val="pt-BR"/>
        </w:rPr>
        <w:t>CONSIDERANDO</w:t>
      </w:r>
    </w:p>
    <w:p w:rsidR="00883770" w:rsidRPr="00CD053A" w:rsidRDefault="00883770" w:rsidP="005C4538">
      <w:pPr>
        <w:pBdr>
          <w:top w:val="nil"/>
          <w:left w:val="nil"/>
          <w:bottom w:val="nil"/>
          <w:right w:val="nil"/>
          <w:between w:val="nil"/>
          <w:bar w:val="nil"/>
        </w:pBdr>
        <w:jc w:val="both"/>
        <w:rPr>
          <w:rFonts w:ascii="Arial" w:eastAsia="Arial Unicode MS" w:hAnsi="Arial" w:cs="Arial"/>
          <w:szCs w:val="24"/>
          <w:u w:color="000000"/>
          <w:bdr w:val="nil"/>
          <w:lang w:val="es-ES_tradnl" w:eastAsia="es-CO"/>
        </w:rPr>
      </w:pPr>
    </w:p>
    <w:p w:rsidR="00501AC5" w:rsidRPr="00CD053A" w:rsidRDefault="00501AC5" w:rsidP="005C4538">
      <w:pPr>
        <w:pBdr>
          <w:top w:val="nil"/>
          <w:left w:val="nil"/>
          <w:bottom w:val="nil"/>
          <w:right w:val="nil"/>
          <w:between w:val="nil"/>
          <w:bar w:val="nil"/>
        </w:pBdr>
        <w:jc w:val="both"/>
        <w:rPr>
          <w:rFonts w:ascii="Arial" w:eastAsia="Arial Unicode MS" w:hAnsi="Arial" w:cs="Arial"/>
          <w:szCs w:val="24"/>
          <w:u w:color="000000"/>
          <w:bdr w:val="nil"/>
          <w:lang w:val="es-ES_tradnl" w:eastAsia="es-CO"/>
        </w:rPr>
      </w:pPr>
    </w:p>
    <w:p w:rsidR="00340546" w:rsidRPr="00CD053A" w:rsidRDefault="001101A9" w:rsidP="00340546">
      <w:pPr>
        <w:pStyle w:val="Textosinformato"/>
        <w:jc w:val="both"/>
        <w:rPr>
          <w:rFonts w:ascii="Arial" w:hAnsi="Arial" w:cs="Arial"/>
          <w:color w:val="000000"/>
          <w:sz w:val="24"/>
          <w:szCs w:val="24"/>
          <w:lang w:val="es-CO" w:eastAsia="es-CO"/>
        </w:rPr>
      </w:pPr>
      <w:r w:rsidRPr="00CD053A">
        <w:rPr>
          <w:rFonts w:ascii="Arial" w:hAnsi="Arial" w:cs="Arial"/>
          <w:color w:val="000000"/>
          <w:sz w:val="24"/>
          <w:szCs w:val="24"/>
          <w:lang w:val="es-CO" w:eastAsia="es-CO"/>
        </w:rPr>
        <w:t xml:space="preserve">Que </w:t>
      </w:r>
      <w:r w:rsidR="00883770" w:rsidRPr="00CD053A">
        <w:rPr>
          <w:rFonts w:ascii="Arial" w:hAnsi="Arial" w:cs="Arial"/>
          <w:color w:val="000000"/>
          <w:sz w:val="24"/>
          <w:szCs w:val="24"/>
          <w:lang w:val="es-CO" w:eastAsia="es-CO"/>
        </w:rPr>
        <w:t xml:space="preserve">el Ministerio de Ambiente y Desarrollo Sostenible, expidió la Resolución </w:t>
      </w:r>
      <w:r w:rsidR="00340546" w:rsidRPr="00CD053A">
        <w:rPr>
          <w:rFonts w:ascii="Arial" w:hAnsi="Arial" w:cs="Arial"/>
          <w:color w:val="000000"/>
          <w:sz w:val="24"/>
          <w:szCs w:val="24"/>
          <w:lang w:val="es-CO" w:eastAsia="es-CO"/>
        </w:rPr>
        <w:t>1628</w:t>
      </w:r>
      <w:r w:rsidR="005C4538" w:rsidRPr="00CD053A">
        <w:rPr>
          <w:rFonts w:ascii="Arial" w:hAnsi="Arial" w:cs="Arial"/>
          <w:color w:val="000000"/>
          <w:sz w:val="24"/>
          <w:szCs w:val="24"/>
          <w:lang w:val="es-CO" w:eastAsia="es-CO"/>
        </w:rPr>
        <w:t xml:space="preserve"> </w:t>
      </w:r>
      <w:r w:rsidR="00872A9B" w:rsidRPr="00CD053A">
        <w:rPr>
          <w:rFonts w:ascii="Arial" w:hAnsi="Arial" w:cs="Arial"/>
          <w:color w:val="000000"/>
          <w:sz w:val="24"/>
          <w:szCs w:val="24"/>
          <w:lang w:val="es-CO" w:eastAsia="es-CO"/>
        </w:rPr>
        <w:t xml:space="preserve">del </w:t>
      </w:r>
      <w:r w:rsidR="00340546" w:rsidRPr="00CD053A">
        <w:rPr>
          <w:rFonts w:ascii="Arial" w:hAnsi="Arial" w:cs="Arial"/>
          <w:color w:val="000000"/>
          <w:sz w:val="24"/>
          <w:szCs w:val="24"/>
          <w:lang w:val="es-CO" w:eastAsia="es-CO"/>
        </w:rPr>
        <w:t>13</w:t>
      </w:r>
      <w:r w:rsidR="00872A9B" w:rsidRPr="00CD053A">
        <w:rPr>
          <w:rFonts w:ascii="Arial" w:hAnsi="Arial" w:cs="Arial"/>
          <w:color w:val="000000"/>
          <w:sz w:val="24"/>
          <w:szCs w:val="24"/>
          <w:lang w:val="es-CO" w:eastAsia="es-CO"/>
        </w:rPr>
        <w:t xml:space="preserve"> de </w:t>
      </w:r>
      <w:r w:rsidR="00340546" w:rsidRPr="00CD053A">
        <w:rPr>
          <w:rFonts w:ascii="Arial" w:hAnsi="Arial" w:cs="Arial"/>
          <w:color w:val="000000"/>
          <w:sz w:val="24"/>
          <w:szCs w:val="24"/>
          <w:lang w:val="es-CO" w:eastAsia="es-CO"/>
        </w:rPr>
        <w:t>julio</w:t>
      </w:r>
      <w:r w:rsidR="00872A9B" w:rsidRPr="00CD053A">
        <w:rPr>
          <w:rFonts w:ascii="Arial" w:hAnsi="Arial" w:cs="Arial"/>
          <w:color w:val="000000"/>
          <w:sz w:val="24"/>
          <w:szCs w:val="24"/>
          <w:lang w:val="es-CO" w:eastAsia="es-CO"/>
        </w:rPr>
        <w:t xml:space="preserve"> </w:t>
      </w:r>
      <w:r w:rsidR="005C4538" w:rsidRPr="00CD053A">
        <w:rPr>
          <w:rFonts w:ascii="Arial" w:hAnsi="Arial" w:cs="Arial"/>
          <w:color w:val="000000"/>
          <w:sz w:val="24"/>
          <w:szCs w:val="24"/>
          <w:lang w:val="es-CO" w:eastAsia="es-CO"/>
        </w:rPr>
        <w:t>de 201</w:t>
      </w:r>
      <w:r w:rsidR="00340546" w:rsidRPr="00CD053A">
        <w:rPr>
          <w:rFonts w:ascii="Arial" w:hAnsi="Arial" w:cs="Arial"/>
          <w:color w:val="000000"/>
          <w:sz w:val="24"/>
          <w:szCs w:val="24"/>
          <w:lang w:val="es-CO" w:eastAsia="es-CO"/>
        </w:rPr>
        <w:t>5</w:t>
      </w:r>
      <w:r w:rsidR="005C4538" w:rsidRPr="00CD053A">
        <w:rPr>
          <w:rFonts w:ascii="Arial" w:hAnsi="Arial" w:cs="Arial"/>
          <w:color w:val="000000"/>
          <w:sz w:val="24"/>
          <w:szCs w:val="24"/>
          <w:lang w:val="es-CO" w:eastAsia="es-CO"/>
        </w:rPr>
        <w:t xml:space="preserve">, </w:t>
      </w:r>
      <w:r w:rsidR="004B5696" w:rsidRPr="00CD053A">
        <w:rPr>
          <w:rFonts w:ascii="Arial" w:hAnsi="Arial" w:cs="Arial"/>
          <w:color w:val="000000"/>
          <w:sz w:val="24"/>
          <w:szCs w:val="24"/>
          <w:lang w:val="es-CO" w:eastAsia="es-CO"/>
        </w:rPr>
        <w:t xml:space="preserve">mediante la cual </w:t>
      </w:r>
      <w:r w:rsidR="00883770" w:rsidRPr="00CD053A">
        <w:rPr>
          <w:rFonts w:ascii="Arial" w:hAnsi="Arial" w:cs="Arial"/>
          <w:color w:val="000000"/>
          <w:sz w:val="24"/>
          <w:szCs w:val="24"/>
          <w:lang w:val="es-CO" w:eastAsia="es-CO"/>
        </w:rPr>
        <w:t xml:space="preserve">en el artículo 1 </w:t>
      </w:r>
      <w:r w:rsidR="00C17050" w:rsidRPr="00CD053A">
        <w:rPr>
          <w:rFonts w:ascii="Arial" w:hAnsi="Arial" w:cs="Arial"/>
          <w:color w:val="000000"/>
          <w:sz w:val="24"/>
          <w:szCs w:val="24"/>
          <w:lang w:val="es-CO" w:eastAsia="es-CO"/>
        </w:rPr>
        <w:t>procedió</w:t>
      </w:r>
      <w:r w:rsidR="00883770" w:rsidRPr="00CD053A">
        <w:rPr>
          <w:rFonts w:ascii="Arial" w:hAnsi="Arial" w:cs="Arial"/>
          <w:color w:val="000000"/>
          <w:sz w:val="24"/>
          <w:szCs w:val="24"/>
          <w:lang w:val="es-CO" w:eastAsia="es-CO"/>
        </w:rPr>
        <w:t xml:space="preserve"> a:</w:t>
      </w:r>
      <w:r w:rsidR="00C17050" w:rsidRPr="00CD053A">
        <w:rPr>
          <w:rFonts w:ascii="Arial" w:hAnsi="Arial" w:cs="Arial"/>
          <w:szCs w:val="24"/>
        </w:rPr>
        <w:t xml:space="preserve"> </w:t>
      </w:r>
      <w:r w:rsidR="00883770" w:rsidRPr="00CD053A">
        <w:rPr>
          <w:rFonts w:ascii="Arial" w:hAnsi="Arial" w:cs="Arial"/>
          <w:i/>
          <w:sz w:val="24"/>
          <w:szCs w:val="24"/>
        </w:rPr>
        <w:t>“</w:t>
      </w:r>
      <w:r w:rsidR="00340546" w:rsidRPr="00CD053A">
        <w:rPr>
          <w:rFonts w:ascii="Arial" w:hAnsi="Arial" w:cs="Arial"/>
          <w:i/>
          <w:color w:val="000000"/>
          <w:sz w:val="24"/>
          <w:szCs w:val="24"/>
          <w:lang w:val="es-CO" w:eastAsia="es-CO"/>
        </w:rPr>
        <w:t>Declarar como zonas de protección y desarrollo de los recursos naturales renovables y del medio ambiente dando aplicación al principio de precaución […]</w:t>
      </w:r>
      <w:r w:rsidR="00883770" w:rsidRPr="00CD053A">
        <w:rPr>
          <w:rFonts w:ascii="Arial" w:hAnsi="Arial" w:cs="Arial"/>
          <w:i/>
          <w:color w:val="000000"/>
          <w:sz w:val="24"/>
          <w:szCs w:val="24"/>
          <w:lang w:val="es-CO" w:eastAsia="es-CO"/>
        </w:rPr>
        <w:t>”</w:t>
      </w:r>
      <w:r w:rsidR="00340546" w:rsidRPr="00CD053A">
        <w:rPr>
          <w:rFonts w:ascii="Arial" w:hAnsi="Arial" w:cs="Arial"/>
          <w:i/>
          <w:color w:val="000000"/>
          <w:sz w:val="24"/>
          <w:szCs w:val="24"/>
          <w:lang w:val="es-CO" w:eastAsia="es-CO"/>
        </w:rPr>
        <w:t xml:space="preserve"> </w:t>
      </w:r>
      <w:r w:rsidR="00340546" w:rsidRPr="00CD053A">
        <w:rPr>
          <w:rFonts w:ascii="Arial" w:hAnsi="Arial" w:cs="Arial"/>
          <w:color w:val="000000"/>
          <w:sz w:val="24"/>
          <w:szCs w:val="24"/>
          <w:lang w:val="es-CO" w:eastAsia="es-CO"/>
        </w:rPr>
        <w:t xml:space="preserve">un total de seis </w:t>
      </w:r>
      <w:r w:rsidR="00340546" w:rsidRPr="00CD053A">
        <w:rPr>
          <w:rFonts w:ascii="Arial" w:hAnsi="Arial" w:cs="Arial"/>
          <w:color w:val="000000"/>
          <w:sz w:val="24"/>
          <w:szCs w:val="24"/>
          <w:lang w:val="es-CO" w:eastAsia="es-CO"/>
        </w:rPr>
        <w:br/>
        <w:t xml:space="preserve"> (6) polígonos identificados como: Polígono 1. Selvas Transicionales de Cumaribo, Polígono 2. Alto de Manacacías, Polígono 3. Serranía de San Lucas, Polígono 4. Serranía de Perijá, Polígono</w:t>
      </w:r>
      <w:r w:rsidR="000450AA" w:rsidRPr="00CD053A">
        <w:rPr>
          <w:rFonts w:ascii="Arial" w:hAnsi="Arial" w:cs="Arial"/>
          <w:color w:val="000000"/>
          <w:sz w:val="24"/>
          <w:szCs w:val="24"/>
          <w:lang w:val="es-CO" w:eastAsia="es-CO"/>
        </w:rPr>
        <w:t xml:space="preserve"> </w:t>
      </w:r>
      <w:r w:rsidR="00340546" w:rsidRPr="00CD053A">
        <w:rPr>
          <w:rFonts w:ascii="Arial" w:hAnsi="Arial" w:cs="Arial"/>
          <w:color w:val="000000"/>
          <w:sz w:val="24"/>
          <w:szCs w:val="24"/>
          <w:lang w:val="es-CO" w:eastAsia="es-CO"/>
        </w:rPr>
        <w:t>5. Sabanas y Humedales de Arauca y Polígono 6. Bosques Secos del Patía.</w:t>
      </w:r>
    </w:p>
    <w:p w:rsidR="00340546" w:rsidRPr="00CD053A" w:rsidRDefault="00340546" w:rsidP="00560A86">
      <w:pPr>
        <w:pStyle w:val="Textosinformato"/>
        <w:jc w:val="both"/>
        <w:rPr>
          <w:rFonts w:ascii="Arial" w:hAnsi="Arial" w:cs="Arial"/>
          <w:color w:val="000000"/>
          <w:sz w:val="24"/>
          <w:szCs w:val="24"/>
          <w:lang w:val="es-CO" w:eastAsia="es-CO"/>
        </w:rPr>
      </w:pPr>
    </w:p>
    <w:p w:rsidR="00E83E93" w:rsidRPr="00CD053A" w:rsidRDefault="00E83E93" w:rsidP="00E83E93">
      <w:pPr>
        <w:jc w:val="both"/>
        <w:rPr>
          <w:rFonts w:ascii="Arial" w:hAnsi="Arial" w:cs="Arial"/>
          <w:szCs w:val="24"/>
          <w:lang w:val="es-ES_tradnl"/>
        </w:rPr>
      </w:pPr>
      <w:r w:rsidRPr="00CD053A">
        <w:rPr>
          <w:rFonts w:ascii="Arial" w:hAnsi="Arial" w:cs="Arial"/>
          <w:color w:val="000000"/>
          <w:szCs w:val="24"/>
          <w:lang w:val="es-CO" w:eastAsia="es-CO"/>
        </w:rPr>
        <w:t>Que mediante la Resolución 1433 del 13 de julio de 2017,</w:t>
      </w:r>
      <w:r w:rsidR="005A5A59" w:rsidRPr="00CD053A">
        <w:rPr>
          <w:rFonts w:ascii="Arial" w:hAnsi="Arial" w:cs="Arial"/>
          <w:color w:val="000000"/>
          <w:szCs w:val="24"/>
          <w:lang w:val="es-CO" w:eastAsia="es-CO"/>
        </w:rPr>
        <w:t xml:space="preserve"> este Ministerio</w:t>
      </w:r>
      <w:r w:rsidRPr="00CD053A">
        <w:rPr>
          <w:rFonts w:ascii="Arial" w:hAnsi="Arial" w:cs="Arial"/>
          <w:color w:val="000000"/>
          <w:szCs w:val="24"/>
          <w:lang w:val="es-CO" w:eastAsia="es-CO"/>
        </w:rPr>
        <w:t xml:space="preserve"> procedió</w:t>
      </w:r>
      <w:r w:rsidR="005A5A59" w:rsidRPr="00CD053A">
        <w:rPr>
          <w:rFonts w:ascii="Arial" w:hAnsi="Arial" w:cs="Arial"/>
          <w:color w:val="000000"/>
          <w:szCs w:val="24"/>
          <w:lang w:val="es-CO" w:eastAsia="es-CO"/>
        </w:rPr>
        <w:t xml:space="preserve"> </w:t>
      </w:r>
      <w:r w:rsidRPr="00CD053A">
        <w:rPr>
          <w:rFonts w:ascii="Arial" w:hAnsi="Arial" w:cs="Arial"/>
          <w:color w:val="000000"/>
          <w:szCs w:val="24"/>
          <w:lang w:val="es-CO" w:eastAsia="es-CO"/>
        </w:rPr>
        <w:t xml:space="preserve">a </w:t>
      </w:r>
      <w:r w:rsidRPr="00CD053A">
        <w:rPr>
          <w:rFonts w:ascii="Arial" w:hAnsi="Arial" w:cs="Arial"/>
          <w:i/>
          <w:color w:val="000000"/>
          <w:szCs w:val="24"/>
          <w:lang w:val="es-CO" w:eastAsia="es-CO"/>
        </w:rPr>
        <w:t>“</w:t>
      </w:r>
      <w:r w:rsidRPr="00CD053A">
        <w:rPr>
          <w:rFonts w:ascii="Arial" w:hAnsi="Arial" w:cs="Arial"/>
          <w:i/>
          <w:color w:val="000000"/>
          <w:szCs w:val="24"/>
        </w:rPr>
        <w:t xml:space="preserve">prorrogar por el término de un (1) año, […] </w:t>
      </w:r>
      <w:r w:rsidRPr="00CD053A">
        <w:rPr>
          <w:rFonts w:ascii="Arial" w:hAnsi="Arial" w:cs="Arial"/>
          <w:i/>
          <w:szCs w:val="24"/>
        </w:rPr>
        <w:t xml:space="preserve">las zonas de protección y desarrollo de los recursos naturales renovables y del medio ambiente, establecidas mediante </w:t>
      </w:r>
      <w:r w:rsidRPr="00CD053A">
        <w:rPr>
          <w:rFonts w:ascii="Arial" w:hAnsi="Arial" w:cs="Arial"/>
          <w:i/>
          <w:szCs w:val="24"/>
          <w:lang w:val="es-CO"/>
        </w:rPr>
        <w:t>la Resolución 1628 de 13 de julio de 2015”</w:t>
      </w:r>
      <w:r w:rsidRPr="00CD053A">
        <w:rPr>
          <w:rFonts w:ascii="Arial" w:hAnsi="Arial" w:cs="Arial"/>
          <w:szCs w:val="24"/>
          <w:lang w:val="es-CO"/>
        </w:rPr>
        <w:t>, manteniendo el diseño y la extensión de las mismas</w:t>
      </w:r>
      <w:r w:rsidRPr="00CD053A">
        <w:rPr>
          <w:rFonts w:ascii="Arial" w:hAnsi="Arial" w:cs="Arial"/>
          <w:color w:val="000000"/>
          <w:szCs w:val="24"/>
        </w:rPr>
        <w:t>.</w:t>
      </w:r>
      <w:r w:rsidRPr="00CD053A">
        <w:rPr>
          <w:rFonts w:ascii="Arial" w:hAnsi="Arial" w:cs="Arial"/>
          <w:szCs w:val="24"/>
          <w:lang w:val="es-ES_tradnl"/>
        </w:rPr>
        <w:t xml:space="preserve"> </w:t>
      </w:r>
    </w:p>
    <w:p w:rsidR="00E83E93" w:rsidRPr="00CD053A" w:rsidRDefault="00E83E93" w:rsidP="00560A86">
      <w:pPr>
        <w:pStyle w:val="Textosinformato"/>
        <w:jc w:val="both"/>
        <w:rPr>
          <w:rFonts w:ascii="Arial" w:hAnsi="Arial" w:cs="Arial"/>
          <w:color w:val="000000"/>
          <w:sz w:val="24"/>
          <w:szCs w:val="24"/>
          <w:lang w:val="es-ES_tradnl" w:eastAsia="es-CO"/>
        </w:rPr>
      </w:pPr>
    </w:p>
    <w:p w:rsidR="00E83E93" w:rsidRPr="00CD053A" w:rsidRDefault="005A5A59" w:rsidP="00560A86">
      <w:pPr>
        <w:pStyle w:val="Textosinformato"/>
        <w:jc w:val="both"/>
        <w:rPr>
          <w:rFonts w:ascii="Arial" w:hAnsi="Arial" w:cs="Arial"/>
          <w:color w:val="000000"/>
          <w:sz w:val="24"/>
          <w:szCs w:val="24"/>
          <w:lang w:val="es-ES_tradnl" w:eastAsia="es-CO"/>
        </w:rPr>
      </w:pPr>
      <w:r w:rsidRPr="00CD053A">
        <w:rPr>
          <w:rFonts w:ascii="Arial" w:hAnsi="Arial" w:cs="Arial"/>
          <w:color w:val="000000"/>
          <w:sz w:val="24"/>
          <w:szCs w:val="24"/>
          <w:lang w:val="es-ES_tradnl" w:eastAsia="es-CO"/>
        </w:rPr>
        <w:t xml:space="preserve">Que mediante la Resolución 1310 </w:t>
      </w:r>
      <w:r w:rsidR="00B71DBB" w:rsidRPr="00CD053A">
        <w:rPr>
          <w:rFonts w:ascii="Arial" w:hAnsi="Arial" w:cs="Arial"/>
          <w:color w:val="000000"/>
          <w:sz w:val="24"/>
          <w:szCs w:val="24"/>
          <w:lang w:val="es-ES_tradnl" w:eastAsia="es-CO"/>
        </w:rPr>
        <w:t xml:space="preserve">del 13 de julio </w:t>
      </w:r>
      <w:r w:rsidRPr="00CD053A">
        <w:rPr>
          <w:rFonts w:ascii="Arial" w:hAnsi="Arial" w:cs="Arial"/>
          <w:color w:val="000000"/>
          <w:sz w:val="24"/>
          <w:szCs w:val="24"/>
          <w:lang w:val="es-ES_tradnl" w:eastAsia="es-CO"/>
        </w:rPr>
        <w:t>de 2018, est</w:t>
      </w:r>
      <w:r w:rsidR="00FB1EFA">
        <w:rPr>
          <w:rFonts w:ascii="Arial" w:hAnsi="Arial" w:cs="Arial"/>
          <w:color w:val="000000"/>
          <w:sz w:val="24"/>
          <w:szCs w:val="24"/>
          <w:lang w:val="es-ES_tradnl" w:eastAsia="es-CO"/>
        </w:rPr>
        <w:t>a Cartera Ministerial</w:t>
      </w:r>
      <w:r w:rsidR="00DB65E6" w:rsidRPr="00CD053A">
        <w:rPr>
          <w:rFonts w:ascii="Arial" w:hAnsi="Arial" w:cs="Arial"/>
          <w:color w:val="000000"/>
          <w:sz w:val="24"/>
          <w:szCs w:val="24"/>
          <w:lang w:val="es-ES_tradnl" w:eastAsia="es-CO"/>
        </w:rPr>
        <w:t xml:space="preserve"> procedió a prorrogar por el </w:t>
      </w:r>
      <w:r w:rsidRPr="00CD053A">
        <w:rPr>
          <w:rFonts w:ascii="Arial" w:hAnsi="Arial" w:cs="Arial"/>
          <w:color w:val="000000"/>
          <w:sz w:val="24"/>
          <w:szCs w:val="24"/>
          <w:lang w:val="es-ES_tradnl" w:eastAsia="es-CO"/>
        </w:rPr>
        <w:t>t</w:t>
      </w:r>
      <w:r w:rsidR="00DB65E6" w:rsidRPr="00CD053A">
        <w:rPr>
          <w:rFonts w:ascii="Arial" w:hAnsi="Arial" w:cs="Arial"/>
          <w:color w:val="000000"/>
          <w:sz w:val="24"/>
          <w:szCs w:val="24"/>
          <w:lang w:val="es-ES_tradnl" w:eastAsia="es-CO"/>
        </w:rPr>
        <w:t>é</w:t>
      </w:r>
      <w:r w:rsidRPr="00CD053A">
        <w:rPr>
          <w:rFonts w:ascii="Arial" w:hAnsi="Arial" w:cs="Arial"/>
          <w:color w:val="000000"/>
          <w:sz w:val="24"/>
          <w:szCs w:val="24"/>
          <w:lang w:val="es-ES_tradnl" w:eastAsia="es-CO"/>
        </w:rPr>
        <w:t>rmino de un año, los efectos jurídicos de las zonas de protección y desarrollo de los recursos naturales</w:t>
      </w:r>
      <w:r w:rsidR="000450AA" w:rsidRPr="00CD053A">
        <w:rPr>
          <w:rFonts w:ascii="Arial" w:hAnsi="Arial" w:cs="Arial"/>
          <w:color w:val="000000"/>
          <w:sz w:val="24"/>
          <w:szCs w:val="24"/>
          <w:lang w:val="es-ES_tradnl" w:eastAsia="es-CO"/>
        </w:rPr>
        <w:t xml:space="preserve"> renovables y del medio ambiente, manteniendo las áreas y límites establecidos en las Resoluciones 1628 de 2015 y 1433 de 2017, para los polígonos identificados como </w:t>
      </w:r>
      <w:r w:rsidR="000450AA" w:rsidRPr="00CD053A">
        <w:rPr>
          <w:rFonts w:ascii="Arial" w:hAnsi="Arial" w:cs="Arial"/>
          <w:color w:val="000000"/>
          <w:sz w:val="24"/>
          <w:szCs w:val="24"/>
          <w:lang w:val="es-CO" w:eastAsia="es-CO"/>
        </w:rPr>
        <w:t xml:space="preserve">Polígono 1. Selvas Transicionales de Cumaribo, Polígono 3. Serranía de San Lucas y Polígono 6. Bosques Secos del Patía. Modificando las áreas para los polígonos identificados como </w:t>
      </w:r>
      <w:r w:rsidR="00DB65E6" w:rsidRPr="00CD053A">
        <w:rPr>
          <w:rFonts w:ascii="Arial" w:hAnsi="Arial" w:cs="Arial"/>
          <w:color w:val="000000"/>
          <w:sz w:val="24"/>
          <w:szCs w:val="24"/>
          <w:lang w:val="es-CO" w:eastAsia="es-CO"/>
        </w:rPr>
        <w:t>Polígono 2. Alto de Manacacías, Polígono 4. Serranía de Perijá y Polígono 5. Sabanas y Humedales de Arauca.</w:t>
      </w:r>
    </w:p>
    <w:p w:rsidR="005A5A59" w:rsidRPr="00CD053A" w:rsidRDefault="005A5A59" w:rsidP="00560A86">
      <w:pPr>
        <w:pStyle w:val="Textosinformato"/>
        <w:jc w:val="both"/>
        <w:rPr>
          <w:rFonts w:ascii="Arial" w:hAnsi="Arial" w:cs="Arial"/>
          <w:color w:val="000000"/>
          <w:sz w:val="24"/>
          <w:szCs w:val="24"/>
          <w:lang w:val="es-CO" w:eastAsia="es-CO"/>
        </w:rPr>
      </w:pPr>
    </w:p>
    <w:p w:rsidR="00D57AAF" w:rsidRPr="00CD053A" w:rsidRDefault="00872A9B" w:rsidP="00560A86">
      <w:pPr>
        <w:pStyle w:val="Textosinformato"/>
        <w:jc w:val="both"/>
        <w:rPr>
          <w:rFonts w:ascii="Arial" w:hAnsi="Arial" w:cs="Arial"/>
          <w:sz w:val="24"/>
          <w:szCs w:val="24"/>
        </w:rPr>
      </w:pPr>
      <w:r w:rsidRPr="00CD053A">
        <w:rPr>
          <w:rFonts w:ascii="Arial" w:hAnsi="Arial" w:cs="Arial"/>
          <w:color w:val="000000"/>
          <w:sz w:val="24"/>
          <w:szCs w:val="24"/>
          <w:lang w:val="es-CO" w:eastAsia="es-CO"/>
        </w:rPr>
        <w:t xml:space="preserve">Que el artículo 2 de la </w:t>
      </w:r>
      <w:r w:rsidR="006128F3" w:rsidRPr="00CD053A">
        <w:rPr>
          <w:rFonts w:ascii="Arial" w:hAnsi="Arial" w:cs="Arial"/>
          <w:color w:val="000000"/>
          <w:sz w:val="24"/>
          <w:szCs w:val="24"/>
          <w:lang w:val="es-CO" w:eastAsia="es-CO"/>
        </w:rPr>
        <w:t>citada R</w:t>
      </w:r>
      <w:r w:rsidR="006A7C99" w:rsidRPr="00CD053A">
        <w:rPr>
          <w:rFonts w:ascii="Arial" w:hAnsi="Arial" w:cs="Arial"/>
          <w:color w:val="000000"/>
          <w:sz w:val="24"/>
          <w:szCs w:val="24"/>
          <w:lang w:val="es-CO" w:eastAsia="es-CO"/>
        </w:rPr>
        <w:t>esolu</w:t>
      </w:r>
      <w:r w:rsidR="00D57AAF" w:rsidRPr="00CD053A">
        <w:rPr>
          <w:rFonts w:ascii="Arial" w:hAnsi="Arial" w:cs="Arial"/>
          <w:color w:val="000000"/>
          <w:sz w:val="24"/>
          <w:szCs w:val="24"/>
          <w:lang w:val="es-CO" w:eastAsia="es-CO"/>
        </w:rPr>
        <w:t>ción</w:t>
      </w:r>
      <w:r w:rsidR="006128F3" w:rsidRPr="00CD053A">
        <w:rPr>
          <w:rFonts w:ascii="Arial" w:hAnsi="Arial" w:cs="Arial"/>
          <w:color w:val="000000"/>
          <w:sz w:val="24"/>
          <w:szCs w:val="24"/>
          <w:lang w:val="es-CO" w:eastAsia="es-CO"/>
        </w:rPr>
        <w:t xml:space="preserve"> 1310 de 2018</w:t>
      </w:r>
      <w:r w:rsidRPr="00CD053A">
        <w:rPr>
          <w:rFonts w:ascii="Arial" w:hAnsi="Arial" w:cs="Arial"/>
          <w:color w:val="000000"/>
          <w:sz w:val="24"/>
          <w:szCs w:val="24"/>
          <w:lang w:val="es-CO" w:eastAsia="es-CO"/>
        </w:rPr>
        <w:t xml:space="preserve"> previó</w:t>
      </w:r>
      <w:r w:rsidRPr="00CD053A">
        <w:rPr>
          <w:rFonts w:ascii="Arial" w:hAnsi="Arial" w:cs="Arial"/>
          <w:i/>
          <w:color w:val="000000"/>
          <w:sz w:val="24"/>
          <w:szCs w:val="24"/>
          <w:lang w:val="es-CO" w:eastAsia="es-CO"/>
        </w:rPr>
        <w:t>:</w:t>
      </w:r>
      <w:bookmarkStart w:id="0" w:name="2"/>
      <w:r w:rsidRPr="00CD053A">
        <w:rPr>
          <w:rFonts w:ascii="Arial" w:hAnsi="Arial" w:cs="Arial"/>
          <w:i/>
          <w:color w:val="000000"/>
          <w:sz w:val="24"/>
          <w:szCs w:val="24"/>
          <w:lang w:val="es-CO" w:eastAsia="es-CO"/>
        </w:rPr>
        <w:t xml:space="preserve"> </w:t>
      </w:r>
      <w:r w:rsidRPr="00CD053A">
        <w:rPr>
          <w:rFonts w:ascii="Arial" w:hAnsi="Arial" w:cs="Arial"/>
          <w:i/>
          <w:sz w:val="24"/>
          <w:szCs w:val="24"/>
          <w:lang w:val="es-CO" w:eastAsia="es-CO"/>
        </w:rPr>
        <w:t>“</w:t>
      </w:r>
      <w:bookmarkEnd w:id="0"/>
      <w:r w:rsidR="006128F3" w:rsidRPr="00CD053A">
        <w:rPr>
          <w:rFonts w:ascii="Arial" w:hAnsi="Arial" w:cs="Arial"/>
          <w:bCs/>
          <w:i/>
          <w:sz w:val="24"/>
          <w:szCs w:val="24"/>
        </w:rPr>
        <w:t xml:space="preserve">Los efectos contenidos en la Resolución 1628 de 2015 y de la Resolución 1433 de 2017 se mantendrán por el tiempo de vigencia del presente acto administrativo”, </w:t>
      </w:r>
      <w:r w:rsidR="006128F3" w:rsidRPr="00CD053A">
        <w:rPr>
          <w:rFonts w:ascii="Arial" w:hAnsi="Arial" w:cs="Arial"/>
          <w:bCs/>
          <w:sz w:val="24"/>
          <w:szCs w:val="24"/>
        </w:rPr>
        <w:t xml:space="preserve">el cual, conforme lo señalado en </w:t>
      </w:r>
      <w:r w:rsidR="006128F3" w:rsidRPr="00CD053A">
        <w:rPr>
          <w:rFonts w:ascii="Arial" w:hAnsi="Arial" w:cs="Arial"/>
          <w:bCs/>
          <w:sz w:val="24"/>
          <w:szCs w:val="24"/>
        </w:rPr>
        <w:lastRenderedPageBreak/>
        <w:t>el artículo primero de dicha resolución, correspondía al término de un año, contado a partir de la fecha de su expedición</w:t>
      </w:r>
      <w:r w:rsidR="00D57AAF" w:rsidRPr="00CD053A">
        <w:rPr>
          <w:rFonts w:ascii="Arial" w:hAnsi="Arial" w:cs="Arial"/>
          <w:sz w:val="24"/>
          <w:szCs w:val="24"/>
        </w:rPr>
        <w:t>.</w:t>
      </w:r>
    </w:p>
    <w:p w:rsidR="003F5A86" w:rsidRPr="00CD053A" w:rsidRDefault="003F5A86" w:rsidP="005C4538">
      <w:pPr>
        <w:pStyle w:val="Textosinformato"/>
        <w:jc w:val="both"/>
        <w:rPr>
          <w:rFonts w:ascii="Arial" w:hAnsi="Arial" w:cs="Arial"/>
          <w:sz w:val="24"/>
          <w:szCs w:val="24"/>
        </w:rPr>
      </w:pPr>
    </w:p>
    <w:p w:rsidR="006A0470" w:rsidRPr="00CD053A" w:rsidRDefault="001C3C14" w:rsidP="00A70F23">
      <w:pPr>
        <w:pStyle w:val="Textosinformato"/>
        <w:jc w:val="both"/>
        <w:rPr>
          <w:rFonts w:ascii="Arial" w:hAnsi="Arial" w:cs="Arial"/>
          <w:sz w:val="24"/>
          <w:szCs w:val="24"/>
        </w:rPr>
      </w:pPr>
      <w:r w:rsidRPr="00CD053A">
        <w:rPr>
          <w:rFonts w:ascii="Arial" w:hAnsi="Arial" w:cs="Arial"/>
          <w:sz w:val="24"/>
          <w:szCs w:val="24"/>
        </w:rPr>
        <w:t xml:space="preserve">Que Parques Nacionales Naturales </w:t>
      </w:r>
      <w:r w:rsidR="002C6AD9" w:rsidRPr="00CD053A">
        <w:rPr>
          <w:rFonts w:ascii="Arial" w:hAnsi="Arial" w:cs="Arial"/>
          <w:sz w:val="24"/>
          <w:szCs w:val="24"/>
        </w:rPr>
        <w:t xml:space="preserve">mediante </w:t>
      </w:r>
      <w:r w:rsidR="00CD3151" w:rsidRPr="00CD053A">
        <w:rPr>
          <w:rFonts w:ascii="Arial" w:hAnsi="Arial" w:cs="Arial"/>
          <w:sz w:val="24"/>
          <w:szCs w:val="24"/>
        </w:rPr>
        <w:t xml:space="preserve">informe </w:t>
      </w:r>
      <w:r w:rsidR="002C6AD9" w:rsidRPr="00CD053A">
        <w:rPr>
          <w:rFonts w:ascii="Arial" w:hAnsi="Arial" w:cs="Arial"/>
          <w:sz w:val="24"/>
          <w:szCs w:val="24"/>
        </w:rPr>
        <w:t xml:space="preserve">radicado </w:t>
      </w:r>
      <w:r w:rsidR="006A7C99" w:rsidRPr="00CD053A">
        <w:rPr>
          <w:rFonts w:ascii="Arial" w:hAnsi="Arial" w:cs="Arial"/>
          <w:sz w:val="24"/>
          <w:szCs w:val="24"/>
        </w:rPr>
        <w:t>bajo el No.</w:t>
      </w:r>
      <w:r w:rsidR="00CD3151" w:rsidRPr="00CD053A">
        <w:rPr>
          <w:rFonts w:ascii="Arial" w:hAnsi="Arial" w:cs="Arial"/>
          <w:sz w:val="24"/>
          <w:szCs w:val="24"/>
        </w:rPr>
        <w:t>13184</w:t>
      </w:r>
      <w:r w:rsidR="00E0010F" w:rsidRPr="00CD053A">
        <w:rPr>
          <w:rFonts w:ascii="Arial" w:hAnsi="Arial" w:cs="Arial"/>
          <w:sz w:val="24"/>
          <w:szCs w:val="24"/>
        </w:rPr>
        <w:t xml:space="preserve"> de</w:t>
      </w:r>
      <w:r w:rsidR="00CD3151" w:rsidRPr="00CD053A">
        <w:rPr>
          <w:rFonts w:ascii="Arial" w:hAnsi="Arial" w:cs="Arial"/>
          <w:sz w:val="24"/>
          <w:szCs w:val="24"/>
        </w:rPr>
        <w:t>l 13</w:t>
      </w:r>
      <w:r w:rsidR="006A0470" w:rsidRPr="00CD053A">
        <w:rPr>
          <w:rFonts w:ascii="Arial" w:hAnsi="Arial" w:cs="Arial"/>
          <w:sz w:val="24"/>
          <w:szCs w:val="24"/>
        </w:rPr>
        <w:t xml:space="preserve"> de </w:t>
      </w:r>
      <w:r w:rsidR="00CD3151" w:rsidRPr="00CD053A">
        <w:rPr>
          <w:rFonts w:ascii="Arial" w:hAnsi="Arial" w:cs="Arial"/>
          <w:sz w:val="24"/>
          <w:szCs w:val="24"/>
        </w:rPr>
        <w:t>juni</w:t>
      </w:r>
      <w:r w:rsidR="006A0470" w:rsidRPr="00CD053A">
        <w:rPr>
          <w:rFonts w:ascii="Arial" w:hAnsi="Arial" w:cs="Arial"/>
          <w:sz w:val="24"/>
          <w:szCs w:val="24"/>
        </w:rPr>
        <w:t>o de 2019</w:t>
      </w:r>
      <w:r w:rsidR="006A7C99" w:rsidRPr="00CD053A">
        <w:rPr>
          <w:rFonts w:ascii="Arial" w:hAnsi="Arial" w:cs="Arial"/>
          <w:sz w:val="24"/>
          <w:szCs w:val="24"/>
        </w:rPr>
        <w:t>,</w:t>
      </w:r>
      <w:r w:rsidR="002C6AD9" w:rsidRPr="00CD053A">
        <w:rPr>
          <w:rFonts w:ascii="Arial" w:hAnsi="Arial" w:cs="Arial"/>
          <w:sz w:val="24"/>
          <w:szCs w:val="24"/>
        </w:rPr>
        <w:t xml:space="preserve"> entregó a este Ministerio el documento técnico </w:t>
      </w:r>
      <w:r w:rsidR="006A0470" w:rsidRPr="00CD053A">
        <w:rPr>
          <w:rFonts w:ascii="Arial" w:hAnsi="Arial" w:cs="Arial"/>
          <w:sz w:val="24"/>
          <w:szCs w:val="24"/>
        </w:rPr>
        <w:t>titulado</w:t>
      </w:r>
      <w:r w:rsidR="00805BBE" w:rsidRPr="00CD053A">
        <w:rPr>
          <w:rFonts w:ascii="Arial" w:hAnsi="Arial" w:cs="Arial"/>
          <w:sz w:val="24"/>
          <w:szCs w:val="24"/>
        </w:rPr>
        <w:t xml:space="preserve"> </w:t>
      </w:r>
      <w:r w:rsidR="006A0470" w:rsidRPr="00CD053A">
        <w:rPr>
          <w:rFonts w:ascii="Arial" w:hAnsi="Arial" w:cs="Arial"/>
          <w:i/>
          <w:sz w:val="24"/>
          <w:szCs w:val="24"/>
        </w:rPr>
        <w:t>“</w:t>
      </w:r>
      <w:r w:rsidR="00CD3151" w:rsidRPr="00CD053A">
        <w:rPr>
          <w:rFonts w:ascii="Arial" w:hAnsi="Arial" w:cs="Arial"/>
          <w:i/>
          <w:sz w:val="24"/>
          <w:szCs w:val="24"/>
        </w:rPr>
        <w:t>Justificación para la prorroga y modificación de la Resolución 1310 de 2018</w:t>
      </w:r>
      <w:r w:rsidR="006A0470" w:rsidRPr="00CD053A">
        <w:rPr>
          <w:rFonts w:ascii="Arial" w:hAnsi="Arial" w:cs="Arial"/>
          <w:i/>
          <w:sz w:val="24"/>
          <w:szCs w:val="24"/>
        </w:rPr>
        <w:t>”,</w:t>
      </w:r>
      <w:r w:rsidR="006A0470" w:rsidRPr="00CD053A">
        <w:rPr>
          <w:rFonts w:ascii="Arial" w:hAnsi="Arial" w:cs="Arial"/>
          <w:sz w:val="24"/>
          <w:szCs w:val="24"/>
        </w:rPr>
        <w:t xml:space="preserve"> en el cual se evidencia el avance</w:t>
      </w:r>
      <w:r w:rsidR="00805BBE" w:rsidRPr="00CD053A">
        <w:rPr>
          <w:rFonts w:ascii="Arial" w:hAnsi="Arial" w:cs="Arial"/>
          <w:sz w:val="24"/>
          <w:szCs w:val="24"/>
        </w:rPr>
        <w:t xml:space="preserve">, los resultados y las acciones que </w:t>
      </w:r>
      <w:r w:rsidR="00E8744E">
        <w:rPr>
          <w:rFonts w:ascii="Arial" w:hAnsi="Arial" w:cs="Arial"/>
          <w:sz w:val="24"/>
          <w:szCs w:val="24"/>
        </w:rPr>
        <w:t xml:space="preserve">se hacen </w:t>
      </w:r>
      <w:r w:rsidR="00FB1EFA">
        <w:rPr>
          <w:rFonts w:ascii="Arial" w:hAnsi="Arial" w:cs="Arial"/>
          <w:sz w:val="24"/>
          <w:szCs w:val="24"/>
        </w:rPr>
        <w:t>necesari</w:t>
      </w:r>
      <w:r w:rsidR="00E8744E">
        <w:rPr>
          <w:rFonts w:ascii="Arial" w:hAnsi="Arial" w:cs="Arial"/>
          <w:sz w:val="24"/>
          <w:szCs w:val="24"/>
        </w:rPr>
        <w:t>as</w:t>
      </w:r>
      <w:r w:rsidR="00FB1EFA">
        <w:rPr>
          <w:rFonts w:ascii="Arial" w:hAnsi="Arial" w:cs="Arial"/>
          <w:sz w:val="24"/>
          <w:szCs w:val="24"/>
        </w:rPr>
        <w:t xml:space="preserve"> desarrollar</w:t>
      </w:r>
      <w:r w:rsidR="00805BBE" w:rsidRPr="00CD053A">
        <w:rPr>
          <w:rFonts w:ascii="Arial" w:hAnsi="Arial" w:cs="Arial"/>
          <w:sz w:val="24"/>
          <w:szCs w:val="24"/>
        </w:rPr>
        <w:t xml:space="preserve"> en la implementación de la ruta declaratoria </w:t>
      </w:r>
      <w:r w:rsidR="00E8744E">
        <w:rPr>
          <w:rFonts w:ascii="Arial" w:hAnsi="Arial" w:cs="Arial"/>
          <w:sz w:val="24"/>
          <w:szCs w:val="24"/>
        </w:rPr>
        <w:t xml:space="preserve">para </w:t>
      </w:r>
      <w:r w:rsidR="00805BBE" w:rsidRPr="00CD053A">
        <w:rPr>
          <w:rFonts w:ascii="Arial" w:hAnsi="Arial" w:cs="Arial"/>
          <w:sz w:val="24"/>
          <w:szCs w:val="24"/>
        </w:rPr>
        <w:t xml:space="preserve">cada uno de los seis </w:t>
      </w:r>
      <w:r w:rsidR="00FB1EFA">
        <w:rPr>
          <w:rFonts w:ascii="Arial" w:hAnsi="Arial" w:cs="Arial"/>
          <w:sz w:val="24"/>
          <w:szCs w:val="24"/>
        </w:rPr>
        <w:t xml:space="preserve">(6) </w:t>
      </w:r>
      <w:r w:rsidR="00805BBE" w:rsidRPr="00CD053A">
        <w:rPr>
          <w:rFonts w:ascii="Arial" w:hAnsi="Arial" w:cs="Arial"/>
          <w:sz w:val="24"/>
          <w:szCs w:val="24"/>
        </w:rPr>
        <w:t>polígonos correspondientes a las zonas de protección y desarrollo de los recursos naturales renovables y del medio ambiente, declaradas mediante la Resolución 1628 de 2015</w:t>
      </w:r>
      <w:r w:rsidR="00E8744E">
        <w:rPr>
          <w:rFonts w:ascii="Arial" w:hAnsi="Arial" w:cs="Arial"/>
          <w:sz w:val="24"/>
          <w:szCs w:val="24"/>
        </w:rPr>
        <w:t>,</w:t>
      </w:r>
      <w:r w:rsidR="00805BBE" w:rsidRPr="00CD053A">
        <w:rPr>
          <w:rFonts w:ascii="Arial" w:hAnsi="Arial" w:cs="Arial"/>
          <w:sz w:val="24"/>
          <w:szCs w:val="24"/>
        </w:rPr>
        <w:t xml:space="preserve"> prorrogada mediante las Resoluciones 1433 de 2017 y 1310 de 2018</w:t>
      </w:r>
      <w:r w:rsidR="00982A10" w:rsidRPr="00CD053A">
        <w:rPr>
          <w:rFonts w:ascii="Arial" w:hAnsi="Arial" w:cs="Arial"/>
          <w:sz w:val="24"/>
          <w:szCs w:val="24"/>
        </w:rPr>
        <w:t>.</w:t>
      </w:r>
    </w:p>
    <w:p w:rsidR="00130264" w:rsidRPr="00CD053A" w:rsidRDefault="00130264" w:rsidP="00A70F23">
      <w:pPr>
        <w:pStyle w:val="Textosinformato"/>
        <w:jc w:val="both"/>
        <w:rPr>
          <w:rFonts w:ascii="Arial" w:hAnsi="Arial" w:cs="Arial"/>
          <w:sz w:val="24"/>
          <w:szCs w:val="24"/>
        </w:rPr>
      </w:pPr>
    </w:p>
    <w:p w:rsidR="00D90F98" w:rsidRPr="00CD053A" w:rsidRDefault="002A2E98" w:rsidP="00A70F23">
      <w:pPr>
        <w:pStyle w:val="Textosinformato"/>
        <w:jc w:val="both"/>
        <w:rPr>
          <w:rFonts w:ascii="Arial" w:hAnsi="Arial" w:cs="Arial"/>
          <w:sz w:val="24"/>
          <w:szCs w:val="24"/>
        </w:rPr>
      </w:pPr>
      <w:r w:rsidRPr="00CD053A">
        <w:rPr>
          <w:rFonts w:ascii="Arial" w:hAnsi="Arial" w:cs="Arial"/>
          <w:sz w:val="24"/>
          <w:szCs w:val="24"/>
        </w:rPr>
        <w:t xml:space="preserve">Que </w:t>
      </w:r>
      <w:r w:rsidR="00D90F98" w:rsidRPr="00CD053A">
        <w:rPr>
          <w:rFonts w:ascii="Arial" w:hAnsi="Arial" w:cs="Arial"/>
          <w:sz w:val="24"/>
          <w:szCs w:val="24"/>
        </w:rPr>
        <w:t>ante</w:t>
      </w:r>
      <w:r w:rsidRPr="00CD053A">
        <w:rPr>
          <w:rFonts w:ascii="Arial" w:hAnsi="Arial" w:cs="Arial"/>
          <w:sz w:val="24"/>
          <w:szCs w:val="24"/>
        </w:rPr>
        <w:t xml:space="preserve"> </w:t>
      </w:r>
      <w:r w:rsidR="00D90F98" w:rsidRPr="00CD053A">
        <w:rPr>
          <w:rFonts w:ascii="Arial" w:hAnsi="Arial" w:cs="Arial"/>
          <w:sz w:val="24"/>
          <w:szCs w:val="24"/>
        </w:rPr>
        <w:t>la necesidad de mantener los efectos de las zonas de protección y desarrollo de los recursos naturales renovables y de protección del medio ambiente declaradas mediante las Resoluciones 1628 de 2015, 1433 de 2017 y 1310 de 2018, partiendo de los avances en el proceso y desarrollo de la ruta de declaratoria reglamentada mediante la Resolución 1125 de 2015</w:t>
      </w:r>
      <w:r w:rsidR="00E8744E">
        <w:rPr>
          <w:rFonts w:ascii="Arial" w:hAnsi="Arial" w:cs="Arial"/>
          <w:sz w:val="24"/>
          <w:szCs w:val="24"/>
        </w:rPr>
        <w:t xml:space="preserve"> </w:t>
      </w:r>
      <w:r w:rsidR="00D90F98" w:rsidRPr="00CD053A">
        <w:rPr>
          <w:rFonts w:ascii="Arial" w:hAnsi="Arial" w:cs="Arial"/>
          <w:sz w:val="24"/>
          <w:szCs w:val="24"/>
        </w:rPr>
        <w:t>y teniendo en cuenta la articulación y</w:t>
      </w:r>
      <w:r w:rsidR="00E8744E">
        <w:rPr>
          <w:rFonts w:ascii="Arial" w:hAnsi="Arial" w:cs="Arial"/>
          <w:sz w:val="24"/>
          <w:szCs w:val="24"/>
        </w:rPr>
        <w:t xml:space="preserve"> colaboración </w:t>
      </w:r>
      <w:r w:rsidR="00D90F98" w:rsidRPr="00CD053A">
        <w:rPr>
          <w:rFonts w:ascii="Arial" w:hAnsi="Arial" w:cs="Arial"/>
          <w:sz w:val="24"/>
          <w:szCs w:val="24"/>
        </w:rPr>
        <w:t xml:space="preserve">institucional </w:t>
      </w:r>
      <w:r w:rsidR="00E8744E">
        <w:rPr>
          <w:rFonts w:ascii="Arial" w:hAnsi="Arial" w:cs="Arial"/>
          <w:sz w:val="24"/>
          <w:szCs w:val="24"/>
        </w:rPr>
        <w:t xml:space="preserve">para el cumplimiento del </w:t>
      </w:r>
      <w:r w:rsidR="00D90F98" w:rsidRPr="00CD053A">
        <w:rPr>
          <w:rFonts w:ascii="Arial" w:hAnsi="Arial" w:cs="Arial"/>
          <w:sz w:val="24"/>
          <w:szCs w:val="24"/>
        </w:rPr>
        <w:t>artículo 34 de la Ley 685 de 2001 y el artículo 2.2.2.</w:t>
      </w:r>
      <w:r w:rsidR="00E8744E">
        <w:rPr>
          <w:rFonts w:ascii="Arial" w:hAnsi="Arial" w:cs="Arial"/>
          <w:sz w:val="24"/>
          <w:szCs w:val="24"/>
        </w:rPr>
        <w:t>1.5.4 del Decreto 1076 de 2015</w:t>
      </w:r>
      <w:r w:rsidR="00D90F98" w:rsidRPr="00CD053A">
        <w:rPr>
          <w:rFonts w:ascii="Arial" w:hAnsi="Arial" w:cs="Arial"/>
          <w:sz w:val="24"/>
          <w:szCs w:val="24"/>
        </w:rPr>
        <w:t>, se llevó a cabo una reunión con la Agencia Nacional de Minería el día 12 de junio de 2019, en la cual a partir de la información entregada por Parques Nacionales Naturales a este Ministerio, se analizaron cada uno de los seis</w:t>
      </w:r>
      <w:r w:rsidR="00E8744E">
        <w:rPr>
          <w:rFonts w:ascii="Arial" w:hAnsi="Arial" w:cs="Arial"/>
          <w:sz w:val="24"/>
          <w:szCs w:val="24"/>
        </w:rPr>
        <w:t xml:space="preserve">(6) </w:t>
      </w:r>
      <w:r w:rsidR="00D90F98" w:rsidRPr="00CD053A">
        <w:rPr>
          <w:rFonts w:ascii="Arial" w:hAnsi="Arial" w:cs="Arial"/>
          <w:sz w:val="24"/>
          <w:szCs w:val="24"/>
        </w:rPr>
        <w:t>polígonos de las zonas de protección de interés nacional, correspondientes a Selvas Transicionales de Cumaribo, San Lucas, Bosques secos del Patía, Alto Manacacías, Serranía de Perijá y Sabanas y Humedales de Arauca.</w:t>
      </w:r>
    </w:p>
    <w:p w:rsidR="00E27093" w:rsidRPr="00CD053A" w:rsidRDefault="00E27093" w:rsidP="00A70F23">
      <w:pPr>
        <w:pStyle w:val="Textosinformato"/>
        <w:jc w:val="both"/>
        <w:rPr>
          <w:rFonts w:ascii="Arial" w:hAnsi="Arial" w:cs="Arial"/>
          <w:sz w:val="24"/>
          <w:szCs w:val="24"/>
        </w:rPr>
      </w:pPr>
    </w:p>
    <w:p w:rsidR="00E27093" w:rsidRPr="00CD053A" w:rsidRDefault="008B30B5" w:rsidP="00E27093">
      <w:pPr>
        <w:pStyle w:val="CuerpoA"/>
        <w:contextualSpacing/>
        <w:jc w:val="both"/>
        <w:rPr>
          <w:rFonts w:ascii="Arial" w:eastAsia="Times New Roman" w:hAnsi="Arial" w:cs="Arial"/>
          <w:color w:val="auto"/>
          <w:bdr w:val="none" w:sz="0" w:space="0" w:color="auto"/>
          <w:lang w:val="es-ES" w:eastAsia="es-ES"/>
        </w:rPr>
      </w:pPr>
      <w:r w:rsidRPr="00CD053A">
        <w:rPr>
          <w:rFonts w:ascii="Arial" w:eastAsia="Times New Roman" w:hAnsi="Arial" w:cs="Arial"/>
          <w:color w:val="auto"/>
          <w:bdr w:val="none" w:sz="0" w:space="0" w:color="auto"/>
          <w:lang w:val="es-ES" w:eastAsia="es-ES"/>
        </w:rPr>
        <w:t xml:space="preserve">Que </w:t>
      </w:r>
      <w:r w:rsidR="00141F40">
        <w:rPr>
          <w:rFonts w:ascii="Arial" w:eastAsia="Times New Roman" w:hAnsi="Arial" w:cs="Arial"/>
          <w:color w:val="auto"/>
          <w:bdr w:val="none" w:sz="0" w:space="0" w:color="auto"/>
          <w:lang w:val="es-ES" w:eastAsia="es-ES"/>
        </w:rPr>
        <w:t xml:space="preserve">conforme con los </w:t>
      </w:r>
      <w:r w:rsidR="00E8744E">
        <w:rPr>
          <w:rFonts w:ascii="Arial" w:eastAsia="Times New Roman" w:hAnsi="Arial" w:cs="Arial"/>
          <w:color w:val="auto"/>
          <w:bdr w:val="none" w:sz="0" w:space="0" w:color="auto"/>
          <w:lang w:val="es-ES" w:eastAsia="es-ES"/>
        </w:rPr>
        <w:t>resultados</w:t>
      </w:r>
      <w:r w:rsidR="00E27093" w:rsidRPr="00CD053A">
        <w:rPr>
          <w:rFonts w:ascii="Arial" w:eastAsia="Times New Roman" w:hAnsi="Arial" w:cs="Arial"/>
          <w:color w:val="auto"/>
          <w:bdr w:val="none" w:sz="0" w:space="0" w:color="auto"/>
          <w:lang w:val="es-ES" w:eastAsia="es-ES"/>
        </w:rPr>
        <w:t xml:space="preserve"> generados en dicha reunión, la Dirección de Bosques, Biodiversidad y Servicios Ecosistémicos de este Ministerio, a través de oficio con radicado 8201-2-9763 del 14 de junio de 2019, remitió a la ANM la información cartográfica de las mencionadas zonas de protección, relacionando las áreas que mantienen el diseño original en el polígono de referencia, así como aquellas que sufren algún tipo de modificación con el fin de que dicha autoridad minera adelantara los análisis correspondientes.</w:t>
      </w:r>
    </w:p>
    <w:p w:rsidR="00E27093" w:rsidRPr="00141F40" w:rsidRDefault="00E27093" w:rsidP="00A70F23">
      <w:pPr>
        <w:pStyle w:val="Textosinformato"/>
        <w:jc w:val="both"/>
        <w:rPr>
          <w:rFonts w:ascii="Arial" w:hAnsi="Arial" w:cs="Arial"/>
          <w:sz w:val="24"/>
          <w:szCs w:val="24"/>
        </w:rPr>
      </w:pPr>
    </w:p>
    <w:p w:rsidR="00CD053A" w:rsidRPr="00CD053A" w:rsidRDefault="0040022B" w:rsidP="00CD053A">
      <w:pPr>
        <w:pStyle w:val="Textosinformato"/>
        <w:jc w:val="both"/>
        <w:rPr>
          <w:rFonts w:ascii="Arial" w:hAnsi="Arial" w:cs="Arial"/>
          <w:sz w:val="24"/>
          <w:szCs w:val="24"/>
        </w:rPr>
      </w:pPr>
      <w:r w:rsidRPr="00CD053A">
        <w:rPr>
          <w:rFonts w:ascii="Arial" w:hAnsi="Arial" w:cs="Arial"/>
          <w:sz w:val="24"/>
          <w:szCs w:val="24"/>
        </w:rPr>
        <w:t>Que l</w:t>
      </w:r>
      <w:r w:rsidR="008B30B5" w:rsidRPr="00CD053A">
        <w:rPr>
          <w:rFonts w:ascii="Arial" w:hAnsi="Arial" w:cs="Arial"/>
          <w:sz w:val="24"/>
          <w:szCs w:val="24"/>
        </w:rPr>
        <w:t xml:space="preserve">a Agencia Nacional de Minería, </w:t>
      </w:r>
      <w:r w:rsidR="00CD053A" w:rsidRPr="00CD053A">
        <w:rPr>
          <w:rFonts w:ascii="Arial" w:hAnsi="Arial" w:cs="Arial"/>
          <w:sz w:val="24"/>
          <w:szCs w:val="24"/>
        </w:rPr>
        <w:t>mediante oficio con radicado No. 20192000265561 del 26 de junio de 2019, dio respuesta a la solicitud de la información adelantada por este Ministerio, en la que expreso para cada una de las áreas lo siguiente:</w:t>
      </w:r>
    </w:p>
    <w:p w:rsidR="00CD053A" w:rsidRPr="00CD053A" w:rsidRDefault="00CD053A" w:rsidP="00CD053A">
      <w:pPr>
        <w:pStyle w:val="Textosinformato"/>
        <w:jc w:val="both"/>
        <w:rPr>
          <w:rFonts w:ascii="Arial" w:hAnsi="Arial" w:cs="Arial"/>
          <w:sz w:val="24"/>
          <w:szCs w:val="24"/>
        </w:rPr>
      </w:pPr>
    </w:p>
    <w:p w:rsidR="00CD053A" w:rsidRPr="00CD053A" w:rsidRDefault="00CD053A" w:rsidP="00CD053A">
      <w:pPr>
        <w:pStyle w:val="Textosinformato"/>
        <w:jc w:val="both"/>
        <w:rPr>
          <w:rFonts w:ascii="Arial" w:hAnsi="Arial" w:cs="Arial"/>
          <w:b/>
          <w:sz w:val="24"/>
          <w:szCs w:val="24"/>
        </w:rPr>
      </w:pPr>
      <w:r w:rsidRPr="00CD053A">
        <w:rPr>
          <w:rFonts w:ascii="Arial" w:hAnsi="Arial" w:cs="Arial"/>
          <w:b/>
          <w:sz w:val="24"/>
          <w:szCs w:val="24"/>
        </w:rPr>
        <w:t>Selvas Transicionales de Cumaribo</w:t>
      </w:r>
    </w:p>
    <w:p w:rsidR="00CD053A" w:rsidRPr="00CD053A" w:rsidRDefault="00CD053A" w:rsidP="00CD053A">
      <w:pPr>
        <w:pStyle w:val="Textosinformato"/>
        <w:jc w:val="both"/>
        <w:rPr>
          <w:rFonts w:ascii="Arial" w:hAnsi="Arial" w:cs="Arial"/>
          <w:sz w:val="24"/>
          <w:szCs w:val="24"/>
        </w:rPr>
      </w:pPr>
    </w:p>
    <w:p w:rsidR="00CD053A" w:rsidRPr="00542F0C" w:rsidRDefault="00CD053A" w:rsidP="00CD053A">
      <w:pPr>
        <w:pStyle w:val="Textosinformato"/>
        <w:jc w:val="both"/>
        <w:rPr>
          <w:rFonts w:ascii="Arial" w:hAnsi="Arial" w:cs="Arial"/>
          <w:i/>
          <w:sz w:val="24"/>
          <w:szCs w:val="24"/>
        </w:rPr>
      </w:pPr>
      <w:r w:rsidRPr="00542F0C">
        <w:rPr>
          <w:rFonts w:ascii="Arial" w:hAnsi="Arial" w:cs="Arial"/>
          <w:i/>
          <w:sz w:val="24"/>
          <w:szCs w:val="24"/>
        </w:rPr>
        <w:t>“ […] este polígono no presenta modificaciones con relación al polígono definido en la Resolución 1310 de 2018 […]” y “El polígono Selvas Transicionales de Cumaribo, no presenta superposición con títulos mineros vigentes, solicitudes de propuesta de contrato de concesión vigentes, solicitudes de legalización de minería tradicional vigentes (…), solicitudes de legalización minería de hecho vigentes Ley 685 de 2001, Áreas de Reserva Especial vigentes, zonas mineras de comunidades étnicas vigentes y Reservas de Inversión del Estado vigentes […]”</w:t>
      </w:r>
    </w:p>
    <w:p w:rsidR="00CD053A" w:rsidRPr="00CD053A" w:rsidRDefault="00CD053A" w:rsidP="00CD053A">
      <w:pPr>
        <w:pStyle w:val="Textosinformato"/>
        <w:jc w:val="both"/>
        <w:rPr>
          <w:rFonts w:ascii="Arial" w:hAnsi="Arial" w:cs="Arial"/>
          <w:sz w:val="24"/>
          <w:szCs w:val="24"/>
        </w:rPr>
      </w:pPr>
    </w:p>
    <w:p w:rsidR="00CD053A" w:rsidRPr="00CD053A" w:rsidRDefault="00CD053A" w:rsidP="00CD053A">
      <w:pPr>
        <w:pStyle w:val="Textosinformato"/>
        <w:jc w:val="both"/>
        <w:rPr>
          <w:rFonts w:ascii="Arial" w:hAnsi="Arial" w:cs="Arial"/>
          <w:b/>
          <w:sz w:val="24"/>
          <w:szCs w:val="24"/>
        </w:rPr>
      </w:pPr>
      <w:r w:rsidRPr="00CD053A">
        <w:rPr>
          <w:rFonts w:ascii="Arial" w:hAnsi="Arial" w:cs="Arial"/>
          <w:b/>
          <w:sz w:val="24"/>
          <w:szCs w:val="24"/>
        </w:rPr>
        <w:t>Alto Manacacías</w:t>
      </w:r>
    </w:p>
    <w:p w:rsidR="00CD053A" w:rsidRPr="00CD053A" w:rsidRDefault="00CD053A" w:rsidP="00CD053A">
      <w:pPr>
        <w:pStyle w:val="Textosinformato"/>
        <w:jc w:val="both"/>
        <w:rPr>
          <w:rFonts w:ascii="Arial" w:hAnsi="Arial" w:cs="Arial"/>
          <w:sz w:val="24"/>
          <w:szCs w:val="24"/>
        </w:rPr>
      </w:pPr>
    </w:p>
    <w:p w:rsidR="00CD053A" w:rsidRPr="00542F0C" w:rsidRDefault="00CD053A" w:rsidP="00CD053A">
      <w:pPr>
        <w:pStyle w:val="Textosinformato"/>
        <w:jc w:val="both"/>
        <w:rPr>
          <w:rFonts w:ascii="Arial" w:hAnsi="Arial" w:cs="Arial"/>
          <w:i/>
          <w:sz w:val="24"/>
          <w:szCs w:val="24"/>
        </w:rPr>
      </w:pPr>
      <w:r w:rsidRPr="00542F0C">
        <w:rPr>
          <w:rFonts w:ascii="Arial" w:hAnsi="Arial" w:cs="Arial"/>
          <w:i/>
          <w:sz w:val="24"/>
          <w:szCs w:val="24"/>
        </w:rPr>
        <w:t xml:space="preserve">“[…] no presenta superposición con títulos mineros vigentes, solicitudes de propuesta de contrato de concesión vigentes, solicitudes de legalización de minería tradicional </w:t>
      </w:r>
      <w:r w:rsidRPr="00542F0C">
        <w:rPr>
          <w:rFonts w:ascii="Arial" w:hAnsi="Arial" w:cs="Arial"/>
          <w:i/>
          <w:sz w:val="24"/>
          <w:szCs w:val="24"/>
        </w:rPr>
        <w:lastRenderedPageBreak/>
        <w:t>vigentes, solicitudes de legalización minería de hecho vigentes Ley 685 de 2001, Áreas de Reserva Especial Minera Vigentes (</w:t>
      </w:r>
      <w:proofErr w:type="spellStart"/>
      <w:r w:rsidRPr="00542F0C">
        <w:rPr>
          <w:rFonts w:ascii="Arial" w:hAnsi="Arial" w:cs="Arial"/>
          <w:i/>
          <w:sz w:val="24"/>
          <w:szCs w:val="24"/>
        </w:rPr>
        <w:t>AREs</w:t>
      </w:r>
      <w:proofErr w:type="spellEnd"/>
      <w:r w:rsidRPr="00542F0C">
        <w:rPr>
          <w:rFonts w:ascii="Arial" w:hAnsi="Arial" w:cs="Arial"/>
          <w:i/>
          <w:sz w:val="24"/>
          <w:szCs w:val="24"/>
        </w:rPr>
        <w:t>), Áreas Estratégicas Mineras Vigentes, zonas mineras de comunidades étnicas vigentes (ZMCE) y Reservas de Inversión del Estado. De acuerdo con el orifico remitido por el Ministerio de Ambiente y Desarrollo Sostenible (…), este polígono no presenta modificaciones con relación al polígono definido en la Resolución 1310 de 2018.”</w:t>
      </w:r>
    </w:p>
    <w:p w:rsidR="00CD053A" w:rsidRPr="00CD053A" w:rsidRDefault="00CD053A" w:rsidP="00CD053A">
      <w:pPr>
        <w:pStyle w:val="Textosinformato"/>
        <w:jc w:val="both"/>
        <w:rPr>
          <w:rFonts w:ascii="Arial" w:hAnsi="Arial" w:cs="Arial"/>
          <w:sz w:val="24"/>
          <w:szCs w:val="24"/>
        </w:rPr>
      </w:pPr>
    </w:p>
    <w:p w:rsidR="00CD053A" w:rsidRPr="00CD053A" w:rsidRDefault="00CD053A" w:rsidP="00CD053A">
      <w:pPr>
        <w:pStyle w:val="Textosinformato"/>
        <w:jc w:val="both"/>
        <w:rPr>
          <w:rFonts w:ascii="Arial" w:hAnsi="Arial" w:cs="Arial"/>
          <w:b/>
          <w:sz w:val="24"/>
          <w:szCs w:val="24"/>
        </w:rPr>
      </w:pPr>
      <w:r w:rsidRPr="00CD053A">
        <w:rPr>
          <w:rFonts w:ascii="Arial" w:hAnsi="Arial" w:cs="Arial"/>
          <w:b/>
          <w:sz w:val="24"/>
          <w:szCs w:val="24"/>
        </w:rPr>
        <w:t>Serranía de San Lucas</w:t>
      </w:r>
    </w:p>
    <w:p w:rsidR="00CD053A" w:rsidRPr="00CD053A" w:rsidRDefault="00CD053A" w:rsidP="00CD053A">
      <w:pPr>
        <w:pStyle w:val="Textosinformato"/>
        <w:jc w:val="both"/>
        <w:rPr>
          <w:rFonts w:ascii="Arial" w:hAnsi="Arial" w:cs="Arial"/>
          <w:sz w:val="24"/>
          <w:szCs w:val="24"/>
        </w:rPr>
      </w:pPr>
    </w:p>
    <w:p w:rsidR="00CD053A" w:rsidRPr="00542F0C" w:rsidRDefault="00CD053A" w:rsidP="00CD053A">
      <w:pPr>
        <w:pStyle w:val="Textosinformato"/>
        <w:jc w:val="both"/>
        <w:rPr>
          <w:rFonts w:ascii="Arial" w:hAnsi="Arial" w:cs="Arial"/>
          <w:i/>
          <w:sz w:val="24"/>
          <w:szCs w:val="24"/>
        </w:rPr>
      </w:pPr>
      <w:r w:rsidRPr="00542F0C">
        <w:rPr>
          <w:rFonts w:ascii="Arial" w:hAnsi="Arial" w:cs="Arial"/>
          <w:i/>
          <w:sz w:val="24"/>
          <w:szCs w:val="24"/>
        </w:rPr>
        <w:t xml:space="preserve">“[…] este polígono no presenta modificaciones con </w:t>
      </w:r>
      <w:r w:rsidR="00141F40" w:rsidRPr="00542F0C">
        <w:rPr>
          <w:rFonts w:ascii="Arial" w:hAnsi="Arial" w:cs="Arial"/>
          <w:i/>
          <w:sz w:val="24"/>
          <w:szCs w:val="24"/>
        </w:rPr>
        <w:t>relación</w:t>
      </w:r>
      <w:r w:rsidRPr="00542F0C">
        <w:rPr>
          <w:rFonts w:ascii="Arial" w:hAnsi="Arial" w:cs="Arial"/>
          <w:i/>
          <w:sz w:val="24"/>
          <w:szCs w:val="24"/>
        </w:rPr>
        <w:t xml:space="preserve"> al polígono definido en la Resolución 1310 de 2018”, y “El polígono Serranía de San Lucas, no presenta </w:t>
      </w:r>
      <w:r w:rsidR="00542F0C" w:rsidRPr="00542F0C">
        <w:rPr>
          <w:rFonts w:ascii="Arial" w:hAnsi="Arial" w:cs="Arial"/>
          <w:i/>
          <w:sz w:val="24"/>
          <w:szCs w:val="24"/>
        </w:rPr>
        <w:t>superposición</w:t>
      </w:r>
      <w:r w:rsidRPr="00542F0C">
        <w:rPr>
          <w:rFonts w:ascii="Arial" w:hAnsi="Arial" w:cs="Arial"/>
          <w:i/>
          <w:sz w:val="24"/>
          <w:szCs w:val="24"/>
        </w:rPr>
        <w:t xml:space="preserve"> con solicitudes de </w:t>
      </w:r>
      <w:r w:rsidR="00542F0C" w:rsidRPr="00542F0C">
        <w:rPr>
          <w:rFonts w:ascii="Arial" w:hAnsi="Arial" w:cs="Arial"/>
          <w:i/>
          <w:sz w:val="24"/>
          <w:szCs w:val="24"/>
        </w:rPr>
        <w:t>legalización</w:t>
      </w:r>
      <w:r w:rsidRPr="00542F0C">
        <w:rPr>
          <w:rFonts w:ascii="Arial" w:hAnsi="Arial" w:cs="Arial"/>
          <w:i/>
          <w:sz w:val="24"/>
          <w:szCs w:val="24"/>
        </w:rPr>
        <w:t xml:space="preserve"> minería de hecho vigentes</w:t>
      </w:r>
      <w:r w:rsidR="00141F40" w:rsidRPr="00542F0C">
        <w:rPr>
          <w:rFonts w:ascii="Arial" w:hAnsi="Arial" w:cs="Arial"/>
          <w:i/>
          <w:sz w:val="24"/>
          <w:szCs w:val="24"/>
        </w:rPr>
        <w:t>, L</w:t>
      </w:r>
      <w:r w:rsidRPr="00542F0C">
        <w:rPr>
          <w:rFonts w:ascii="Arial" w:hAnsi="Arial" w:cs="Arial"/>
          <w:i/>
          <w:sz w:val="24"/>
          <w:szCs w:val="24"/>
        </w:rPr>
        <w:t xml:space="preserve">ey 685 de 2001, Áreas Estratégicas Mineras vigentes, zonas mineras de comunidades </w:t>
      </w:r>
      <w:proofErr w:type="spellStart"/>
      <w:r w:rsidRPr="00542F0C">
        <w:rPr>
          <w:rFonts w:ascii="Arial" w:hAnsi="Arial" w:cs="Arial"/>
          <w:i/>
          <w:sz w:val="24"/>
          <w:szCs w:val="24"/>
        </w:rPr>
        <w:t>étinicas</w:t>
      </w:r>
      <w:proofErr w:type="spellEnd"/>
      <w:r w:rsidRPr="00542F0C">
        <w:rPr>
          <w:rFonts w:ascii="Arial" w:hAnsi="Arial" w:cs="Arial"/>
          <w:i/>
          <w:sz w:val="24"/>
          <w:szCs w:val="24"/>
        </w:rPr>
        <w:t xml:space="preserve"> vigentes (ZMCE) y Reservas de Inversión del Estado Vigentes […]”</w:t>
      </w:r>
    </w:p>
    <w:p w:rsidR="00CD053A" w:rsidRPr="00CD053A" w:rsidRDefault="00CD053A" w:rsidP="00CD053A">
      <w:pPr>
        <w:pStyle w:val="Textosinformato"/>
        <w:jc w:val="both"/>
        <w:rPr>
          <w:rFonts w:ascii="Arial" w:hAnsi="Arial" w:cs="Arial"/>
          <w:sz w:val="24"/>
          <w:szCs w:val="24"/>
        </w:rPr>
      </w:pPr>
    </w:p>
    <w:p w:rsidR="00CD053A" w:rsidRPr="00CD053A" w:rsidRDefault="00CD053A" w:rsidP="00CD053A">
      <w:pPr>
        <w:pStyle w:val="Textosinformato"/>
        <w:jc w:val="both"/>
        <w:rPr>
          <w:rFonts w:ascii="Arial" w:hAnsi="Arial" w:cs="Arial"/>
          <w:b/>
          <w:sz w:val="24"/>
          <w:szCs w:val="24"/>
        </w:rPr>
      </w:pPr>
      <w:r w:rsidRPr="00CD053A">
        <w:rPr>
          <w:rFonts w:ascii="Arial" w:hAnsi="Arial" w:cs="Arial"/>
          <w:b/>
          <w:sz w:val="24"/>
          <w:szCs w:val="24"/>
        </w:rPr>
        <w:t>Sabanas y Humedales de Arauca</w:t>
      </w:r>
    </w:p>
    <w:p w:rsidR="00CD053A" w:rsidRPr="00CD053A" w:rsidRDefault="00CD053A" w:rsidP="00CD053A">
      <w:pPr>
        <w:pStyle w:val="Textosinformato"/>
        <w:jc w:val="both"/>
        <w:rPr>
          <w:rFonts w:ascii="Arial" w:hAnsi="Arial" w:cs="Arial"/>
          <w:sz w:val="24"/>
          <w:szCs w:val="24"/>
        </w:rPr>
      </w:pPr>
    </w:p>
    <w:p w:rsidR="00CD053A" w:rsidRPr="00542F0C" w:rsidRDefault="00CD053A" w:rsidP="00CD053A">
      <w:pPr>
        <w:pStyle w:val="Textosinformato"/>
        <w:jc w:val="both"/>
        <w:rPr>
          <w:rFonts w:ascii="Arial" w:hAnsi="Arial" w:cs="Arial"/>
          <w:i/>
          <w:sz w:val="24"/>
          <w:szCs w:val="24"/>
        </w:rPr>
      </w:pPr>
      <w:r w:rsidRPr="00542F0C">
        <w:rPr>
          <w:rFonts w:ascii="Arial" w:hAnsi="Arial" w:cs="Arial"/>
          <w:i/>
          <w:sz w:val="24"/>
          <w:szCs w:val="24"/>
        </w:rPr>
        <w:t xml:space="preserve">“[…] se realizó la comparación entre el polígono definido en la Resolución 1310 de 2018 y el propuesto en el oficio remitido por el Ministerio de Ambiente y Desarrollo Sostenible (…), encontrando un incremento de 210.215,231 hectáreas, es decir que el polígono propuesto quedaría de 309.793,086 hectáreas.”, sin embargo, pese a dicha superposición señala en el mismo oficio que “El polígono de Sabanas y Humedales de Arauca propuesto, no presenta superposición con títulos mineros vigentes, solicitudes de </w:t>
      </w:r>
      <w:proofErr w:type="spellStart"/>
      <w:r w:rsidRPr="00542F0C">
        <w:rPr>
          <w:rFonts w:ascii="Arial" w:hAnsi="Arial" w:cs="Arial"/>
          <w:i/>
          <w:sz w:val="24"/>
          <w:szCs w:val="24"/>
        </w:rPr>
        <w:t>legalizacion</w:t>
      </w:r>
      <w:proofErr w:type="spellEnd"/>
      <w:r w:rsidRPr="00542F0C">
        <w:rPr>
          <w:rFonts w:ascii="Arial" w:hAnsi="Arial" w:cs="Arial"/>
          <w:i/>
          <w:sz w:val="24"/>
          <w:szCs w:val="24"/>
        </w:rPr>
        <w:t xml:space="preserve"> de minería tradicional vigentes (…), solicitudes de legalización minería de hecho vigentes Ley 685 de 2001, Áreas de Reserva Minera vigentes (</w:t>
      </w:r>
      <w:proofErr w:type="spellStart"/>
      <w:r w:rsidRPr="00542F0C">
        <w:rPr>
          <w:rFonts w:ascii="Arial" w:hAnsi="Arial" w:cs="Arial"/>
          <w:i/>
          <w:sz w:val="24"/>
          <w:szCs w:val="24"/>
        </w:rPr>
        <w:t>AREs</w:t>
      </w:r>
      <w:proofErr w:type="spellEnd"/>
      <w:r w:rsidRPr="00542F0C">
        <w:rPr>
          <w:rFonts w:ascii="Arial" w:hAnsi="Arial" w:cs="Arial"/>
          <w:i/>
          <w:sz w:val="24"/>
          <w:szCs w:val="24"/>
        </w:rPr>
        <w:t>), Áreas Estratégicas Mineras Vigentes, zonas mineras de comunidades étnicas vigentes (ZMCE) y Reservas de Inversión del Estado vigentes”.</w:t>
      </w:r>
    </w:p>
    <w:p w:rsidR="00CD053A" w:rsidRPr="00CD053A" w:rsidRDefault="00CD053A" w:rsidP="00CD053A">
      <w:pPr>
        <w:pStyle w:val="Textosinformato"/>
        <w:jc w:val="both"/>
        <w:rPr>
          <w:rFonts w:ascii="Arial" w:hAnsi="Arial" w:cs="Arial"/>
          <w:sz w:val="24"/>
          <w:szCs w:val="24"/>
        </w:rPr>
      </w:pPr>
    </w:p>
    <w:p w:rsidR="00CD053A" w:rsidRPr="00CD053A" w:rsidRDefault="00CD053A" w:rsidP="00CD053A">
      <w:pPr>
        <w:pStyle w:val="Textosinformato"/>
        <w:jc w:val="both"/>
        <w:rPr>
          <w:rFonts w:ascii="Arial" w:hAnsi="Arial" w:cs="Arial"/>
          <w:b/>
          <w:sz w:val="24"/>
          <w:szCs w:val="24"/>
        </w:rPr>
      </w:pPr>
      <w:r w:rsidRPr="00CD053A">
        <w:rPr>
          <w:rFonts w:ascii="Arial" w:hAnsi="Arial" w:cs="Arial"/>
          <w:b/>
          <w:sz w:val="24"/>
          <w:szCs w:val="24"/>
        </w:rPr>
        <w:t>Bosques Secos del Patía</w:t>
      </w:r>
    </w:p>
    <w:p w:rsidR="00CD053A" w:rsidRPr="00CD053A" w:rsidRDefault="00CD053A" w:rsidP="00CD053A">
      <w:pPr>
        <w:pStyle w:val="Textosinformato"/>
        <w:jc w:val="both"/>
        <w:rPr>
          <w:rFonts w:ascii="Arial" w:hAnsi="Arial" w:cs="Arial"/>
          <w:sz w:val="24"/>
          <w:szCs w:val="24"/>
        </w:rPr>
      </w:pPr>
    </w:p>
    <w:p w:rsidR="00CD053A" w:rsidRPr="00542F0C" w:rsidRDefault="00CD053A" w:rsidP="00CD053A">
      <w:pPr>
        <w:pStyle w:val="Textosinformato"/>
        <w:jc w:val="both"/>
        <w:rPr>
          <w:rFonts w:ascii="Arial" w:hAnsi="Arial" w:cs="Arial"/>
          <w:i/>
          <w:sz w:val="24"/>
          <w:szCs w:val="24"/>
        </w:rPr>
      </w:pPr>
      <w:r w:rsidRPr="00542F0C">
        <w:rPr>
          <w:rFonts w:ascii="Arial" w:hAnsi="Arial" w:cs="Arial"/>
          <w:i/>
          <w:sz w:val="24"/>
          <w:szCs w:val="24"/>
        </w:rPr>
        <w:t>“[…] se llevó a cabo la comparación entre el polígono definido en la Resolución 1310 de 2018 y el propuesto en el oficio remitido por el Ministerio de Ambiente y Desarrollo Sostenible (…), encontrando un aumento de 101.453,77 hectáreas, es decir que el polígono propuesto quedaría de 176.419,68 hectáreas, situación que generó que en el área adicional entre 2015 y la fecha de hoy se hubiesen otorgado 7 títulos mineros, por lo que se recomienda a Ministerio de Ambiente y Desarrollo Sostenible en análisis jurídico pertinente.</w:t>
      </w:r>
    </w:p>
    <w:p w:rsidR="00CD053A" w:rsidRPr="00CD053A" w:rsidRDefault="00CD053A" w:rsidP="00CD053A">
      <w:pPr>
        <w:pStyle w:val="Textosinformato"/>
        <w:jc w:val="both"/>
        <w:rPr>
          <w:rFonts w:ascii="Arial" w:hAnsi="Arial" w:cs="Arial"/>
          <w:sz w:val="24"/>
          <w:szCs w:val="24"/>
        </w:rPr>
      </w:pPr>
    </w:p>
    <w:p w:rsidR="00CD053A" w:rsidRPr="00542F0C" w:rsidRDefault="00CD053A" w:rsidP="00CD053A">
      <w:pPr>
        <w:pStyle w:val="Textosinformato"/>
        <w:jc w:val="both"/>
        <w:rPr>
          <w:rFonts w:ascii="Arial" w:hAnsi="Arial" w:cs="Arial"/>
          <w:i/>
          <w:sz w:val="24"/>
          <w:szCs w:val="24"/>
        </w:rPr>
      </w:pPr>
      <w:r w:rsidRPr="00542F0C">
        <w:rPr>
          <w:rFonts w:ascii="Arial" w:hAnsi="Arial" w:cs="Arial"/>
          <w:i/>
          <w:sz w:val="24"/>
          <w:szCs w:val="24"/>
        </w:rPr>
        <w:t>El polígono Bosques Secos del Patía propuesto, presenta superposición con nueve (9) títulos mineros vigentes, de los cuales tres (3) se encuentran en etapa de construcción y montaje y seis (6) en etapa de exploración. En cuanto a la modalidad siete (7) presentan modalidad de contrato de concesión (L685), uno (1) con modalidad de Licencia de Exploración y uno (1) con modalidad de Autorización temporal.”</w:t>
      </w:r>
    </w:p>
    <w:p w:rsidR="00CD053A" w:rsidRPr="00542F0C" w:rsidRDefault="00CD053A" w:rsidP="00CD053A">
      <w:pPr>
        <w:pStyle w:val="Textosinformato"/>
        <w:jc w:val="both"/>
        <w:rPr>
          <w:rFonts w:ascii="Arial" w:hAnsi="Arial" w:cs="Arial"/>
          <w:i/>
          <w:sz w:val="24"/>
          <w:szCs w:val="24"/>
        </w:rPr>
      </w:pPr>
    </w:p>
    <w:p w:rsidR="00CD053A" w:rsidRPr="00CD053A" w:rsidRDefault="00CD053A" w:rsidP="00CD053A">
      <w:pPr>
        <w:pStyle w:val="Textosinformato"/>
        <w:jc w:val="both"/>
        <w:rPr>
          <w:rFonts w:ascii="Arial" w:hAnsi="Arial" w:cs="Arial"/>
          <w:sz w:val="24"/>
          <w:szCs w:val="24"/>
        </w:rPr>
      </w:pPr>
      <w:r w:rsidRPr="00CD053A">
        <w:rPr>
          <w:rFonts w:ascii="Arial" w:hAnsi="Arial" w:cs="Arial"/>
          <w:sz w:val="24"/>
          <w:szCs w:val="24"/>
        </w:rPr>
        <w:t>“El área total de superposición de los títulos mineros vigentes con el polígono Bosques Secos del Patía propuesto de aproximadamente 1.509,88 hectáreas.”</w:t>
      </w:r>
    </w:p>
    <w:p w:rsidR="00CD053A" w:rsidRPr="00CD053A" w:rsidRDefault="00CD053A" w:rsidP="00CD053A">
      <w:pPr>
        <w:pStyle w:val="Textosinformato"/>
        <w:jc w:val="both"/>
        <w:rPr>
          <w:rFonts w:ascii="Arial" w:hAnsi="Arial" w:cs="Arial"/>
          <w:sz w:val="24"/>
          <w:szCs w:val="24"/>
        </w:rPr>
      </w:pPr>
    </w:p>
    <w:p w:rsidR="00CD053A" w:rsidRPr="00542F0C" w:rsidRDefault="00CD053A" w:rsidP="00CD053A">
      <w:pPr>
        <w:pStyle w:val="Textosinformato"/>
        <w:jc w:val="both"/>
        <w:rPr>
          <w:rFonts w:ascii="Arial" w:hAnsi="Arial" w:cs="Arial"/>
          <w:i/>
          <w:sz w:val="24"/>
          <w:szCs w:val="24"/>
        </w:rPr>
      </w:pPr>
      <w:r w:rsidRPr="00CD053A">
        <w:rPr>
          <w:rFonts w:ascii="Arial" w:hAnsi="Arial" w:cs="Arial"/>
          <w:sz w:val="24"/>
          <w:szCs w:val="24"/>
        </w:rPr>
        <w:t xml:space="preserve">“Adicionalmente, el área de interés ambiental se superpone con 45 solicitudes de propuesta de </w:t>
      </w:r>
      <w:r w:rsidRPr="00542F0C">
        <w:rPr>
          <w:rFonts w:ascii="Arial" w:hAnsi="Arial" w:cs="Arial"/>
          <w:i/>
          <w:sz w:val="24"/>
          <w:szCs w:val="24"/>
        </w:rPr>
        <w:t>contrato de concesión vigentes, presentando un área (ha) total de superposición de aproximadamente 35.101,58 hectáreas.</w:t>
      </w:r>
    </w:p>
    <w:p w:rsidR="00CD053A" w:rsidRPr="00542F0C" w:rsidRDefault="00CD053A" w:rsidP="00CD053A">
      <w:pPr>
        <w:pStyle w:val="Textosinformato"/>
        <w:jc w:val="both"/>
        <w:rPr>
          <w:rFonts w:ascii="Arial" w:hAnsi="Arial" w:cs="Arial"/>
          <w:i/>
          <w:sz w:val="24"/>
          <w:szCs w:val="24"/>
        </w:rPr>
      </w:pPr>
    </w:p>
    <w:p w:rsidR="00CD053A" w:rsidRPr="00542F0C" w:rsidRDefault="00CD053A" w:rsidP="00CD053A">
      <w:pPr>
        <w:pStyle w:val="Textosinformato"/>
        <w:jc w:val="both"/>
        <w:rPr>
          <w:rFonts w:ascii="Arial" w:hAnsi="Arial" w:cs="Arial"/>
          <w:i/>
          <w:sz w:val="24"/>
          <w:szCs w:val="24"/>
        </w:rPr>
      </w:pPr>
      <w:r w:rsidRPr="00542F0C">
        <w:rPr>
          <w:rFonts w:ascii="Arial" w:hAnsi="Arial" w:cs="Arial"/>
          <w:i/>
          <w:sz w:val="24"/>
          <w:szCs w:val="24"/>
        </w:rPr>
        <w:lastRenderedPageBreak/>
        <w:t>Así mismo al realizar el cruce del polígono Bosques Secos del Patía propuesto con las solicitudes de legalización de minería tradicional vigente (…), se encontró que el área de estudio presenta superposición con 19 solicitudes de legalización, cuya área de superposición es de aproximadamente 1.450,15 hectáreas.”</w:t>
      </w:r>
    </w:p>
    <w:p w:rsidR="00CD053A" w:rsidRPr="00542F0C" w:rsidRDefault="00CD053A" w:rsidP="00CD053A">
      <w:pPr>
        <w:pStyle w:val="Textosinformato"/>
        <w:jc w:val="both"/>
        <w:rPr>
          <w:rFonts w:ascii="Arial" w:hAnsi="Arial" w:cs="Arial"/>
          <w:i/>
          <w:sz w:val="24"/>
          <w:szCs w:val="24"/>
        </w:rPr>
      </w:pPr>
    </w:p>
    <w:p w:rsidR="00CD053A" w:rsidRPr="00542F0C" w:rsidRDefault="00CD053A" w:rsidP="00CD053A">
      <w:pPr>
        <w:pStyle w:val="Textosinformato"/>
        <w:jc w:val="both"/>
        <w:rPr>
          <w:rFonts w:ascii="Arial" w:hAnsi="Arial" w:cs="Arial"/>
          <w:i/>
          <w:sz w:val="24"/>
          <w:szCs w:val="24"/>
        </w:rPr>
      </w:pPr>
      <w:r w:rsidRPr="00542F0C">
        <w:rPr>
          <w:rFonts w:ascii="Arial" w:hAnsi="Arial" w:cs="Arial"/>
          <w:i/>
          <w:sz w:val="24"/>
          <w:szCs w:val="24"/>
        </w:rPr>
        <w:t>“En cuanto a las Áreas Estratégicas Mineras Vigentes – AEM (…), en este polígono se registran un total de cuatro (4) AEM, cuya área de superposición es de aproximadamente 58.310,95 hectáreas.”</w:t>
      </w:r>
    </w:p>
    <w:p w:rsidR="00CD053A" w:rsidRPr="00CD053A" w:rsidRDefault="00CD053A" w:rsidP="00CD053A">
      <w:pPr>
        <w:pStyle w:val="Textosinformato"/>
        <w:jc w:val="both"/>
        <w:rPr>
          <w:rFonts w:ascii="Arial" w:hAnsi="Arial" w:cs="Arial"/>
          <w:sz w:val="24"/>
          <w:szCs w:val="24"/>
        </w:rPr>
      </w:pPr>
    </w:p>
    <w:p w:rsidR="00CD053A" w:rsidRPr="00A241C8" w:rsidRDefault="00CD053A" w:rsidP="00CD053A">
      <w:pPr>
        <w:pStyle w:val="Textosinformato"/>
        <w:jc w:val="both"/>
        <w:rPr>
          <w:rFonts w:ascii="Arial" w:hAnsi="Arial" w:cs="Arial"/>
          <w:i/>
          <w:sz w:val="24"/>
          <w:szCs w:val="24"/>
        </w:rPr>
      </w:pPr>
      <w:r w:rsidRPr="00A241C8">
        <w:rPr>
          <w:rFonts w:ascii="Arial" w:hAnsi="Arial" w:cs="Arial"/>
          <w:i/>
          <w:sz w:val="24"/>
          <w:szCs w:val="24"/>
        </w:rPr>
        <w:t>“El polígono Bosques Secos del Patía propuesto, no presenta superposición con solicitudes de legalización minera de hecho vigentes Ley 685 de 2001, zonas mineras de comunidades étnicas vigentes (ZMCE) y Reservas de Inversión del Estado vigentes […]”</w:t>
      </w:r>
    </w:p>
    <w:p w:rsidR="00CD053A" w:rsidRPr="00CD053A" w:rsidRDefault="00CD053A" w:rsidP="00CD053A">
      <w:pPr>
        <w:pStyle w:val="Textosinformato"/>
        <w:jc w:val="both"/>
        <w:rPr>
          <w:rFonts w:ascii="Arial" w:hAnsi="Arial" w:cs="Arial"/>
          <w:sz w:val="24"/>
          <w:szCs w:val="24"/>
        </w:rPr>
      </w:pPr>
    </w:p>
    <w:p w:rsidR="00A70F23" w:rsidRPr="00CD053A" w:rsidRDefault="00CD053A" w:rsidP="00CD053A">
      <w:pPr>
        <w:pStyle w:val="Textosinformato"/>
        <w:jc w:val="both"/>
        <w:rPr>
          <w:rFonts w:ascii="Arial" w:hAnsi="Arial" w:cs="Arial"/>
          <w:color w:val="FF0000"/>
          <w:sz w:val="24"/>
          <w:szCs w:val="24"/>
        </w:rPr>
      </w:pPr>
      <w:r w:rsidRPr="00CD053A">
        <w:rPr>
          <w:rFonts w:ascii="Arial" w:hAnsi="Arial" w:cs="Arial"/>
          <w:sz w:val="24"/>
          <w:szCs w:val="24"/>
        </w:rPr>
        <w:t>Finalmente en términos generales señala</w:t>
      </w:r>
      <w:r w:rsidRPr="00A241C8">
        <w:rPr>
          <w:rFonts w:ascii="Arial" w:hAnsi="Arial" w:cs="Arial"/>
          <w:i/>
          <w:sz w:val="24"/>
          <w:szCs w:val="24"/>
        </w:rPr>
        <w:t xml:space="preserve">: “Teniendo en cuenta las superposiciones con las áreas mineras presentadas anteriormente, las Autoridad Minera considera pertinente que esta información sea tenida en el proceso de prórroga de la Resolución 1310 de 2018. Igualmente, se enfatiza en la necesidad de minimizar el riesgo jurídico al estado frente a las situaciones jurídicas consolidadas de los titulares mineros los polígonos de las cinco (5) Zonas de Protección y Desarrollo de los Recursos Naturales Renovables y del Medio Ambiente, por lo que se recomienda un análisis intersectorial amplio y propositivo en procura de armonizar hasta donde sea posible, objetivos de conservación con la importancia minera en el </w:t>
      </w:r>
      <w:r w:rsidRPr="00A241C8">
        <w:rPr>
          <w:rFonts w:ascii="Arial" w:hAnsi="Arial" w:cs="Arial"/>
          <w:i/>
          <w:sz w:val="24"/>
          <w:szCs w:val="24"/>
          <w:lang w:val="es-CO"/>
        </w:rPr>
        <w:t>área</w:t>
      </w:r>
      <w:r w:rsidRPr="00CD053A">
        <w:rPr>
          <w:rFonts w:ascii="Arial" w:hAnsi="Arial" w:cs="Arial"/>
          <w:sz w:val="24"/>
          <w:szCs w:val="24"/>
          <w:lang w:val="es-CO"/>
        </w:rPr>
        <w:t>.”.</w:t>
      </w:r>
    </w:p>
    <w:p w:rsidR="00B36639" w:rsidRPr="00CD053A" w:rsidRDefault="00B36639" w:rsidP="00A70F23">
      <w:pPr>
        <w:pStyle w:val="Textosinformato"/>
        <w:jc w:val="both"/>
        <w:rPr>
          <w:rFonts w:ascii="Arial" w:hAnsi="Arial" w:cs="Arial"/>
          <w:sz w:val="24"/>
          <w:szCs w:val="24"/>
        </w:rPr>
      </w:pPr>
    </w:p>
    <w:p w:rsidR="00277EBA" w:rsidRPr="00CD053A" w:rsidRDefault="000F037E" w:rsidP="000F037E">
      <w:pPr>
        <w:pStyle w:val="Textoindependiente"/>
        <w:widowControl w:val="0"/>
        <w:tabs>
          <w:tab w:val="left" w:pos="7797"/>
        </w:tabs>
        <w:rPr>
          <w:rFonts w:ascii="Arial" w:hAnsi="Arial" w:cs="Arial"/>
          <w:szCs w:val="24"/>
          <w:lang w:val="es-CO"/>
        </w:rPr>
      </w:pPr>
      <w:r w:rsidRPr="00CD053A">
        <w:rPr>
          <w:rFonts w:ascii="Arial" w:hAnsi="Arial" w:cs="Arial"/>
          <w:szCs w:val="24"/>
          <w:lang w:val="es-CO"/>
        </w:rPr>
        <w:t>Que</w:t>
      </w:r>
      <w:r w:rsidR="0042639D" w:rsidRPr="00CD053A">
        <w:rPr>
          <w:rFonts w:ascii="Arial" w:hAnsi="Arial" w:cs="Arial"/>
          <w:szCs w:val="24"/>
          <w:lang w:val="es-CO"/>
        </w:rPr>
        <w:t xml:space="preserve"> así mismo, el Ministerio de Ambiente y Desarrollo Sostenible a través de </w:t>
      </w:r>
      <w:r w:rsidRPr="00CD053A">
        <w:rPr>
          <w:rFonts w:ascii="Arial" w:hAnsi="Arial" w:cs="Arial"/>
          <w:szCs w:val="24"/>
          <w:lang w:val="es-CO"/>
        </w:rPr>
        <w:t>las Direcciones de Bosques, Biodiversidad y Servicios Ecosistémicos y Asuntos Ambientales Sectorial y Urbana</w:t>
      </w:r>
      <w:r w:rsidR="0042639D" w:rsidRPr="00CD053A">
        <w:rPr>
          <w:rFonts w:ascii="Arial" w:hAnsi="Arial" w:cs="Arial"/>
          <w:szCs w:val="24"/>
          <w:lang w:val="es-CO"/>
        </w:rPr>
        <w:t>,</w:t>
      </w:r>
      <w:r w:rsidR="00455947" w:rsidRPr="00CD053A">
        <w:rPr>
          <w:rFonts w:ascii="Arial" w:hAnsi="Arial" w:cs="Arial"/>
          <w:szCs w:val="24"/>
          <w:lang w:val="es-CO"/>
        </w:rPr>
        <w:t xml:space="preserve"> emitió</w:t>
      </w:r>
      <w:r w:rsidRPr="00CD053A">
        <w:rPr>
          <w:rFonts w:ascii="Arial" w:hAnsi="Arial" w:cs="Arial"/>
          <w:szCs w:val="24"/>
          <w:lang w:val="es-CO"/>
        </w:rPr>
        <w:t xml:space="preserve"> el concepto técnico denominado </w:t>
      </w:r>
      <w:r w:rsidRPr="00CD053A">
        <w:rPr>
          <w:rFonts w:ascii="Arial" w:hAnsi="Arial" w:cs="Arial"/>
          <w:i/>
          <w:szCs w:val="24"/>
          <w:lang w:val="es-CO"/>
        </w:rPr>
        <w:t>“</w:t>
      </w:r>
      <w:r w:rsidR="00F17822" w:rsidRPr="00CD053A">
        <w:rPr>
          <w:rFonts w:ascii="Arial" w:hAnsi="Arial" w:cs="Arial"/>
          <w:i/>
          <w:szCs w:val="24"/>
          <w:lang w:val="es-CO"/>
        </w:rPr>
        <w:t xml:space="preserve">Documento </w:t>
      </w:r>
      <w:r w:rsidR="0040022B" w:rsidRPr="00CD053A">
        <w:rPr>
          <w:rFonts w:ascii="Arial" w:hAnsi="Arial" w:cs="Arial"/>
          <w:i/>
          <w:szCs w:val="24"/>
          <w:lang w:val="es-CO"/>
        </w:rPr>
        <w:t>técnico de soporte. Prorroga del término de duración de las zonas de protección y desarrollo de los recursos naturales renovables y del medio ambiente de interés nacional, declaradas mediante la Resolución 1628 de 2015 y prorrogadas mediante las Resoluciones 1433 de 2017 y 1310 de 2018</w:t>
      </w:r>
      <w:r w:rsidRPr="00CD053A">
        <w:rPr>
          <w:rFonts w:ascii="Arial" w:hAnsi="Arial" w:cs="Arial"/>
          <w:i/>
          <w:szCs w:val="24"/>
          <w:lang w:val="es-CO"/>
        </w:rPr>
        <w:t>”</w:t>
      </w:r>
      <w:r w:rsidRPr="00CD053A">
        <w:rPr>
          <w:rFonts w:ascii="Arial" w:hAnsi="Arial" w:cs="Arial"/>
          <w:szCs w:val="24"/>
          <w:lang w:val="es-CO"/>
        </w:rPr>
        <w:t xml:space="preserve">, </w:t>
      </w:r>
      <w:r w:rsidR="0042639D" w:rsidRPr="00CD053A">
        <w:rPr>
          <w:rFonts w:ascii="Arial" w:hAnsi="Arial" w:cs="Arial"/>
          <w:szCs w:val="24"/>
          <w:lang w:val="es-CO"/>
        </w:rPr>
        <w:t>en el cual</w:t>
      </w:r>
      <w:r w:rsidR="00FA0003" w:rsidRPr="00CD053A">
        <w:rPr>
          <w:rFonts w:ascii="Arial" w:hAnsi="Arial" w:cs="Arial"/>
          <w:szCs w:val="24"/>
          <w:lang w:val="es-CO"/>
        </w:rPr>
        <w:t xml:space="preserve"> se analizó</w:t>
      </w:r>
      <w:r w:rsidR="000A4972" w:rsidRPr="00CD053A">
        <w:rPr>
          <w:rFonts w:ascii="Arial" w:hAnsi="Arial" w:cs="Arial"/>
          <w:szCs w:val="24"/>
          <w:lang w:val="es-CO"/>
        </w:rPr>
        <w:t xml:space="preserve"> la infor</w:t>
      </w:r>
      <w:r w:rsidR="00FA0003" w:rsidRPr="00CD053A">
        <w:rPr>
          <w:rFonts w:ascii="Arial" w:hAnsi="Arial" w:cs="Arial"/>
          <w:szCs w:val="24"/>
          <w:lang w:val="es-CO"/>
        </w:rPr>
        <w:t>mación presentada por Parques Nacionales Naturales de Colombia</w:t>
      </w:r>
      <w:r w:rsidR="00F07B6E" w:rsidRPr="00CD053A">
        <w:rPr>
          <w:rFonts w:ascii="Arial" w:hAnsi="Arial" w:cs="Arial"/>
          <w:szCs w:val="24"/>
          <w:lang w:val="es-CO"/>
        </w:rPr>
        <w:t>, rela</w:t>
      </w:r>
      <w:r w:rsidR="00F17822" w:rsidRPr="00CD053A">
        <w:rPr>
          <w:rFonts w:ascii="Arial" w:hAnsi="Arial" w:cs="Arial"/>
          <w:szCs w:val="24"/>
          <w:lang w:val="es-CO"/>
        </w:rPr>
        <w:t>cionada con el estado de avance, los resultados y las acciones que aú</w:t>
      </w:r>
      <w:r w:rsidR="00A241C8">
        <w:rPr>
          <w:rFonts w:ascii="Arial" w:hAnsi="Arial" w:cs="Arial"/>
          <w:szCs w:val="24"/>
          <w:lang w:val="es-CO"/>
        </w:rPr>
        <w:t>n se hace necesario desarrollar</w:t>
      </w:r>
      <w:r w:rsidR="00F17822" w:rsidRPr="00CD053A">
        <w:rPr>
          <w:rFonts w:ascii="Arial" w:hAnsi="Arial" w:cs="Arial"/>
          <w:szCs w:val="24"/>
          <w:lang w:val="es-CO"/>
        </w:rPr>
        <w:t xml:space="preserve"> en el marco de la implementación de la ruta declaratoria en cada uno de los seis </w:t>
      </w:r>
      <w:r w:rsidR="00A241C8">
        <w:rPr>
          <w:rFonts w:ascii="Arial" w:hAnsi="Arial" w:cs="Arial"/>
          <w:szCs w:val="24"/>
          <w:lang w:val="es-CO"/>
        </w:rPr>
        <w:t xml:space="preserve">(6) </w:t>
      </w:r>
      <w:r w:rsidR="00F17822" w:rsidRPr="00CD053A">
        <w:rPr>
          <w:rFonts w:ascii="Arial" w:hAnsi="Arial" w:cs="Arial"/>
          <w:szCs w:val="24"/>
          <w:lang w:val="es-CO"/>
        </w:rPr>
        <w:t>polígonos correspondientes a las zonas de protección y desarrollo de los recursos naturales renovables y del medio ambiente, declaradas mediante la Resolución 1628 de 2015</w:t>
      </w:r>
      <w:r w:rsidR="00A241C8">
        <w:rPr>
          <w:rFonts w:ascii="Arial" w:hAnsi="Arial" w:cs="Arial"/>
          <w:szCs w:val="24"/>
          <w:lang w:val="es-CO"/>
        </w:rPr>
        <w:t>,</w:t>
      </w:r>
      <w:r w:rsidR="00F17822" w:rsidRPr="00CD053A">
        <w:rPr>
          <w:rFonts w:ascii="Arial" w:hAnsi="Arial" w:cs="Arial"/>
          <w:szCs w:val="24"/>
          <w:lang w:val="es-CO"/>
        </w:rPr>
        <w:t xml:space="preserve"> prorrogadas mediante las Resoluciones 1433 de 2017 y 1310 de 2018.</w:t>
      </w:r>
    </w:p>
    <w:p w:rsidR="00F17822" w:rsidRPr="00CD053A" w:rsidRDefault="00F17822" w:rsidP="000F037E">
      <w:pPr>
        <w:pStyle w:val="Textoindependiente"/>
        <w:widowControl w:val="0"/>
        <w:tabs>
          <w:tab w:val="left" w:pos="7797"/>
        </w:tabs>
        <w:rPr>
          <w:rFonts w:ascii="Arial" w:hAnsi="Arial" w:cs="Arial"/>
          <w:szCs w:val="24"/>
          <w:lang w:val="es-CO"/>
        </w:rPr>
      </w:pPr>
    </w:p>
    <w:p w:rsidR="00551B15" w:rsidRDefault="00DC2AD2" w:rsidP="00137AFF">
      <w:pPr>
        <w:autoSpaceDE w:val="0"/>
        <w:jc w:val="both"/>
        <w:rPr>
          <w:rFonts w:ascii="Arial" w:hAnsi="Arial" w:cs="Arial"/>
          <w:szCs w:val="24"/>
        </w:rPr>
      </w:pPr>
      <w:r w:rsidRPr="00CD053A">
        <w:rPr>
          <w:rFonts w:ascii="Arial" w:hAnsi="Arial" w:cs="Arial"/>
          <w:szCs w:val="24"/>
        </w:rPr>
        <w:t xml:space="preserve">Que con base en la información analizada en el </w:t>
      </w:r>
      <w:r w:rsidR="00137AFF" w:rsidRPr="00CD053A">
        <w:rPr>
          <w:rFonts w:ascii="Arial" w:hAnsi="Arial" w:cs="Arial"/>
          <w:szCs w:val="24"/>
        </w:rPr>
        <w:t xml:space="preserve">mencionado </w:t>
      </w:r>
      <w:r w:rsidRPr="00CD053A">
        <w:rPr>
          <w:rFonts w:ascii="Arial" w:hAnsi="Arial" w:cs="Arial"/>
          <w:szCs w:val="24"/>
        </w:rPr>
        <w:t>documento técn</w:t>
      </w:r>
      <w:r w:rsidR="00137AFF" w:rsidRPr="00CD053A">
        <w:rPr>
          <w:rFonts w:ascii="Arial" w:hAnsi="Arial" w:cs="Arial"/>
          <w:szCs w:val="24"/>
        </w:rPr>
        <w:t>ico soporte, se identific</w:t>
      </w:r>
      <w:r w:rsidR="00CD1856" w:rsidRPr="00CD053A">
        <w:rPr>
          <w:rFonts w:ascii="Arial" w:hAnsi="Arial" w:cs="Arial"/>
          <w:szCs w:val="24"/>
        </w:rPr>
        <w:t>ó</w:t>
      </w:r>
      <w:r w:rsidR="00551B15" w:rsidRPr="00CD053A">
        <w:rPr>
          <w:rFonts w:ascii="Arial" w:hAnsi="Arial" w:cs="Arial"/>
          <w:szCs w:val="24"/>
        </w:rPr>
        <w:t xml:space="preserve"> lo siguiente:</w:t>
      </w:r>
    </w:p>
    <w:p w:rsidR="007447D5" w:rsidRPr="00CD053A" w:rsidRDefault="007447D5" w:rsidP="00137AFF">
      <w:pPr>
        <w:autoSpaceDE w:val="0"/>
        <w:jc w:val="both"/>
        <w:rPr>
          <w:rFonts w:ascii="Arial" w:hAnsi="Arial" w:cs="Arial"/>
          <w:szCs w:val="24"/>
        </w:rPr>
      </w:pPr>
    </w:p>
    <w:p w:rsidR="00551B15" w:rsidRPr="00CD053A" w:rsidRDefault="00551B15" w:rsidP="00137AFF">
      <w:pPr>
        <w:autoSpaceDE w:val="0"/>
        <w:jc w:val="both"/>
        <w:rPr>
          <w:rFonts w:ascii="Arial" w:hAnsi="Arial" w:cs="Arial"/>
          <w:szCs w:val="24"/>
        </w:rPr>
      </w:pPr>
    </w:p>
    <w:tbl>
      <w:tblPr>
        <w:tblW w:w="5000" w:type="pct"/>
        <w:tblLayout w:type="fixed"/>
        <w:tblCellMar>
          <w:left w:w="70" w:type="dxa"/>
          <w:right w:w="70" w:type="dxa"/>
        </w:tblCellMar>
        <w:tblLook w:val="04A0" w:firstRow="1" w:lastRow="0" w:firstColumn="1" w:lastColumn="0" w:noHBand="0" w:noVBand="1"/>
      </w:tblPr>
      <w:tblGrid>
        <w:gridCol w:w="189"/>
        <w:gridCol w:w="2069"/>
        <w:gridCol w:w="1701"/>
        <w:gridCol w:w="1276"/>
        <w:gridCol w:w="1276"/>
        <w:gridCol w:w="2683"/>
      </w:tblGrid>
      <w:tr w:rsidR="00C959CD" w:rsidRPr="007447D5" w:rsidTr="007447D5">
        <w:trPr>
          <w:trHeight w:val="315"/>
          <w:tblHeader/>
        </w:trPr>
        <w:tc>
          <w:tcPr>
            <w:tcW w:w="1228" w:type="pct"/>
            <w:gridSpan w:val="2"/>
            <w:tcBorders>
              <w:top w:val="single" w:sz="8" w:space="0" w:color="auto"/>
              <w:left w:val="single" w:sz="8" w:space="0" w:color="auto"/>
              <w:bottom w:val="single" w:sz="8" w:space="0" w:color="auto"/>
              <w:right w:val="single" w:sz="8" w:space="0" w:color="000000"/>
            </w:tcBorders>
            <w:shd w:val="clear" w:color="000000" w:fill="BFBFBF"/>
            <w:noWrap/>
            <w:vAlign w:val="center"/>
            <w:hideMark/>
          </w:tcPr>
          <w:p w:rsidR="00C959CD" w:rsidRPr="007447D5" w:rsidRDefault="00C959CD" w:rsidP="003C3C3C">
            <w:pPr>
              <w:jc w:val="center"/>
              <w:rPr>
                <w:rFonts w:ascii="Arial Narrow" w:hAnsi="Arial Narrow"/>
                <w:b/>
                <w:bCs/>
                <w:color w:val="000000"/>
                <w:lang w:val="es-CO" w:eastAsia="es-CO"/>
              </w:rPr>
            </w:pPr>
            <w:r w:rsidRPr="007447D5">
              <w:rPr>
                <w:rFonts w:ascii="Arial Narrow" w:hAnsi="Arial Narrow"/>
                <w:b/>
                <w:bCs/>
                <w:color w:val="000000"/>
                <w:lang w:val="es-CO" w:eastAsia="es-CO"/>
              </w:rPr>
              <w:t>Polígono</w:t>
            </w:r>
          </w:p>
        </w:tc>
        <w:tc>
          <w:tcPr>
            <w:tcW w:w="925" w:type="pct"/>
            <w:tcBorders>
              <w:top w:val="single" w:sz="8" w:space="0" w:color="auto"/>
              <w:left w:val="nil"/>
              <w:bottom w:val="single" w:sz="8" w:space="0" w:color="auto"/>
              <w:right w:val="single" w:sz="8" w:space="0" w:color="auto"/>
            </w:tcBorders>
            <w:shd w:val="clear" w:color="000000" w:fill="BFBFBF"/>
            <w:noWrap/>
            <w:vAlign w:val="center"/>
            <w:hideMark/>
          </w:tcPr>
          <w:p w:rsidR="00C959CD" w:rsidRPr="007447D5" w:rsidRDefault="00C959CD" w:rsidP="003C3C3C">
            <w:pPr>
              <w:jc w:val="center"/>
              <w:rPr>
                <w:rFonts w:ascii="Arial Narrow" w:hAnsi="Arial Narrow"/>
                <w:b/>
                <w:bCs/>
                <w:color w:val="000000"/>
                <w:lang w:val="es-CO" w:eastAsia="es-CO"/>
              </w:rPr>
            </w:pPr>
            <w:r w:rsidRPr="007447D5">
              <w:rPr>
                <w:rFonts w:ascii="Arial Narrow" w:hAnsi="Arial Narrow"/>
                <w:b/>
                <w:bCs/>
                <w:color w:val="000000"/>
                <w:lang w:val="es-CO" w:eastAsia="es-CO"/>
              </w:rPr>
              <w:t>Área en Ha - Resoluciones 1628 de 2015y 1433 de 2017</w:t>
            </w:r>
          </w:p>
        </w:tc>
        <w:tc>
          <w:tcPr>
            <w:tcW w:w="694" w:type="pct"/>
            <w:tcBorders>
              <w:top w:val="single" w:sz="8" w:space="0" w:color="auto"/>
              <w:left w:val="nil"/>
              <w:bottom w:val="single" w:sz="8" w:space="0" w:color="auto"/>
              <w:right w:val="single" w:sz="8" w:space="0" w:color="auto"/>
            </w:tcBorders>
            <w:shd w:val="clear" w:color="000000" w:fill="BFBFBF"/>
            <w:noWrap/>
            <w:vAlign w:val="center"/>
            <w:hideMark/>
          </w:tcPr>
          <w:p w:rsidR="00C959CD" w:rsidRPr="007447D5" w:rsidRDefault="00C959CD" w:rsidP="003C3C3C">
            <w:pPr>
              <w:jc w:val="center"/>
              <w:rPr>
                <w:rFonts w:ascii="Arial Narrow" w:hAnsi="Arial Narrow"/>
                <w:b/>
                <w:bCs/>
                <w:color w:val="000000"/>
                <w:lang w:val="es-CO" w:eastAsia="es-CO"/>
              </w:rPr>
            </w:pPr>
            <w:r w:rsidRPr="007447D5">
              <w:rPr>
                <w:rFonts w:ascii="Arial Narrow" w:hAnsi="Arial Narrow"/>
                <w:b/>
                <w:bCs/>
                <w:color w:val="000000"/>
                <w:lang w:val="es-CO" w:eastAsia="es-CO"/>
              </w:rPr>
              <w:t>Área en Ha - Resolución 1310 de 2018</w:t>
            </w:r>
          </w:p>
        </w:tc>
        <w:tc>
          <w:tcPr>
            <w:tcW w:w="694" w:type="pct"/>
            <w:tcBorders>
              <w:top w:val="single" w:sz="8" w:space="0" w:color="auto"/>
              <w:left w:val="nil"/>
              <w:bottom w:val="single" w:sz="8" w:space="0" w:color="auto"/>
              <w:right w:val="single" w:sz="8" w:space="0" w:color="auto"/>
            </w:tcBorders>
            <w:shd w:val="clear" w:color="000000" w:fill="BFBFBF"/>
            <w:noWrap/>
            <w:vAlign w:val="center"/>
            <w:hideMark/>
          </w:tcPr>
          <w:p w:rsidR="00C959CD" w:rsidRPr="007447D5" w:rsidRDefault="00C959CD" w:rsidP="00C959CD">
            <w:pPr>
              <w:jc w:val="center"/>
              <w:rPr>
                <w:rFonts w:ascii="Arial Narrow" w:hAnsi="Arial Narrow"/>
                <w:b/>
                <w:bCs/>
                <w:color w:val="000000"/>
                <w:lang w:val="es-CO" w:eastAsia="es-CO"/>
              </w:rPr>
            </w:pPr>
            <w:r w:rsidRPr="007447D5">
              <w:rPr>
                <w:rFonts w:ascii="Arial Narrow" w:hAnsi="Arial Narrow"/>
                <w:b/>
                <w:bCs/>
                <w:color w:val="000000"/>
                <w:lang w:val="es-CO" w:eastAsia="es-CO"/>
              </w:rPr>
              <w:t>Área en Ha - propuesta para la prorroga</w:t>
            </w:r>
            <w:r w:rsidRPr="007447D5">
              <w:rPr>
                <w:rFonts w:ascii="Calibri" w:hAnsi="Calibri"/>
                <w:color w:val="000000"/>
                <w:szCs w:val="16"/>
                <w:lang w:val="es-CO" w:eastAsia="es-CO"/>
              </w:rPr>
              <w:t> </w:t>
            </w:r>
          </w:p>
        </w:tc>
        <w:tc>
          <w:tcPr>
            <w:tcW w:w="1459" w:type="pct"/>
            <w:tcBorders>
              <w:top w:val="single" w:sz="8" w:space="0" w:color="auto"/>
              <w:left w:val="nil"/>
              <w:bottom w:val="single" w:sz="8" w:space="0" w:color="auto"/>
              <w:right w:val="single" w:sz="8" w:space="0" w:color="auto"/>
            </w:tcBorders>
            <w:shd w:val="clear" w:color="000000" w:fill="BFBFBF"/>
            <w:noWrap/>
            <w:vAlign w:val="center"/>
            <w:hideMark/>
          </w:tcPr>
          <w:p w:rsidR="00C959CD" w:rsidRPr="007447D5" w:rsidRDefault="00C959CD" w:rsidP="003C3C3C">
            <w:pPr>
              <w:jc w:val="center"/>
              <w:rPr>
                <w:rFonts w:ascii="Arial Narrow" w:hAnsi="Arial Narrow"/>
                <w:b/>
                <w:bCs/>
                <w:color w:val="000000"/>
                <w:lang w:val="es-CO" w:eastAsia="es-CO"/>
              </w:rPr>
            </w:pPr>
            <w:r w:rsidRPr="007447D5">
              <w:rPr>
                <w:rFonts w:ascii="Arial Narrow" w:hAnsi="Arial Narrow"/>
                <w:b/>
                <w:bCs/>
                <w:color w:val="000000"/>
                <w:lang w:val="es-CO" w:eastAsia="es-CO"/>
              </w:rPr>
              <w:t>Consideraciones frente a la prorroga</w:t>
            </w:r>
          </w:p>
        </w:tc>
      </w:tr>
      <w:tr w:rsidR="00C959CD" w:rsidRPr="007447D5" w:rsidTr="007447D5">
        <w:trPr>
          <w:trHeight w:val="315"/>
        </w:trPr>
        <w:tc>
          <w:tcPr>
            <w:tcW w:w="103" w:type="pct"/>
            <w:tcBorders>
              <w:top w:val="nil"/>
              <w:left w:val="single" w:sz="8" w:space="0" w:color="auto"/>
              <w:bottom w:val="single" w:sz="8" w:space="0" w:color="auto"/>
              <w:right w:val="single" w:sz="8" w:space="0" w:color="auto"/>
            </w:tcBorders>
            <w:shd w:val="clear" w:color="auto" w:fill="auto"/>
            <w:noWrap/>
            <w:vAlign w:val="center"/>
            <w:hideMark/>
          </w:tcPr>
          <w:p w:rsidR="00C959CD" w:rsidRPr="007447D5" w:rsidRDefault="00C959CD" w:rsidP="003C3C3C">
            <w:pPr>
              <w:jc w:val="right"/>
              <w:rPr>
                <w:rFonts w:ascii="Arial Narrow" w:hAnsi="Arial Narrow"/>
                <w:color w:val="000000"/>
                <w:lang w:val="es-CO" w:eastAsia="es-CO"/>
              </w:rPr>
            </w:pPr>
            <w:r w:rsidRPr="007447D5">
              <w:rPr>
                <w:rFonts w:ascii="Arial Narrow" w:hAnsi="Arial Narrow"/>
                <w:color w:val="000000"/>
                <w:lang w:val="es-CO" w:eastAsia="es-CO"/>
              </w:rPr>
              <w:t>1</w:t>
            </w:r>
          </w:p>
        </w:tc>
        <w:tc>
          <w:tcPr>
            <w:tcW w:w="1125" w:type="pct"/>
            <w:tcBorders>
              <w:top w:val="nil"/>
              <w:left w:val="nil"/>
              <w:bottom w:val="single" w:sz="8" w:space="0" w:color="auto"/>
              <w:right w:val="single" w:sz="8" w:space="0" w:color="auto"/>
            </w:tcBorders>
            <w:shd w:val="clear" w:color="auto" w:fill="auto"/>
            <w:noWrap/>
            <w:vAlign w:val="center"/>
            <w:hideMark/>
          </w:tcPr>
          <w:p w:rsidR="00C959CD" w:rsidRPr="007447D5" w:rsidRDefault="00C959CD" w:rsidP="003C3C3C">
            <w:pPr>
              <w:rPr>
                <w:rFonts w:ascii="Arial Narrow" w:hAnsi="Arial Narrow"/>
                <w:color w:val="000000"/>
                <w:lang w:val="es-CO" w:eastAsia="es-CO"/>
              </w:rPr>
            </w:pPr>
            <w:r w:rsidRPr="007447D5">
              <w:rPr>
                <w:rFonts w:ascii="Arial Narrow" w:hAnsi="Arial Narrow"/>
                <w:color w:val="000000"/>
                <w:lang w:val="es-CO" w:eastAsia="es-CO"/>
              </w:rPr>
              <w:t>Selvas Transicionales de Cumaribo</w:t>
            </w:r>
          </w:p>
        </w:tc>
        <w:tc>
          <w:tcPr>
            <w:tcW w:w="925" w:type="pct"/>
            <w:tcBorders>
              <w:top w:val="nil"/>
              <w:left w:val="nil"/>
              <w:bottom w:val="single" w:sz="8" w:space="0" w:color="auto"/>
              <w:right w:val="single" w:sz="8" w:space="0" w:color="auto"/>
            </w:tcBorders>
            <w:shd w:val="clear" w:color="auto" w:fill="auto"/>
            <w:noWrap/>
            <w:vAlign w:val="center"/>
            <w:hideMark/>
          </w:tcPr>
          <w:p w:rsidR="00C959CD" w:rsidRPr="007447D5" w:rsidRDefault="00C959CD" w:rsidP="003C3C3C">
            <w:pPr>
              <w:jc w:val="center"/>
              <w:rPr>
                <w:rFonts w:ascii="Arial Narrow" w:hAnsi="Arial Narrow"/>
                <w:color w:val="000000"/>
                <w:lang w:val="es-CO" w:eastAsia="es-CO"/>
              </w:rPr>
            </w:pPr>
            <w:r w:rsidRPr="007447D5">
              <w:rPr>
                <w:rFonts w:ascii="Arial Narrow" w:hAnsi="Arial Narrow"/>
                <w:color w:val="000000"/>
                <w:lang w:val="es-CO" w:eastAsia="es-CO"/>
              </w:rPr>
              <w:t>301.138,67</w:t>
            </w:r>
          </w:p>
        </w:tc>
        <w:tc>
          <w:tcPr>
            <w:tcW w:w="694" w:type="pct"/>
            <w:tcBorders>
              <w:top w:val="nil"/>
              <w:left w:val="nil"/>
              <w:bottom w:val="single" w:sz="8" w:space="0" w:color="auto"/>
              <w:right w:val="single" w:sz="8" w:space="0" w:color="auto"/>
            </w:tcBorders>
            <w:shd w:val="clear" w:color="auto" w:fill="auto"/>
            <w:noWrap/>
            <w:vAlign w:val="center"/>
            <w:hideMark/>
          </w:tcPr>
          <w:p w:rsidR="00C959CD" w:rsidRPr="007447D5" w:rsidRDefault="00C959CD" w:rsidP="003C3C3C">
            <w:pPr>
              <w:jc w:val="center"/>
              <w:rPr>
                <w:rFonts w:ascii="Arial Narrow" w:hAnsi="Arial Narrow"/>
                <w:color w:val="000000"/>
                <w:lang w:val="es-CO" w:eastAsia="es-CO"/>
              </w:rPr>
            </w:pPr>
            <w:r w:rsidRPr="007447D5">
              <w:rPr>
                <w:rFonts w:ascii="Arial Narrow" w:hAnsi="Arial Narrow"/>
                <w:color w:val="000000"/>
                <w:lang w:val="es-CO" w:eastAsia="es-CO"/>
              </w:rPr>
              <w:t>301.138,67</w:t>
            </w:r>
          </w:p>
        </w:tc>
        <w:tc>
          <w:tcPr>
            <w:tcW w:w="694" w:type="pct"/>
            <w:tcBorders>
              <w:top w:val="nil"/>
              <w:left w:val="nil"/>
              <w:bottom w:val="single" w:sz="8" w:space="0" w:color="auto"/>
              <w:right w:val="single" w:sz="8" w:space="0" w:color="auto"/>
            </w:tcBorders>
            <w:shd w:val="clear" w:color="auto" w:fill="auto"/>
            <w:noWrap/>
            <w:vAlign w:val="center"/>
            <w:hideMark/>
          </w:tcPr>
          <w:p w:rsidR="00C959CD" w:rsidRPr="007447D5" w:rsidRDefault="00C959CD" w:rsidP="003C3C3C">
            <w:pPr>
              <w:jc w:val="center"/>
              <w:rPr>
                <w:rFonts w:ascii="Arial Narrow" w:hAnsi="Arial Narrow"/>
                <w:color w:val="000000"/>
                <w:lang w:val="es-CO" w:eastAsia="es-CO"/>
              </w:rPr>
            </w:pPr>
            <w:r w:rsidRPr="007447D5">
              <w:rPr>
                <w:rFonts w:ascii="Arial Narrow" w:hAnsi="Arial Narrow"/>
                <w:color w:val="000000"/>
                <w:lang w:val="es-CO" w:eastAsia="es-CO"/>
              </w:rPr>
              <w:t>301.138,67</w:t>
            </w:r>
          </w:p>
        </w:tc>
        <w:tc>
          <w:tcPr>
            <w:tcW w:w="1459" w:type="pct"/>
            <w:tcBorders>
              <w:top w:val="nil"/>
              <w:left w:val="nil"/>
              <w:bottom w:val="single" w:sz="8" w:space="0" w:color="auto"/>
              <w:right w:val="single" w:sz="8" w:space="0" w:color="auto"/>
            </w:tcBorders>
            <w:shd w:val="clear" w:color="auto" w:fill="auto"/>
            <w:noWrap/>
            <w:vAlign w:val="center"/>
          </w:tcPr>
          <w:p w:rsidR="00C959CD" w:rsidRPr="007447D5" w:rsidRDefault="00C959CD" w:rsidP="003C3C3C">
            <w:pPr>
              <w:jc w:val="center"/>
              <w:rPr>
                <w:rFonts w:ascii="Arial Narrow" w:hAnsi="Arial Narrow"/>
                <w:color w:val="000000"/>
                <w:lang w:val="es-CO" w:eastAsia="es-CO"/>
              </w:rPr>
            </w:pPr>
            <w:r w:rsidRPr="007447D5">
              <w:rPr>
                <w:rFonts w:ascii="Arial Narrow" w:hAnsi="Arial Narrow"/>
                <w:color w:val="000000"/>
                <w:lang w:val="es-CO" w:eastAsia="es-CO"/>
              </w:rPr>
              <w:t>Mantiene su área</w:t>
            </w:r>
          </w:p>
        </w:tc>
      </w:tr>
      <w:tr w:rsidR="00C959CD" w:rsidRPr="007447D5" w:rsidTr="007447D5">
        <w:trPr>
          <w:trHeight w:val="315"/>
        </w:trPr>
        <w:tc>
          <w:tcPr>
            <w:tcW w:w="103" w:type="pct"/>
            <w:tcBorders>
              <w:top w:val="nil"/>
              <w:left w:val="single" w:sz="8" w:space="0" w:color="auto"/>
              <w:bottom w:val="single" w:sz="8" w:space="0" w:color="auto"/>
              <w:right w:val="single" w:sz="8" w:space="0" w:color="auto"/>
            </w:tcBorders>
            <w:shd w:val="clear" w:color="auto" w:fill="auto"/>
            <w:noWrap/>
            <w:vAlign w:val="center"/>
            <w:hideMark/>
          </w:tcPr>
          <w:p w:rsidR="00C959CD" w:rsidRPr="007447D5" w:rsidRDefault="00C959CD" w:rsidP="003C3C3C">
            <w:pPr>
              <w:jc w:val="right"/>
              <w:rPr>
                <w:rFonts w:ascii="Arial Narrow" w:hAnsi="Arial Narrow"/>
                <w:color w:val="000000"/>
                <w:lang w:val="es-CO" w:eastAsia="es-CO"/>
              </w:rPr>
            </w:pPr>
            <w:r w:rsidRPr="007447D5">
              <w:rPr>
                <w:rFonts w:ascii="Arial Narrow" w:hAnsi="Arial Narrow"/>
                <w:color w:val="000000"/>
                <w:lang w:val="es-CO" w:eastAsia="es-CO"/>
              </w:rPr>
              <w:t>2</w:t>
            </w:r>
          </w:p>
        </w:tc>
        <w:tc>
          <w:tcPr>
            <w:tcW w:w="1125" w:type="pct"/>
            <w:tcBorders>
              <w:top w:val="nil"/>
              <w:left w:val="nil"/>
              <w:bottom w:val="single" w:sz="8" w:space="0" w:color="auto"/>
              <w:right w:val="single" w:sz="8" w:space="0" w:color="auto"/>
            </w:tcBorders>
            <w:shd w:val="clear" w:color="auto" w:fill="auto"/>
            <w:noWrap/>
            <w:vAlign w:val="center"/>
            <w:hideMark/>
          </w:tcPr>
          <w:p w:rsidR="00C959CD" w:rsidRPr="007447D5" w:rsidRDefault="00C959CD" w:rsidP="003C3C3C">
            <w:pPr>
              <w:rPr>
                <w:rFonts w:ascii="Arial Narrow" w:hAnsi="Arial Narrow"/>
                <w:color w:val="000000"/>
                <w:lang w:val="es-CO" w:eastAsia="es-CO"/>
              </w:rPr>
            </w:pPr>
            <w:r w:rsidRPr="007447D5">
              <w:rPr>
                <w:rFonts w:ascii="Arial Narrow" w:hAnsi="Arial Narrow"/>
                <w:color w:val="000000"/>
                <w:lang w:val="es-CO" w:eastAsia="es-CO"/>
              </w:rPr>
              <w:t>Alto de Manacacías</w:t>
            </w:r>
          </w:p>
        </w:tc>
        <w:tc>
          <w:tcPr>
            <w:tcW w:w="925" w:type="pct"/>
            <w:tcBorders>
              <w:top w:val="nil"/>
              <w:left w:val="nil"/>
              <w:bottom w:val="single" w:sz="8" w:space="0" w:color="auto"/>
              <w:right w:val="single" w:sz="8" w:space="0" w:color="auto"/>
            </w:tcBorders>
            <w:shd w:val="clear" w:color="auto" w:fill="auto"/>
            <w:noWrap/>
            <w:vAlign w:val="center"/>
            <w:hideMark/>
          </w:tcPr>
          <w:p w:rsidR="00C959CD" w:rsidRPr="007447D5" w:rsidRDefault="00C959CD" w:rsidP="003C3C3C">
            <w:pPr>
              <w:jc w:val="center"/>
              <w:rPr>
                <w:rFonts w:ascii="Arial Narrow" w:hAnsi="Arial Narrow"/>
                <w:color w:val="000000"/>
                <w:lang w:val="es-CO" w:eastAsia="es-CO"/>
              </w:rPr>
            </w:pPr>
            <w:r w:rsidRPr="007447D5">
              <w:rPr>
                <w:rFonts w:ascii="Arial Narrow" w:hAnsi="Arial Narrow"/>
                <w:color w:val="000000"/>
                <w:lang w:val="es-CO" w:eastAsia="es-CO"/>
              </w:rPr>
              <w:t>242.068,72</w:t>
            </w:r>
          </w:p>
        </w:tc>
        <w:tc>
          <w:tcPr>
            <w:tcW w:w="694" w:type="pct"/>
            <w:tcBorders>
              <w:top w:val="nil"/>
              <w:left w:val="nil"/>
              <w:bottom w:val="single" w:sz="8" w:space="0" w:color="auto"/>
              <w:right w:val="single" w:sz="8" w:space="0" w:color="auto"/>
            </w:tcBorders>
            <w:shd w:val="clear" w:color="auto" w:fill="auto"/>
            <w:noWrap/>
            <w:vAlign w:val="center"/>
            <w:hideMark/>
          </w:tcPr>
          <w:p w:rsidR="00C959CD" w:rsidRPr="007447D5" w:rsidRDefault="00C959CD" w:rsidP="003C3C3C">
            <w:pPr>
              <w:jc w:val="center"/>
              <w:rPr>
                <w:rFonts w:ascii="Arial Narrow" w:hAnsi="Arial Narrow"/>
                <w:color w:val="000000"/>
                <w:lang w:val="es-CO" w:eastAsia="es-CO"/>
              </w:rPr>
            </w:pPr>
            <w:r w:rsidRPr="007447D5">
              <w:rPr>
                <w:rFonts w:ascii="Arial Narrow" w:hAnsi="Arial Narrow"/>
                <w:color w:val="000000"/>
                <w:lang w:val="es-CO" w:eastAsia="es-CO"/>
              </w:rPr>
              <w:t>68.185,33</w:t>
            </w:r>
          </w:p>
        </w:tc>
        <w:tc>
          <w:tcPr>
            <w:tcW w:w="694" w:type="pct"/>
            <w:tcBorders>
              <w:top w:val="nil"/>
              <w:left w:val="nil"/>
              <w:bottom w:val="single" w:sz="8" w:space="0" w:color="auto"/>
              <w:right w:val="single" w:sz="8" w:space="0" w:color="auto"/>
            </w:tcBorders>
            <w:shd w:val="clear" w:color="auto" w:fill="auto"/>
            <w:noWrap/>
            <w:vAlign w:val="center"/>
            <w:hideMark/>
          </w:tcPr>
          <w:p w:rsidR="00C959CD" w:rsidRPr="007447D5" w:rsidRDefault="00C959CD" w:rsidP="003C3C3C">
            <w:pPr>
              <w:jc w:val="center"/>
              <w:rPr>
                <w:rFonts w:ascii="Arial Narrow" w:hAnsi="Arial Narrow"/>
                <w:color w:val="000000"/>
                <w:lang w:val="es-CO" w:eastAsia="es-CO"/>
              </w:rPr>
            </w:pPr>
            <w:r w:rsidRPr="007447D5">
              <w:rPr>
                <w:rFonts w:ascii="Arial Narrow" w:hAnsi="Arial Narrow"/>
                <w:color w:val="000000"/>
                <w:lang w:val="es-CO" w:eastAsia="es-CO"/>
              </w:rPr>
              <w:t>68.185,33</w:t>
            </w:r>
          </w:p>
        </w:tc>
        <w:tc>
          <w:tcPr>
            <w:tcW w:w="1459" w:type="pct"/>
            <w:tcBorders>
              <w:top w:val="nil"/>
              <w:left w:val="nil"/>
              <w:bottom w:val="single" w:sz="8" w:space="0" w:color="auto"/>
              <w:right w:val="single" w:sz="8" w:space="0" w:color="auto"/>
            </w:tcBorders>
            <w:shd w:val="clear" w:color="auto" w:fill="auto"/>
            <w:noWrap/>
            <w:vAlign w:val="center"/>
          </w:tcPr>
          <w:p w:rsidR="00C959CD" w:rsidRPr="007447D5" w:rsidRDefault="00C959CD" w:rsidP="003C3C3C">
            <w:pPr>
              <w:jc w:val="center"/>
              <w:rPr>
                <w:rFonts w:ascii="Arial Narrow" w:hAnsi="Arial Narrow"/>
                <w:color w:val="000000"/>
                <w:lang w:val="es-CO" w:eastAsia="es-CO"/>
              </w:rPr>
            </w:pPr>
            <w:r w:rsidRPr="007447D5">
              <w:rPr>
                <w:rFonts w:ascii="Arial Narrow" w:hAnsi="Arial Narrow"/>
                <w:color w:val="000000"/>
                <w:lang w:val="es-CO" w:eastAsia="es-CO"/>
              </w:rPr>
              <w:t>Mantiene su área</w:t>
            </w:r>
          </w:p>
        </w:tc>
      </w:tr>
      <w:tr w:rsidR="00C959CD" w:rsidRPr="007447D5" w:rsidTr="007447D5">
        <w:trPr>
          <w:trHeight w:val="315"/>
        </w:trPr>
        <w:tc>
          <w:tcPr>
            <w:tcW w:w="103" w:type="pct"/>
            <w:tcBorders>
              <w:top w:val="nil"/>
              <w:left w:val="single" w:sz="8" w:space="0" w:color="auto"/>
              <w:bottom w:val="single" w:sz="8" w:space="0" w:color="auto"/>
              <w:right w:val="single" w:sz="8" w:space="0" w:color="auto"/>
            </w:tcBorders>
            <w:shd w:val="clear" w:color="auto" w:fill="auto"/>
            <w:noWrap/>
            <w:vAlign w:val="center"/>
            <w:hideMark/>
          </w:tcPr>
          <w:p w:rsidR="00C959CD" w:rsidRPr="007447D5" w:rsidRDefault="00C959CD" w:rsidP="003C3C3C">
            <w:pPr>
              <w:jc w:val="right"/>
              <w:rPr>
                <w:rFonts w:ascii="Arial Narrow" w:hAnsi="Arial Narrow"/>
                <w:color w:val="000000"/>
                <w:lang w:val="es-CO" w:eastAsia="es-CO"/>
              </w:rPr>
            </w:pPr>
            <w:r w:rsidRPr="007447D5">
              <w:rPr>
                <w:rFonts w:ascii="Arial Narrow" w:hAnsi="Arial Narrow"/>
                <w:color w:val="000000"/>
                <w:lang w:val="es-CO" w:eastAsia="es-CO"/>
              </w:rPr>
              <w:t>3</w:t>
            </w:r>
          </w:p>
        </w:tc>
        <w:tc>
          <w:tcPr>
            <w:tcW w:w="1125" w:type="pct"/>
            <w:tcBorders>
              <w:top w:val="nil"/>
              <w:left w:val="nil"/>
              <w:bottom w:val="single" w:sz="8" w:space="0" w:color="auto"/>
              <w:right w:val="single" w:sz="8" w:space="0" w:color="auto"/>
            </w:tcBorders>
            <w:shd w:val="clear" w:color="auto" w:fill="auto"/>
            <w:noWrap/>
            <w:vAlign w:val="center"/>
            <w:hideMark/>
          </w:tcPr>
          <w:p w:rsidR="00C959CD" w:rsidRPr="007447D5" w:rsidRDefault="00C959CD" w:rsidP="003C3C3C">
            <w:pPr>
              <w:rPr>
                <w:rFonts w:ascii="Arial Narrow" w:hAnsi="Arial Narrow"/>
                <w:color w:val="000000"/>
                <w:lang w:val="es-CO" w:eastAsia="es-CO"/>
              </w:rPr>
            </w:pPr>
            <w:r w:rsidRPr="007447D5">
              <w:rPr>
                <w:rFonts w:ascii="Arial Narrow" w:hAnsi="Arial Narrow"/>
                <w:color w:val="000000"/>
                <w:lang w:val="es-CO" w:eastAsia="es-CO"/>
              </w:rPr>
              <w:t>Serranía de San Lucas</w:t>
            </w:r>
          </w:p>
        </w:tc>
        <w:tc>
          <w:tcPr>
            <w:tcW w:w="925" w:type="pct"/>
            <w:tcBorders>
              <w:top w:val="nil"/>
              <w:left w:val="nil"/>
              <w:bottom w:val="single" w:sz="8" w:space="0" w:color="auto"/>
              <w:right w:val="single" w:sz="8" w:space="0" w:color="auto"/>
            </w:tcBorders>
            <w:shd w:val="clear" w:color="auto" w:fill="auto"/>
            <w:noWrap/>
            <w:vAlign w:val="center"/>
            <w:hideMark/>
          </w:tcPr>
          <w:p w:rsidR="00C959CD" w:rsidRPr="007447D5" w:rsidRDefault="00C959CD" w:rsidP="003C3C3C">
            <w:pPr>
              <w:jc w:val="center"/>
              <w:rPr>
                <w:rFonts w:ascii="Arial Narrow" w:hAnsi="Arial Narrow"/>
                <w:color w:val="000000"/>
                <w:lang w:val="es-CO" w:eastAsia="es-CO"/>
              </w:rPr>
            </w:pPr>
            <w:r w:rsidRPr="007447D5">
              <w:rPr>
                <w:rFonts w:ascii="Arial Narrow" w:hAnsi="Arial Narrow"/>
                <w:color w:val="000000"/>
                <w:lang w:val="es-CO" w:eastAsia="es-CO"/>
              </w:rPr>
              <w:t>521.824,76</w:t>
            </w:r>
          </w:p>
        </w:tc>
        <w:tc>
          <w:tcPr>
            <w:tcW w:w="694" w:type="pct"/>
            <w:tcBorders>
              <w:top w:val="nil"/>
              <w:left w:val="nil"/>
              <w:bottom w:val="single" w:sz="8" w:space="0" w:color="auto"/>
              <w:right w:val="single" w:sz="8" w:space="0" w:color="auto"/>
            </w:tcBorders>
            <w:shd w:val="clear" w:color="auto" w:fill="auto"/>
            <w:noWrap/>
            <w:vAlign w:val="center"/>
            <w:hideMark/>
          </w:tcPr>
          <w:p w:rsidR="00C959CD" w:rsidRPr="007447D5" w:rsidRDefault="00C959CD" w:rsidP="003C3C3C">
            <w:pPr>
              <w:jc w:val="center"/>
              <w:rPr>
                <w:rFonts w:ascii="Arial Narrow" w:hAnsi="Arial Narrow"/>
                <w:color w:val="000000"/>
                <w:lang w:val="es-CO" w:eastAsia="es-CO"/>
              </w:rPr>
            </w:pPr>
            <w:r w:rsidRPr="007447D5">
              <w:rPr>
                <w:rFonts w:ascii="Arial Narrow" w:hAnsi="Arial Narrow"/>
                <w:color w:val="000000"/>
                <w:lang w:val="es-CO" w:eastAsia="es-CO"/>
              </w:rPr>
              <w:t>521.824,76</w:t>
            </w:r>
          </w:p>
        </w:tc>
        <w:tc>
          <w:tcPr>
            <w:tcW w:w="694" w:type="pct"/>
            <w:tcBorders>
              <w:top w:val="nil"/>
              <w:left w:val="nil"/>
              <w:bottom w:val="single" w:sz="8" w:space="0" w:color="auto"/>
              <w:right w:val="single" w:sz="8" w:space="0" w:color="auto"/>
            </w:tcBorders>
            <w:shd w:val="clear" w:color="auto" w:fill="auto"/>
            <w:noWrap/>
            <w:vAlign w:val="center"/>
            <w:hideMark/>
          </w:tcPr>
          <w:p w:rsidR="00C959CD" w:rsidRPr="007447D5" w:rsidRDefault="00C959CD" w:rsidP="003C3C3C">
            <w:pPr>
              <w:jc w:val="center"/>
              <w:rPr>
                <w:rFonts w:ascii="Arial Narrow" w:hAnsi="Arial Narrow"/>
                <w:color w:val="000000"/>
                <w:lang w:val="es-CO" w:eastAsia="es-CO"/>
              </w:rPr>
            </w:pPr>
            <w:r w:rsidRPr="007447D5">
              <w:rPr>
                <w:rFonts w:ascii="Arial Narrow" w:hAnsi="Arial Narrow"/>
                <w:color w:val="000000"/>
                <w:lang w:val="es-CO" w:eastAsia="es-CO"/>
              </w:rPr>
              <w:t>521.824,76</w:t>
            </w:r>
          </w:p>
        </w:tc>
        <w:tc>
          <w:tcPr>
            <w:tcW w:w="1459" w:type="pct"/>
            <w:tcBorders>
              <w:top w:val="nil"/>
              <w:left w:val="nil"/>
              <w:bottom w:val="single" w:sz="8" w:space="0" w:color="auto"/>
              <w:right w:val="single" w:sz="8" w:space="0" w:color="auto"/>
            </w:tcBorders>
            <w:shd w:val="clear" w:color="auto" w:fill="auto"/>
            <w:noWrap/>
            <w:vAlign w:val="center"/>
          </w:tcPr>
          <w:p w:rsidR="00C959CD" w:rsidRPr="007447D5" w:rsidRDefault="00C959CD" w:rsidP="003C3C3C">
            <w:pPr>
              <w:jc w:val="center"/>
              <w:rPr>
                <w:rFonts w:ascii="Arial Narrow" w:hAnsi="Arial Narrow"/>
                <w:color w:val="000000"/>
                <w:lang w:val="es-CO" w:eastAsia="es-CO"/>
              </w:rPr>
            </w:pPr>
            <w:r w:rsidRPr="007447D5">
              <w:rPr>
                <w:rFonts w:ascii="Arial Narrow" w:hAnsi="Arial Narrow"/>
                <w:color w:val="000000"/>
                <w:lang w:val="es-CO" w:eastAsia="es-CO"/>
              </w:rPr>
              <w:t>Mantiene su área</w:t>
            </w:r>
          </w:p>
        </w:tc>
      </w:tr>
      <w:tr w:rsidR="00C959CD" w:rsidRPr="007447D5" w:rsidTr="007447D5">
        <w:trPr>
          <w:trHeight w:val="315"/>
        </w:trPr>
        <w:tc>
          <w:tcPr>
            <w:tcW w:w="103" w:type="pct"/>
            <w:tcBorders>
              <w:top w:val="nil"/>
              <w:left w:val="single" w:sz="8" w:space="0" w:color="auto"/>
              <w:bottom w:val="single" w:sz="8" w:space="0" w:color="auto"/>
              <w:right w:val="single" w:sz="8" w:space="0" w:color="auto"/>
            </w:tcBorders>
            <w:shd w:val="clear" w:color="auto" w:fill="auto"/>
            <w:noWrap/>
            <w:vAlign w:val="center"/>
            <w:hideMark/>
          </w:tcPr>
          <w:p w:rsidR="00C959CD" w:rsidRPr="007447D5" w:rsidRDefault="00C959CD" w:rsidP="003C3C3C">
            <w:pPr>
              <w:jc w:val="right"/>
              <w:rPr>
                <w:rFonts w:ascii="Arial Narrow" w:hAnsi="Arial Narrow"/>
                <w:color w:val="000000"/>
                <w:lang w:val="es-CO" w:eastAsia="es-CO"/>
              </w:rPr>
            </w:pPr>
            <w:r w:rsidRPr="007447D5">
              <w:rPr>
                <w:rFonts w:ascii="Arial Narrow" w:hAnsi="Arial Narrow"/>
                <w:color w:val="000000"/>
                <w:lang w:val="es-CO" w:eastAsia="es-CO"/>
              </w:rPr>
              <w:lastRenderedPageBreak/>
              <w:t>4</w:t>
            </w:r>
          </w:p>
        </w:tc>
        <w:tc>
          <w:tcPr>
            <w:tcW w:w="1125" w:type="pct"/>
            <w:tcBorders>
              <w:top w:val="nil"/>
              <w:left w:val="nil"/>
              <w:bottom w:val="single" w:sz="8" w:space="0" w:color="auto"/>
              <w:right w:val="single" w:sz="8" w:space="0" w:color="auto"/>
            </w:tcBorders>
            <w:shd w:val="clear" w:color="auto" w:fill="auto"/>
            <w:noWrap/>
            <w:vAlign w:val="center"/>
            <w:hideMark/>
          </w:tcPr>
          <w:p w:rsidR="00C959CD" w:rsidRPr="007447D5" w:rsidRDefault="00C959CD" w:rsidP="003C3C3C">
            <w:pPr>
              <w:rPr>
                <w:rFonts w:ascii="Arial Narrow" w:hAnsi="Arial Narrow"/>
                <w:color w:val="000000"/>
                <w:lang w:val="es-CO" w:eastAsia="es-CO"/>
              </w:rPr>
            </w:pPr>
            <w:r w:rsidRPr="007447D5">
              <w:rPr>
                <w:rFonts w:ascii="Arial Narrow" w:hAnsi="Arial Narrow"/>
                <w:color w:val="000000"/>
                <w:lang w:val="es-CO" w:eastAsia="es-CO"/>
              </w:rPr>
              <w:t>Serranía de Perijá</w:t>
            </w:r>
          </w:p>
        </w:tc>
        <w:tc>
          <w:tcPr>
            <w:tcW w:w="925" w:type="pct"/>
            <w:tcBorders>
              <w:top w:val="nil"/>
              <w:left w:val="nil"/>
              <w:bottom w:val="single" w:sz="8" w:space="0" w:color="auto"/>
              <w:right w:val="single" w:sz="8" w:space="0" w:color="auto"/>
            </w:tcBorders>
            <w:shd w:val="clear" w:color="auto" w:fill="auto"/>
            <w:noWrap/>
            <w:vAlign w:val="center"/>
            <w:hideMark/>
          </w:tcPr>
          <w:p w:rsidR="00C959CD" w:rsidRPr="007447D5" w:rsidRDefault="00C959CD" w:rsidP="003C3C3C">
            <w:pPr>
              <w:jc w:val="center"/>
              <w:rPr>
                <w:rFonts w:ascii="Arial Narrow" w:hAnsi="Arial Narrow"/>
                <w:color w:val="000000"/>
                <w:lang w:val="es-CO" w:eastAsia="es-CO"/>
              </w:rPr>
            </w:pPr>
            <w:r w:rsidRPr="007447D5">
              <w:rPr>
                <w:rFonts w:ascii="Arial Narrow" w:hAnsi="Arial Narrow"/>
                <w:color w:val="000000"/>
                <w:lang w:val="es-CO" w:eastAsia="es-CO"/>
              </w:rPr>
              <w:t>267.414,58</w:t>
            </w:r>
          </w:p>
        </w:tc>
        <w:tc>
          <w:tcPr>
            <w:tcW w:w="694" w:type="pct"/>
            <w:tcBorders>
              <w:top w:val="nil"/>
              <w:left w:val="nil"/>
              <w:bottom w:val="single" w:sz="8" w:space="0" w:color="auto"/>
              <w:right w:val="single" w:sz="8" w:space="0" w:color="auto"/>
            </w:tcBorders>
            <w:shd w:val="clear" w:color="auto" w:fill="auto"/>
            <w:noWrap/>
            <w:vAlign w:val="center"/>
            <w:hideMark/>
          </w:tcPr>
          <w:p w:rsidR="00C959CD" w:rsidRPr="007447D5" w:rsidRDefault="00C959CD" w:rsidP="003C3C3C">
            <w:pPr>
              <w:jc w:val="center"/>
              <w:rPr>
                <w:rFonts w:ascii="Arial Narrow" w:hAnsi="Arial Narrow"/>
                <w:color w:val="000000"/>
                <w:lang w:val="es-CO" w:eastAsia="es-CO"/>
              </w:rPr>
            </w:pPr>
            <w:r w:rsidRPr="007447D5">
              <w:rPr>
                <w:rFonts w:ascii="Arial Narrow" w:hAnsi="Arial Narrow"/>
                <w:color w:val="000000"/>
                <w:lang w:val="es-CO" w:eastAsia="es-CO"/>
              </w:rPr>
              <w:t>234.143,79</w:t>
            </w:r>
          </w:p>
        </w:tc>
        <w:tc>
          <w:tcPr>
            <w:tcW w:w="694" w:type="pct"/>
            <w:tcBorders>
              <w:top w:val="nil"/>
              <w:left w:val="nil"/>
              <w:bottom w:val="single" w:sz="8" w:space="0" w:color="auto"/>
              <w:right w:val="single" w:sz="8" w:space="0" w:color="auto"/>
            </w:tcBorders>
            <w:shd w:val="clear" w:color="auto" w:fill="auto"/>
            <w:noWrap/>
            <w:vAlign w:val="center"/>
            <w:hideMark/>
          </w:tcPr>
          <w:p w:rsidR="00C959CD" w:rsidRPr="007447D5" w:rsidRDefault="00C959CD" w:rsidP="003C3C3C">
            <w:pPr>
              <w:jc w:val="center"/>
              <w:rPr>
                <w:rFonts w:ascii="Arial Narrow" w:hAnsi="Arial Narrow"/>
                <w:color w:val="000000"/>
                <w:lang w:val="es-CO" w:eastAsia="es-CO"/>
              </w:rPr>
            </w:pPr>
            <w:r w:rsidRPr="007447D5">
              <w:rPr>
                <w:rFonts w:ascii="Arial Narrow" w:hAnsi="Arial Narrow"/>
                <w:color w:val="000000"/>
                <w:lang w:val="es-CO" w:eastAsia="es-CO"/>
              </w:rPr>
              <w:t>0</w:t>
            </w:r>
          </w:p>
        </w:tc>
        <w:tc>
          <w:tcPr>
            <w:tcW w:w="1459" w:type="pct"/>
            <w:tcBorders>
              <w:top w:val="nil"/>
              <w:left w:val="nil"/>
              <w:bottom w:val="single" w:sz="8" w:space="0" w:color="auto"/>
              <w:right w:val="single" w:sz="8" w:space="0" w:color="auto"/>
            </w:tcBorders>
            <w:shd w:val="clear" w:color="auto" w:fill="auto"/>
            <w:noWrap/>
            <w:vAlign w:val="center"/>
          </w:tcPr>
          <w:p w:rsidR="00C959CD" w:rsidRPr="007447D5" w:rsidRDefault="00C959CD" w:rsidP="003C3C3C">
            <w:pPr>
              <w:jc w:val="center"/>
              <w:rPr>
                <w:rFonts w:ascii="Arial Narrow" w:hAnsi="Arial Narrow"/>
                <w:color w:val="000000"/>
                <w:lang w:val="es-CO" w:eastAsia="es-CO"/>
              </w:rPr>
            </w:pPr>
            <w:r w:rsidRPr="007447D5">
              <w:rPr>
                <w:rFonts w:ascii="Arial Narrow" w:hAnsi="Arial Narrow"/>
                <w:color w:val="000000"/>
                <w:lang w:val="es-CO" w:eastAsia="es-CO"/>
              </w:rPr>
              <w:t>Se elimina de la propuesta</w:t>
            </w:r>
          </w:p>
        </w:tc>
      </w:tr>
      <w:tr w:rsidR="00C959CD" w:rsidRPr="007447D5" w:rsidTr="007447D5">
        <w:trPr>
          <w:trHeight w:val="315"/>
        </w:trPr>
        <w:tc>
          <w:tcPr>
            <w:tcW w:w="103"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rsidR="00C959CD" w:rsidRPr="007447D5" w:rsidRDefault="00C959CD" w:rsidP="003C3C3C">
            <w:pPr>
              <w:jc w:val="right"/>
              <w:rPr>
                <w:rFonts w:ascii="Arial Narrow" w:hAnsi="Arial Narrow"/>
                <w:color w:val="000000"/>
                <w:lang w:val="es-CO" w:eastAsia="es-CO"/>
              </w:rPr>
            </w:pPr>
            <w:r w:rsidRPr="007447D5">
              <w:rPr>
                <w:rFonts w:ascii="Arial Narrow" w:hAnsi="Arial Narrow"/>
                <w:color w:val="000000"/>
                <w:lang w:val="es-CO" w:eastAsia="es-CO"/>
              </w:rPr>
              <w:t>5</w:t>
            </w:r>
          </w:p>
        </w:tc>
        <w:tc>
          <w:tcPr>
            <w:tcW w:w="1125" w:type="pct"/>
            <w:tcBorders>
              <w:top w:val="single" w:sz="8" w:space="0" w:color="auto"/>
              <w:left w:val="nil"/>
              <w:bottom w:val="single" w:sz="4" w:space="0" w:color="auto"/>
              <w:right w:val="single" w:sz="8" w:space="0" w:color="auto"/>
            </w:tcBorders>
            <w:shd w:val="clear" w:color="auto" w:fill="auto"/>
            <w:noWrap/>
            <w:vAlign w:val="center"/>
            <w:hideMark/>
          </w:tcPr>
          <w:p w:rsidR="00C959CD" w:rsidRPr="007447D5" w:rsidRDefault="00C959CD" w:rsidP="003C3C3C">
            <w:pPr>
              <w:rPr>
                <w:rFonts w:ascii="Arial Narrow" w:hAnsi="Arial Narrow"/>
                <w:color w:val="000000"/>
                <w:lang w:val="es-CO" w:eastAsia="es-CO"/>
              </w:rPr>
            </w:pPr>
            <w:r w:rsidRPr="007447D5">
              <w:rPr>
                <w:rFonts w:ascii="Arial Narrow" w:hAnsi="Arial Narrow"/>
                <w:color w:val="000000"/>
                <w:lang w:val="es-CO" w:eastAsia="es-CO"/>
              </w:rPr>
              <w:t>Sabanas y Humedales de Arauca</w:t>
            </w:r>
          </w:p>
        </w:tc>
        <w:tc>
          <w:tcPr>
            <w:tcW w:w="925" w:type="pct"/>
            <w:tcBorders>
              <w:top w:val="single" w:sz="8" w:space="0" w:color="auto"/>
              <w:left w:val="nil"/>
              <w:bottom w:val="single" w:sz="4" w:space="0" w:color="auto"/>
              <w:right w:val="single" w:sz="8" w:space="0" w:color="auto"/>
            </w:tcBorders>
            <w:shd w:val="clear" w:color="auto" w:fill="auto"/>
            <w:noWrap/>
            <w:vAlign w:val="center"/>
            <w:hideMark/>
          </w:tcPr>
          <w:p w:rsidR="00C959CD" w:rsidRPr="007447D5" w:rsidRDefault="00C959CD" w:rsidP="003C3C3C">
            <w:pPr>
              <w:jc w:val="center"/>
              <w:rPr>
                <w:rFonts w:ascii="Arial Narrow" w:hAnsi="Arial Narrow"/>
                <w:color w:val="000000"/>
                <w:lang w:val="es-CO" w:eastAsia="es-CO"/>
              </w:rPr>
            </w:pPr>
            <w:r w:rsidRPr="007447D5">
              <w:rPr>
                <w:rFonts w:ascii="Arial Narrow" w:hAnsi="Arial Narrow"/>
                <w:color w:val="000000"/>
                <w:lang w:val="es-CO" w:eastAsia="es-CO"/>
              </w:rPr>
              <w:t>252.833,03</w:t>
            </w:r>
          </w:p>
        </w:tc>
        <w:tc>
          <w:tcPr>
            <w:tcW w:w="694" w:type="pct"/>
            <w:tcBorders>
              <w:top w:val="single" w:sz="8" w:space="0" w:color="auto"/>
              <w:left w:val="nil"/>
              <w:bottom w:val="single" w:sz="4" w:space="0" w:color="auto"/>
              <w:right w:val="single" w:sz="8" w:space="0" w:color="auto"/>
            </w:tcBorders>
            <w:shd w:val="clear" w:color="auto" w:fill="auto"/>
            <w:noWrap/>
            <w:vAlign w:val="center"/>
            <w:hideMark/>
          </w:tcPr>
          <w:p w:rsidR="00C959CD" w:rsidRPr="007447D5" w:rsidRDefault="00C959CD" w:rsidP="003C3C3C">
            <w:pPr>
              <w:jc w:val="center"/>
              <w:rPr>
                <w:rFonts w:ascii="Arial Narrow" w:hAnsi="Arial Narrow"/>
                <w:color w:val="000000"/>
                <w:lang w:val="es-CO" w:eastAsia="es-CO"/>
              </w:rPr>
            </w:pPr>
            <w:r w:rsidRPr="007447D5">
              <w:rPr>
                <w:rFonts w:ascii="Arial Narrow" w:hAnsi="Arial Narrow"/>
                <w:color w:val="000000"/>
                <w:lang w:val="es-CO" w:eastAsia="es-CO"/>
              </w:rPr>
              <w:t>99.577,28</w:t>
            </w:r>
          </w:p>
        </w:tc>
        <w:tc>
          <w:tcPr>
            <w:tcW w:w="694" w:type="pct"/>
            <w:tcBorders>
              <w:top w:val="single" w:sz="8" w:space="0" w:color="auto"/>
              <w:left w:val="nil"/>
              <w:bottom w:val="single" w:sz="4" w:space="0" w:color="auto"/>
              <w:right w:val="single" w:sz="8" w:space="0" w:color="auto"/>
            </w:tcBorders>
            <w:shd w:val="clear" w:color="auto" w:fill="auto"/>
            <w:noWrap/>
            <w:vAlign w:val="center"/>
            <w:hideMark/>
          </w:tcPr>
          <w:p w:rsidR="00C959CD" w:rsidRPr="007447D5" w:rsidRDefault="00C959CD" w:rsidP="003C3C3C">
            <w:pPr>
              <w:jc w:val="center"/>
              <w:rPr>
                <w:rFonts w:ascii="Arial Narrow" w:hAnsi="Arial Narrow"/>
                <w:color w:val="000000"/>
                <w:lang w:val="es-CO" w:eastAsia="es-CO"/>
              </w:rPr>
            </w:pPr>
            <w:r w:rsidRPr="007447D5">
              <w:rPr>
                <w:rFonts w:ascii="Arial Narrow" w:hAnsi="Arial Narrow"/>
                <w:color w:val="000000"/>
                <w:lang w:val="es-CO" w:eastAsia="es-CO"/>
              </w:rPr>
              <w:t>176.296,92</w:t>
            </w:r>
          </w:p>
        </w:tc>
        <w:tc>
          <w:tcPr>
            <w:tcW w:w="1459" w:type="pct"/>
            <w:tcBorders>
              <w:top w:val="single" w:sz="8" w:space="0" w:color="auto"/>
              <w:left w:val="nil"/>
              <w:bottom w:val="single" w:sz="4" w:space="0" w:color="auto"/>
              <w:right w:val="single" w:sz="8" w:space="0" w:color="auto"/>
            </w:tcBorders>
            <w:shd w:val="clear" w:color="auto" w:fill="auto"/>
            <w:noWrap/>
            <w:vAlign w:val="center"/>
          </w:tcPr>
          <w:p w:rsidR="00C959CD" w:rsidRPr="007447D5" w:rsidRDefault="00842DD9" w:rsidP="00842DD9">
            <w:pPr>
              <w:jc w:val="center"/>
              <w:rPr>
                <w:rFonts w:ascii="Arial Narrow" w:hAnsi="Arial Narrow"/>
                <w:color w:val="000000"/>
                <w:lang w:val="es-CO" w:eastAsia="es-CO"/>
              </w:rPr>
            </w:pPr>
            <w:r w:rsidRPr="007447D5">
              <w:rPr>
                <w:rFonts w:ascii="Arial Narrow" w:hAnsi="Arial Narrow"/>
                <w:color w:val="000000"/>
                <w:lang w:val="es-CO" w:eastAsia="es-CO"/>
              </w:rPr>
              <w:t>Aumenta su área con respecto a la Res. 1310 de 2018, pero es menor con respecto al área declarada en las Res. 1628 de 2015 y 1433 de 2017.</w:t>
            </w:r>
          </w:p>
        </w:tc>
      </w:tr>
      <w:tr w:rsidR="00C959CD" w:rsidRPr="007447D5" w:rsidTr="007447D5">
        <w:trPr>
          <w:trHeight w:val="315"/>
        </w:trPr>
        <w:tc>
          <w:tcPr>
            <w:tcW w:w="103"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rsidR="00C959CD" w:rsidRPr="007447D5" w:rsidRDefault="00C959CD" w:rsidP="003C3C3C">
            <w:pPr>
              <w:jc w:val="right"/>
              <w:rPr>
                <w:rFonts w:ascii="Arial Narrow" w:hAnsi="Arial Narrow"/>
                <w:color w:val="000000"/>
                <w:lang w:val="es-CO" w:eastAsia="es-CO"/>
              </w:rPr>
            </w:pPr>
            <w:r w:rsidRPr="007447D5">
              <w:rPr>
                <w:rFonts w:ascii="Arial Narrow" w:hAnsi="Arial Narrow"/>
                <w:color w:val="000000"/>
                <w:lang w:val="es-CO" w:eastAsia="es-CO"/>
              </w:rPr>
              <w:t>6</w:t>
            </w:r>
          </w:p>
        </w:tc>
        <w:tc>
          <w:tcPr>
            <w:tcW w:w="1125" w:type="pct"/>
            <w:tcBorders>
              <w:top w:val="single" w:sz="4" w:space="0" w:color="auto"/>
              <w:left w:val="nil"/>
              <w:bottom w:val="single" w:sz="8" w:space="0" w:color="auto"/>
              <w:right w:val="single" w:sz="8" w:space="0" w:color="auto"/>
            </w:tcBorders>
            <w:shd w:val="clear" w:color="auto" w:fill="auto"/>
            <w:noWrap/>
            <w:vAlign w:val="center"/>
            <w:hideMark/>
          </w:tcPr>
          <w:p w:rsidR="00C959CD" w:rsidRPr="007447D5" w:rsidRDefault="00C959CD" w:rsidP="003C3C3C">
            <w:pPr>
              <w:rPr>
                <w:rFonts w:ascii="Arial Narrow" w:hAnsi="Arial Narrow"/>
                <w:color w:val="000000"/>
                <w:lang w:val="es-CO" w:eastAsia="es-CO"/>
              </w:rPr>
            </w:pPr>
            <w:r w:rsidRPr="007447D5">
              <w:rPr>
                <w:rFonts w:ascii="Arial Narrow" w:hAnsi="Arial Narrow"/>
                <w:color w:val="000000"/>
                <w:lang w:val="es-CO" w:eastAsia="es-CO"/>
              </w:rPr>
              <w:t>Bosques Secos del Patía</w:t>
            </w:r>
          </w:p>
        </w:tc>
        <w:tc>
          <w:tcPr>
            <w:tcW w:w="925" w:type="pct"/>
            <w:tcBorders>
              <w:top w:val="single" w:sz="4" w:space="0" w:color="auto"/>
              <w:left w:val="nil"/>
              <w:bottom w:val="single" w:sz="8" w:space="0" w:color="auto"/>
              <w:right w:val="single" w:sz="8" w:space="0" w:color="auto"/>
            </w:tcBorders>
            <w:shd w:val="clear" w:color="auto" w:fill="auto"/>
            <w:noWrap/>
            <w:vAlign w:val="center"/>
            <w:hideMark/>
          </w:tcPr>
          <w:p w:rsidR="00C959CD" w:rsidRPr="007447D5" w:rsidRDefault="00C959CD" w:rsidP="003C3C3C">
            <w:pPr>
              <w:jc w:val="center"/>
              <w:rPr>
                <w:rFonts w:ascii="Arial Narrow" w:hAnsi="Arial Narrow"/>
                <w:color w:val="000000"/>
                <w:lang w:val="es-CO" w:eastAsia="es-CO"/>
              </w:rPr>
            </w:pPr>
            <w:r w:rsidRPr="007447D5">
              <w:rPr>
                <w:rFonts w:ascii="Arial Narrow" w:hAnsi="Arial Narrow"/>
                <w:color w:val="000000"/>
                <w:lang w:val="es-CO" w:eastAsia="es-CO"/>
              </w:rPr>
              <w:t>74.965,44</w:t>
            </w:r>
          </w:p>
        </w:tc>
        <w:tc>
          <w:tcPr>
            <w:tcW w:w="694" w:type="pct"/>
            <w:tcBorders>
              <w:top w:val="single" w:sz="4" w:space="0" w:color="auto"/>
              <w:left w:val="nil"/>
              <w:bottom w:val="single" w:sz="8" w:space="0" w:color="auto"/>
              <w:right w:val="single" w:sz="8" w:space="0" w:color="auto"/>
            </w:tcBorders>
            <w:shd w:val="clear" w:color="auto" w:fill="auto"/>
            <w:noWrap/>
            <w:vAlign w:val="center"/>
            <w:hideMark/>
          </w:tcPr>
          <w:p w:rsidR="00C959CD" w:rsidRPr="007447D5" w:rsidRDefault="00C959CD" w:rsidP="003C3C3C">
            <w:pPr>
              <w:jc w:val="center"/>
              <w:rPr>
                <w:rFonts w:ascii="Arial Narrow" w:hAnsi="Arial Narrow"/>
                <w:color w:val="000000"/>
                <w:lang w:val="es-CO" w:eastAsia="es-CO"/>
              </w:rPr>
            </w:pPr>
            <w:r w:rsidRPr="007447D5">
              <w:rPr>
                <w:rFonts w:ascii="Arial Narrow" w:hAnsi="Arial Narrow"/>
                <w:color w:val="000000"/>
                <w:lang w:val="es-CO" w:eastAsia="es-CO"/>
              </w:rPr>
              <w:t>74.965,25</w:t>
            </w:r>
          </w:p>
        </w:tc>
        <w:tc>
          <w:tcPr>
            <w:tcW w:w="694" w:type="pct"/>
            <w:tcBorders>
              <w:top w:val="single" w:sz="4" w:space="0" w:color="auto"/>
              <w:left w:val="nil"/>
              <w:bottom w:val="single" w:sz="8" w:space="0" w:color="auto"/>
              <w:right w:val="single" w:sz="8" w:space="0" w:color="auto"/>
            </w:tcBorders>
            <w:shd w:val="clear" w:color="auto" w:fill="auto"/>
            <w:noWrap/>
            <w:vAlign w:val="center"/>
            <w:hideMark/>
          </w:tcPr>
          <w:p w:rsidR="00C959CD" w:rsidRPr="007447D5" w:rsidRDefault="00C959CD" w:rsidP="003C3C3C">
            <w:pPr>
              <w:jc w:val="center"/>
              <w:rPr>
                <w:rFonts w:ascii="Arial Narrow" w:hAnsi="Arial Narrow"/>
                <w:color w:val="000000"/>
                <w:lang w:val="es-CO" w:eastAsia="es-CO"/>
              </w:rPr>
            </w:pPr>
            <w:r w:rsidRPr="007447D5">
              <w:rPr>
                <w:rFonts w:ascii="Arial Narrow" w:hAnsi="Arial Narrow"/>
                <w:color w:val="000000"/>
                <w:lang w:val="es-CO" w:eastAsia="es-CO"/>
              </w:rPr>
              <w:t>309.791,32</w:t>
            </w:r>
          </w:p>
        </w:tc>
        <w:tc>
          <w:tcPr>
            <w:tcW w:w="1459" w:type="pct"/>
            <w:tcBorders>
              <w:top w:val="single" w:sz="4" w:space="0" w:color="auto"/>
              <w:left w:val="nil"/>
              <w:bottom w:val="single" w:sz="8" w:space="0" w:color="auto"/>
              <w:right w:val="single" w:sz="8" w:space="0" w:color="auto"/>
            </w:tcBorders>
            <w:shd w:val="clear" w:color="auto" w:fill="auto"/>
            <w:noWrap/>
            <w:vAlign w:val="center"/>
          </w:tcPr>
          <w:p w:rsidR="00C959CD" w:rsidRPr="007447D5" w:rsidRDefault="00842DD9" w:rsidP="003C3C3C">
            <w:pPr>
              <w:jc w:val="center"/>
              <w:rPr>
                <w:rFonts w:ascii="Arial Narrow" w:hAnsi="Arial Narrow"/>
                <w:color w:val="000000"/>
                <w:lang w:val="es-CO" w:eastAsia="es-CO"/>
              </w:rPr>
            </w:pPr>
            <w:r w:rsidRPr="007447D5">
              <w:rPr>
                <w:rFonts w:ascii="Arial Narrow" w:hAnsi="Arial Narrow"/>
                <w:color w:val="000000"/>
                <w:lang w:val="es-CO" w:eastAsia="es-CO"/>
              </w:rPr>
              <w:t>Aumenta su área con respecto a las Res. 1628 de 2015, 1433 de 2017 y 1310 de 2018</w:t>
            </w:r>
          </w:p>
        </w:tc>
      </w:tr>
      <w:tr w:rsidR="00C959CD" w:rsidRPr="007447D5" w:rsidTr="007447D5">
        <w:trPr>
          <w:trHeight w:val="315"/>
        </w:trPr>
        <w:tc>
          <w:tcPr>
            <w:tcW w:w="1228" w:type="pct"/>
            <w:gridSpan w:val="2"/>
            <w:tcBorders>
              <w:top w:val="single" w:sz="8" w:space="0" w:color="auto"/>
              <w:left w:val="single" w:sz="8" w:space="0" w:color="auto"/>
              <w:bottom w:val="single" w:sz="8" w:space="0" w:color="auto"/>
              <w:right w:val="single" w:sz="8" w:space="0" w:color="000000"/>
            </w:tcBorders>
            <w:shd w:val="clear" w:color="000000" w:fill="BFBFBF"/>
            <w:noWrap/>
            <w:vAlign w:val="center"/>
            <w:hideMark/>
          </w:tcPr>
          <w:p w:rsidR="00C959CD" w:rsidRPr="007447D5" w:rsidRDefault="00C959CD" w:rsidP="003C3C3C">
            <w:pPr>
              <w:jc w:val="center"/>
              <w:rPr>
                <w:rFonts w:ascii="Arial Narrow" w:hAnsi="Arial Narrow"/>
                <w:b/>
                <w:bCs/>
                <w:color w:val="000000"/>
                <w:lang w:val="es-CO" w:eastAsia="es-CO"/>
              </w:rPr>
            </w:pPr>
            <w:r w:rsidRPr="007447D5">
              <w:rPr>
                <w:rFonts w:ascii="Arial Narrow" w:hAnsi="Arial Narrow"/>
                <w:b/>
                <w:bCs/>
                <w:color w:val="000000"/>
                <w:lang w:val="es-CO" w:eastAsia="es-CO"/>
              </w:rPr>
              <w:t>Total</w:t>
            </w:r>
          </w:p>
        </w:tc>
        <w:tc>
          <w:tcPr>
            <w:tcW w:w="925" w:type="pct"/>
            <w:tcBorders>
              <w:top w:val="nil"/>
              <w:left w:val="nil"/>
              <w:bottom w:val="single" w:sz="8" w:space="0" w:color="auto"/>
              <w:right w:val="single" w:sz="8" w:space="0" w:color="auto"/>
            </w:tcBorders>
            <w:shd w:val="clear" w:color="000000" w:fill="BFBFBF"/>
            <w:noWrap/>
            <w:vAlign w:val="center"/>
            <w:hideMark/>
          </w:tcPr>
          <w:p w:rsidR="00C959CD" w:rsidRPr="007447D5" w:rsidRDefault="00C959CD" w:rsidP="003C3C3C">
            <w:pPr>
              <w:jc w:val="center"/>
              <w:rPr>
                <w:rFonts w:ascii="Arial Narrow" w:hAnsi="Arial Narrow"/>
                <w:b/>
                <w:bCs/>
                <w:color w:val="000000"/>
                <w:lang w:val="es-CO" w:eastAsia="es-CO"/>
              </w:rPr>
            </w:pPr>
            <w:r w:rsidRPr="007447D5">
              <w:rPr>
                <w:rFonts w:ascii="Arial Narrow" w:hAnsi="Arial Narrow"/>
                <w:b/>
                <w:bCs/>
                <w:color w:val="000000"/>
                <w:lang w:val="es-CO" w:eastAsia="es-CO"/>
              </w:rPr>
              <w:t xml:space="preserve">           1.660.245,20 </w:t>
            </w:r>
          </w:p>
        </w:tc>
        <w:tc>
          <w:tcPr>
            <w:tcW w:w="694" w:type="pct"/>
            <w:tcBorders>
              <w:top w:val="nil"/>
              <w:left w:val="nil"/>
              <w:bottom w:val="single" w:sz="8" w:space="0" w:color="auto"/>
              <w:right w:val="single" w:sz="8" w:space="0" w:color="auto"/>
            </w:tcBorders>
            <w:shd w:val="clear" w:color="000000" w:fill="BFBFBF"/>
            <w:noWrap/>
            <w:vAlign w:val="center"/>
            <w:hideMark/>
          </w:tcPr>
          <w:p w:rsidR="00C959CD" w:rsidRPr="007447D5" w:rsidRDefault="00C959CD" w:rsidP="003C3C3C">
            <w:pPr>
              <w:jc w:val="center"/>
              <w:rPr>
                <w:rFonts w:ascii="Arial Narrow" w:hAnsi="Arial Narrow"/>
                <w:b/>
                <w:bCs/>
                <w:color w:val="000000"/>
                <w:lang w:val="es-CO" w:eastAsia="es-CO"/>
              </w:rPr>
            </w:pPr>
            <w:r w:rsidRPr="007447D5">
              <w:rPr>
                <w:rFonts w:ascii="Arial Narrow" w:hAnsi="Arial Narrow"/>
                <w:b/>
                <w:bCs/>
                <w:color w:val="000000"/>
                <w:lang w:val="es-CO" w:eastAsia="es-CO"/>
              </w:rPr>
              <w:t>1.299.835,09</w:t>
            </w:r>
          </w:p>
        </w:tc>
        <w:tc>
          <w:tcPr>
            <w:tcW w:w="694" w:type="pct"/>
            <w:tcBorders>
              <w:top w:val="nil"/>
              <w:left w:val="nil"/>
              <w:bottom w:val="single" w:sz="8" w:space="0" w:color="auto"/>
              <w:right w:val="single" w:sz="8" w:space="0" w:color="auto"/>
            </w:tcBorders>
            <w:shd w:val="clear" w:color="000000" w:fill="BFBFBF"/>
            <w:noWrap/>
            <w:vAlign w:val="center"/>
            <w:hideMark/>
          </w:tcPr>
          <w:p w:rsidR="00C959CD" w:rsidRPr="007447D5" w:rsidRDefault="00C959CD" w:rsidP="003C3C3C">
            <w:pPr>
              <w:jc w:val="center"/>
              <w:rPr>
                <w:rFonts w:ascii="Arial Narrow" w:hAnsi="Arial Narrow"/>
                <w:b/>
                <w:bCs/>
                <w:color w:val="000000"/>
                <w:lang w:val="es-CO" w:eastAsia="es-CO"/>
              </w:rPr>
            </w:pPr>
            <w:r w:rsidRPr="007447D5">
              <w:rPr>
                <w:rFonts w:ascii="Arial Narrow" w:hAnsi="Arial Narrow"/>
                <w:b/>
                <w:bCs/>
                <w:color w:val="000000"/>
                <w:lang w:val="es-CO" w:eastAsia="es-CO"/>
              </w:rPr>
              <w:t>1.377.236,99</w:t>
            </w:r>
          </w:p>
        </w:tc>
        <w:tc>
          <w:tcPr>
            <w:tcW w:w="1459" w:type="pct"/>
            <w:tcBorders>
              <w:top w:val="nil"/>
              <w:left w:val="nil"/>
              <w:bottom w:val="single" w:sz="8" w:space="0" w:color="auto"/>
              <w:right w:val="single" w:sz="8" w:space="0" w:color="auto"/>
            </w:tcBorders>
            <w:shd w:val="clear" w:color="000000" w:fill="BFBFBF"/>
            <w:noWrap/>
            <w:vAlign w:val="center"/>
            <w:hideMark/>
          </w:tcPr>
          <w:p w:rsidR="00C959CD" w:rsidRPr="007447D5" w:rsidRDefault="00C959CD" w:rsidP="00C959CD">
            <w:pPr>
              <w:jc w:val="center"/>
              <w:rPr>
                <w:rFonts w:ascii="Arial Narrow" w:hAnsi="Arial Narrow"/>
                <w:b/>
                <w:bCs/>
                <w:color w:val="000000"/>
                <w:lang w:val="es-CO" w:eastAsia="es-CO"/>
              </w:rPr>
            </w:pPr>
          </w:p>
        </w:tc>
      </w:tr>
    </w:tbl>
    <w:p w:rsidR="00C959CD" w:rsidRPr="00CD053A" w:rsidRDefault="00C959CD" w:rsidP="00137AFF">
      <w:pPr>
        <w:autoSpaceDE w:val="0"/>
        <w:jc w:val="both"/>
        <w:rPr>
          <w:rFonts w:ascii="Arial" w:hAnsi="Arial" w:cs="Arial"/>
          <w:szCs w:val="24"/>
        </w:rPr>
      </w:pPr>
    </w:p>
    <w:p w:rsidR="003B186C" w:rsidRPr="00CD053A" w:rsidRDefault="003B186C" w:rsidP="00137AFF">
      <w:pPr>
        <w:autoSpaceDE w:val="0"/>
        <w:jc w:val="both"/>
        <w:rPr>
          <w:rFonts w:ascii="Arial" w:hAnsi="Arial" w:cs="Arial"/>
          <w:szCs w:val="24"/>
        </w:rPr>
      </w:pPr>
      <w:r w:rsidRPr="00CD053A">
        <w:rPr>
          <w:rFonts w:ascii="Arial" w:hAnsi="Arial" w:cs="Arial"/>
          <w:szCs w:val="24"/>
        </w:rPr>
        <w:t>Que teniendo en cuenta la información correspondiente a la eliminación del Polígono 4.</w:t>
      </w:r>
      <w:r w:rsidRPr="00CD053A">
        <w:t xml:space="preserve"> </w:t>
      </w:r>
      <w:r w:rsidRPr="00CD053A">
        <w:rPr>
          <w:rFonts w:ascii="Arial" w:hAnsi="Arial" w:cs="Arial"/>
          <w:szCs w:val="24"/>
        </w:rPr>
        <w:t>Serranía de Perijá, es preciso tener en cuenta las siguientes consideraciones:</w:t>
      </w:r>
    </w:p>
    <w:p w:rsidR="005877C9" w:rsidRPr="00CD053A" w:rsidRDefault="005877C9" w:rsidP="005877C9">
      <w:pPr>
        <w:autoSpaceDE w:val="0"/>
        <w:jc w:val="both"/>
        <w:rPr>
          <w:rFonts w:ascii="Arial" w:hAnsi="Arial" w:cs="Arial"/>
          <w:szCs w:val="24"/>
        </w:rPr>
      </w:pPr>
      <w:r w:rsidRPr="00CD053A">
        <w:rPr>
          <w:rFonts w:ascii="Arial" w:hAnsi="Arial" w:cs="Arial"/>
          <w:szCs w:val="24"/>
        </w:rPr>
        <w:tab/>
      </w:r>
    </w:p>
    <w:p w:rsidR="005877C9" w:rsidRPr="00CD053A" w:rsidRDefault="005877C9" w:rsidP="005877C9">
      <w:pPr>
        <w:pStyle w:val="Prrafodelista"/>
        <w:numPr>
          <w:ilvl w:val="0"/>
          <w:numId w:val="15"/>
        </w:numPr>
        <w:tabs>
          <w:tab w:val="left" w:pos="142"/>
          <w:tab w:val="left" w:pos="426"/>
        </w:tabs>
        <w:autoSpaceDE w:val="0"/>
        <w:jc w:val="both"/>
        <w:rPr>
          <w:rFonts w:ascii="Arial" w:hAnsi="Arial" w:cs="Arial"/>
          <w:sz w:val="24"/>
          <w:szCs w:val="24"/>
        </w:rPr>
      </w:pPr>
      <w:r w:rsidRPr="00CD053A">
        <w:rPr>
          <w:rFonts w:ascii="Arial" w:hAnsi="Arial" w:cs="Arial"/>
          <w:sz w:val="24"/>
          <w:szCs w:val="24"/>
        </w:rPr>
        <w:t>En inmediaciones del polígono para la Serranía de Perijá, se llevó a cabo la declaratoria de dos áreas protegidas, en la categoría de Parque Natural Regional, por parte de CORPOCESAR y CORPOGUAJIRA.</w:t>
      </w:r>
    </w:p>
    <w:p w:rsidR="005877C9" w:rsidRPr="00CD053A" w:rsidRDefault="005877C9" w:rsidP="005877C9">
      <w:pPr>
        <w:tabs>
          <w:tab w:val="left" w:pos="284"/>
          <w:tab w:val="left" w:pos="426"/>
        </w:tabs>
        <w:autoSpaceDE w:val="0"/>
        <w:jc w:val="both"/>
        <w:rPr>
          <w:rFonts w:ascii="Arial" w:hAnsi="Arial" w:cs="Arial"/>
          <w:szCs w:val="24"/>
        </w:rPr>
      </w:pPr>
    </w:p>
    <w:p w:rsidR="005877C9" w:rsidRPr="00CD053A" w:rsidRDefault="005877C9" w:rsidP="005877C9">
      <w:pPr>
        <w:pStyle w:val="Prrafodelista"/>
        <w:numPr>
          <w:ilvl w:val="0"/>
          <w:numId w:val="15"/>
        </w:numPr>
        <w:tabs>
          <w:tab w:val="left" w:pos="284"/>
          <w:tab w:val="left" w:pos="426"/>
        </w:tabs>
        <w:autoSpaceDE w:val="0"/>
        <w:jc w:val="both"/>
        <w:rPr>
          <w:rFonts w:ascii="Arial" w:hAnsi="Arial" w:cs="Arial"/>
          <w:sz w:val="24"/>
          <w:szCs w:val="24"/>
        </w:rPr>
      </w:pPr>
      <w:r w:rsidRPr="00CD053A">
        <w:rPr>
          <w:rFonts w:ascii="Arial" w:hAnsi="Arial" w:cs="Arial"/>
          <w:sz w:val="24"/>
          <w:szCs w:val="24"/>
        </w:rPr>
        <w:t>Con las declaratorias de estas áreas protegidas regionales</w:t>
      </w:r>
      <w:r w:rsidR="00E51B44">
        <w:rPr>
          <w:rFonts w:ascii="Arial" w:hAnsi="Arial" w:cs="Arial"/>
          <w:sz w:val="24"/>
          <w:szCs w:val="24"/>
        </w:rPr>
        <w:t>,</w:t>
      </w:r>
      <w:r w:rsidRPr="00CD053A">
        <w:rPr>
          <w:rFonts w:ascii="Arial" w:hAnsi="Arial" w:cs="Arial"/>
          <w:sz w:val="24"/>
          <w:szCs w:val="24"/>
        </w:rPr>
        <w:t xml:space="preserve"> se aportó a la representatividad ecosistémica del Sistema Nacional de Áreas Protegidas, aumentando la representatividad de tres unidades </w:t>
      </w:r>
      <w:proofErr w:type="spellStart"/>
      <w:r w:rsidRPr="00CD053A">
        <w:rPr>
          <w:rFonts w:ascii="Arial" w:hAnsi="Arial" w:cs="Arial"/>
          <w:sz w:val="24"/>
          <w:szCs w:val="24"/>
        </w:rPr>
        <w:t>ecobiogeográficas</w:t>
      </w:r>
      <w:proofErr w:type="spellEnd"/>
      <w:r w:rsidRPr="00CD053A">
        <w:rPr>
          <w:rFonts w:ascii="Arial" w:hAnsi="Arial" w:cs="Arial"/>
          <w:sz w:val="24"/>
          <w:szCs w:val="24"/>
        </w:rPr>
        <w:t xml:space="preserve"> de las que estaban presentes en el polígono declarado mediante la Resolución 1310 de 2018.</w:t>
      </w:r>
    </w:p>
    <w:p w:rsidR="005877C9" w:rsidRPr="00CD053A" w:rsidRDefault="005877C9" w:rsidP="005877C9">
      <w:pPr>
        <w:tabs>
          <w:tab w:val="left" w:pos="284"/>
          <w:tab w:val="left" w:pos="426"/>
        </w:tabs>
        <w:autoSpaceDE w:val="0"/>
        <w:jc w:val="both"/>
        <w:rPr>
          <w:rFonts w:ascii="Arial" w:hAnsi="Arial" w:cs="Arial"/>
          <w:szCs w:val="24"/>
        </w:rPr>
      </w:pPr>
    </w:p>
    <w:p w:rsidR="005877C9" w:rsidRPr="00CD053A" w:rsidRDefault="005877C9" w:rsidP="005877C9">
      <w:pPr>
        <w:pStyle w:val="Prrafodelista"/>
        <w:numPr>
          <w:ilvl w:val="0"/>
          <w:numId w:val="15"/>
        </w:numPr>
        <w:tabs>
          <w:tab w:val="left" w:pos="284"/>
          <w:tab w:val="left" w:pos="426"/>
        </w:tabs>
        <w:autoSpaceDE w:val="0"/>
        <w:jc w:val="both"/>
        <w:rPr>
          <w:rFonts w:ascii="Arial" w:hAnsi="Arial" w:cs="Arial"/>
          <w:sz w:val="24"/>
          <w:szCs w:val="24"/>
        </w:rPr>
      </w:pPr>
      <w:r w:rsidRPr="00CD053A">
        <w:rPr>
          <w:rFonts w:ascii="Arial" w:hAnsi="Arial" w:cs="Arial"/>
          <w:sz w:val="24"/>
          <w:szCs w:val="24"/>
        </w:rPr>
        <w:t xml:space="preserve">En el marco del trabajo técnico conjunto entre Parques Nacionales Naturales de Colombia, las dos </w:t>
      </w:r>
      <w:r w:rsidR="00E51B44">
        <w:rPr>
          <w:rFonts w:ascii="Arial" w:hAnsi="Arial" w:cs="Arial"/>
          <w:sz w:val="24"/>
          <w:szCs w:val="24"/>
        </w:rPr>
        <w:t>C</w:t>
      </w:r>
      <w:r w:rsidRPr="00CD053A">
        <w:rPr>
          <w:rFonts w:ascii="Arial" w:hAnsi="Arial" w:cs="Arial"/>
          <w:sz w:val="24"/>
          <w:szCs w:val="24"/>
        </w:rPr>
        <w:t>orporaciones y el Ministerio de Ambiente y Desarrollo Sostenible se determinó que sobre la base de las áreas de carácter regional ya declaradas, no se avanzará en la declaratoria de un área protegida de</w:t>
      </w:r>
      <w:r w:rsidR="001E6051">
        <w:rPr>
          <w:rFonts w:ascii="Arial" w:hAnsi="Arial" w:cs="Arial"/>
          <w:sz w:val="24"/>
          <w:szCs w:val="24"/>
        </w:rPr>
        <w:t xml:space="preserve"> orden nacional, pero se adelantará</w:t>
      </w:r>
      <w:r w:rsidRPr="00CD053A">
        <w:rPr>
          <w:rFonts w:ascii="Arial" w:hAnsi="Arial" w:cs="Arial"/>
          <w:sz w:val="24"/>
          <w:szCs w:val="24"/>
        </w:rPr>
        <w:t xml:space="preserve"> un ejercicio a nivel regional por parte de las dos autoridades regionales a fin de definir la estrategia más adecuada que oriente la revisión de los límites actuales en función de un proceso de ampliación o la declaratoria de áreas que incorporen ecosistemas que aún permanezcan con baja representatividad.</w:t>
      </w:r>
    </w:p>
    <w:p w:rsidR="005877C9" w:rsidRPr="00CD053A" w:rsidRDefault="005877C9" w:rsidP="005877C9">
      <w:pPr>
        <w:tabs>
          <w:tab w:val="left" w:pos="284"/>
          <w:tab w:val="left" w:pos="426"/>
        </w:tabs>
        <w:autoSpaceDE w:val="0"/>
        <w:jc w:val="both"/>
        <w:rPr>
          <w:rFonts w:ascii="Arial" w:hAnsi="Arial" w:cs="Arial"/>
          <w:szCs w:val="24"/>
        </w:rPr>
      </w:pPr>
    </w:p>
    <w:p w:rsidR="005877C9" w:rsidRPr="00CD053A" w:rsidRDefault="005877C9" w:rsidP="005877C9">
      <w:pPr>
        <w:pStyle w:val="Prrafodelista"/>
        <w:numPr>
          <w:ilvl w:val="0"/>
          <w:numId w:val="15"/>
        </w:numPr>
        <w:tabs>
          <w:tab w:val="left" w:pos="284"/>
          <w:tab w:val="left" w:pos="426"/>
        </w:tabs>
        <w:autoSpaceDE w:val="0"/>
        <w:jc w:val="both"/>
        <w:rPr>
          <w:rFonts w:ascii="Arial" w:hAnsi="Arial" w:cs="Arial"/>
          <w:sz w:val="24"/>
          <w:szCs w:val="24"/>
        </w:rPr>
      </w:pPr>
      <w:r w:rsidRPr="00CD053A">
        <w:rPr>
          <w:rFonts w:ascii="Arial" w:hAnsi="Arial" w:cs="Arial"/>
          <w:sz w:val="24"/>
          <w:szCs w:val="24"/>
        </w:rPr>
        <w:t xml:space="preserve">A partir de lo anterior, el Ministerio de Ambiente y Desarrollo Sostenible y las dos </w:t>
      </w:r>
      <w:r w:rsidR="001E6051">
        <w:rPr>
          <w:rFonts w:ascii="Arial" w:hAnsi="Arial" w:cs="Arial"/>
          <w:sz w:val="24"/>
          <w:szCs w:val="24"/>
        </w:rPr>
        <w:t>C</w:t>
      </w:r>
      <w:r w:rsidRPr="00CD053A">
        <w:rPr>
          <w:rFonts w:ascii="Arial" w:hAnsi="Arial" w:cs="Arial"/>
          <w:sz w:val="24"/>
          <w:szCs w:val="24"/>
        </w:rPr>
        <w:t>orporaciones con el apoyo del programa Riqueza Natural, adelantarán un ejercicio de análisis para precisar las zonas de referencia sobre la cual se implementar</w:t>
      </w:r>
      <w:r w:rsidR="001E6051">
        <w:rPr>
          <w:rFonts w:ascii="Arial" w:hAnsi="Arial" w:cs="Arial"/>
          <w:sz w:val="24"/>
          <w:szCs w:val="24"/>
        </w:rPr>
        <w:t>á</w:t>
      </w:r>
      <w:r w:rsidRPr="00CD053A">
        <w:rPr>
          <w:rFonts w:ascii="Arial" w:hAnsi="Arial" w:cs="Arial"/>
          <w:sz w:val="24"/>
          <w:szCs w:val="24"/>
        </w:rPr>
        <w:t xml:space="preserve"> la ruta, para la ampliación o declaratoria de nuevas áreas protegidas regionales; así mismo, se revisarán los mecanismos para hacer efectivas otras figuras en el marco de un ordenamiento del territorio (ZRF </w:t>
      </w:r>
      <w:r w:rsidR="001E6051">
        <w:rPr>
          <w:rFonts w:ascii="Arial" w:hAnsi="Arial" w:cs="Arial"/>
          <w:sz w:val="24"/>
          <w:szCs w:val="24"/>
        </w:rPr>
        <w:t>L</w:t>
      </w:r>
      <w:r w:rsidRPr="00CD053A">
        <w:rPr>
          <w:rFonts w:ascii="Arial" w:hAnsi="Arial" w:cs="Arial"/>
          <w:sz w:val="24"/>
          <w:szCs w:val="24"/>
        </w:rPr>
        <w:t>ey 2</w:t>
      </w:r>
      <w:r w:rsidR="001E6051">
        <w:rPr>
          <w:rFonts w:ascii="Arial" w:hAnsi="Arial" w:cs="Arial"/>
          <w:sz w:val="24"/>
          <w:szCs w:val="24"/>
        </w:rPr>
        <w:t>ª de 1959</w:t>
      </w:r>
      <w:r w:rsidRPr="00CD053A">
        <w:rPr>
          <w:rFonts w:ascii="Arial" w:hAnsi="Arial" w:cs="Arial"/>
          <w:sz w:val="24"/>
          <w:szCs w:val="24"/>
        </w:rPr>
        <w:t>, resguardos indígenas, zona reserva campesina)  que se traslapen con la zona de protección y desarrollo de los recursos naturales renovables de esta zona, a fin de tomar las mejores decisiones.</w:t>
      </w:r>
    </w:p>
    <w:p w:rsidR="005877C9" w:rsidRPr="00CD053A" w:rsidRDefault="005877C9" w:rsidP="005E4944">
      <w:pPr>
        <w:rPr>
          <w:rFonts w:ascii="Arial" w:hAnsi="Arial" w:cs="Arial"/>
          <w:szCs w:val="24"/>
        </w:rPr>
      </w:pPr>
    </w:p>
    <w:p w:rsidR="00137AFF" w:rsidRPr="00CD053A" w:rsidRDefault="000A68B7" w:rsidP="000A68B7">
      <w:pPr>
        <w:autoSpaceDE w:val="0"/>
        <w:jc w:val="both"/>
        <w:rPr>
          <w:rFonts w:ascii="Arial" w:hAnsi="Arial" w:cs="Arial"/>
          <w:szCs w:val="24"/>
        </w:rPr>
      </w:pPr>
      <w:r w:rsidRPr="00CD053A">
        <w:rPr>
          <w:rFonts w:ascii="Arial" w:hAnsi="Arial" w:cs="Arial"/>
          <w:szCs w:val="24"/>
        </w:rPr>
        <w:lastRenderedPageBreak/>
        <w:t>Que frente al rediseño en las áreas correspondientes al Polígono 5</w:t>
      </w:r>
      <w:r w:rsidR="006A0657">
        <w:rPr>
          <w:rFonts w:ascii="Arial" w:hAnsi="Arial" w:cs="Arial"/>
          <w:szCs w:val="24"/>
        </w:rPr>
        <w:t xml:space="preserve">: </w:t>
      </w:r>
      <w:r w:rsidRPr="00CD053A">
        <w:rPr>
          <w:rFonts w:ascii="Arial" w:hAnsi="Arial" w:cs="Arial"/>
          <w:szCs w:val="24"/>
        </w:rPr>
        <w:t>Sabanas y H</w:t>
      </w:r>
      <w:r w:rsidR="006A0657">
        <w:rPr>
          <w:rFonts w:ascii="Arial" w:hAnsi="Arial" w:cs="Arial"/>
          <w:szCs w:val="24"/>
        </w:rPr>
        <w:t>umedales de Arauca y Polígono 6:</w:t>
      </w:r>
      <w:r w:rsidRPr="00CD053A">
        <w:rPr>
          <w:rFonts w:ascii="Arial" w:hAnsi="Arial" w:cs="Arial"/>
          <w:szCs w:val="24"/>
        </w:rPr>
        <w:t xml:space="preserve"> Bosques Secos del Patía, dicha decisión fue orientada con base en los avances evolución</w:t>
      </w:r>
      <w:r w:rsidR="00CD1856" w:rsidRPr="00CD053A">
        <w:rPr>
          <w:rFonts w:ascii="Arial" w:hAnsi="Arial" w:cs="Arial"/>
          <w:szCs w:val="24"/>
        </w:rPr>
        <w:t xml:space="preserve"> en la implementación de la ruta </w:t>
      </w:r>
      <w:r w:rsidRPr="00CD053A">
        <w:rPr>
          <w:rFonts w:ascii="Arial" w:hAnsi="Arial" w:cs="Arial"/>
          <w:szCs w:val="24"/>
        </w:rPr>
        <w:t xml:space="preserve">declaratoria, la cual </w:t>
      </w:r>
      <w:r w:rsidR="00CD1856" w:rsidRPr="00CD053A">
        <w:rPr>
          <w:rFonts w:ascii="Arial" w:hAnsi="Arial" w:cs="Arial"/>
          <w:szCs w:val="24"/>
        </w:rPr>
        <w:t>precisó la necesidad d</w:t>
      </w:r>
      <w:r w:rsidR="00137AFF" w:rsidRPr="00CD053A">
        <w:rPr>
          <w:rFonts w:ascii="Arial" w:hAnsi="Arial" w:cs="Arial"/>
          <w:szCs w:val="24"/>
        </w:rPr>
        <w:t>e realizar ajustes en las áreas correspondientes a</w:t>
      </w:r>
      <w:r w:rsidR="00C959CD" w:rsidRPr="00CD053A">
        <w:rPr>
          <w:rFonts w:ascii="Arial" w:hAnsi="Arial" w:cs="Arial"/>
          <w:szCs w:val="24"/>
        </w:rPr>
        <w:t xml:space="preserve"> estos pol</w:t>
      </w:r>
      <w:r w:rsidRPr="00CD053A">
        <w:rPr>
          <w:rFonts w:ascii="Arial" w:hAnsi="Arial" w:cs="Arial"/>
          <w:szCs w:val="24"/>
        </w:rPr>
        <w:t xml:space="preserve">ígonos, </w:t>
      </w:r>
      <w:r w:rsidR="00137AFF" w:rsidRPr="00CD053A">
        <w:rPr>
          <w:rFonts w:ascii="Arial" w:hAnsi="Arial" w:cs="Arial"/>
          <w:szCs w:val="24"/>
        </w:rPr>
        <w:t xml:space="preserve">tomando como base los </w:t>
      </w:r>
      <w:r w:rsidRPr="00CD053A">
        <w:rPr>
          <w:rFonts w:ascii="Arial" w:hAnsi="Arial" w:cs="Arial"/>
          <w:szCs w:val="24"/>
        </w:rPr>
        <w:t>resultados obtenidos</w:t>
      </w:r>
      <w:r w:rsidR="00137AFF" w:rsidRPr="00CD053A">
        <w:rPr>
          <w:rFonts w:ascii="Arial" w:hAnsi="Arial" w:cs="Arial"/>
          <w:szCs w:val="24"/>
        </w:rPr>
        <w:t xml:space="preserve"> en cada uno de los procesos en el periodo comprendido entre julio de 2018 a junio de 2019</w:t>
      </w:r>
      <w:r w:rsidR="00F779C3" w:rsidRPr="00CD053A">
        <w:rPr>
          <w:rFonts w:ascii="Arial" w:hAnsi="Arial" w:cs="Arial"/>
          <w:szCs w:val="24"/>
        </w:rPr>
        <w:t xml:space="preserve">, los cuales permitieron tomar en cuenta en el diseño del área </w:t>
      </w:r>
      <w:r w:rsidR="00284125" w:rsidRPr="00CD053A">
        <w:rPr>
          <w:rFonts w:ascii="Arial" w:hAnsi="Arial" w:cs="Arial"/>
          <w:szCs w:val="24"/>
        </w:rPr>
        <w:t xml:space="preserve">la inclusión de nuevos elementos de análisis, el acceso a </w:t>
      </w:r>
      <w:r w:rsidR="00F779C3" w:rsidRPr="00CD053A">
        <w:rPr>
          <w:rFonts w:ascii="Arial" w:hAnsi="Arial" w:cs="Arial"/>
          <w:szCs w:val="24"/>
        </w:rPr>
        <w:t>informaci</w:t>
      </w:r>
      <w:r w:rsidR="00284125" w:rsidRPr="00CD053A">
        <w:rPr>
          <w:rFonts w:ascii="Arial" w:hAnsi="Arial" w:cs="Arial"/>
          <w:szCs w:val="24"/>
        </w:rPr>
        <w:t xml:space="preserve">ón actualizada y </w:t>
      </w:r>
      <w:r w:rsidR="00F779C3" w:rsidRPr="00CD053A">
        <w:rPr>
          <w:rFonts w:ascii="Arial" w:hAnsi="Arial" w:cs="Arial"/>
          <w:szCs w:val="24"/>
        </w:rPr>
        <w:t>ajustada al territorio a una escala mucho más detallada, así como la vinculación de actores clave para cada uno de los procesos.</w:t>
      </w:r>
    </w:p>
    <w:p w:rsidR="00137AFF" w:rsidRPr="00CD053A" w:rsidRDefault="00137AFF" w:rsidP="00DC2AD2">
      <w:pPr>
        <w:tabs>
          <w:tab w:val="left" w:pos="1276"/>
        </w:tabs>
        <w:jc w:val="both"/>
        <w:rPr>
          <w:rFonts w:ascii="Arial" w:hAnsi="Arial" w:cs="Arial"/>
          <w:szCs w:val="24"/>
        </w:rPr>
      </w:pPr>
    </w:p>
    <w:p w:rsidR="000A68B7" w:rsidRPr="00CD053A" w:rsidRDefault="000A68B7" w:rsidP="000A68B7">
      <w:pPr>
        <w:tabs>
          <w:tab w:val="left" w:pos="1276"/>
        </w:tabs>
        <w:jc w:val="both"/>
        <w:rPr>
          <w:rFonts w:ascii="Arial" w:hAnsi="Arial" w:cs="Arial"/>
          <w:szCs w:val="24"/>
        </w:rPr>
      </w:pPr>
      <w:r w:rsidRPr="00CD053A">
        <w:rPr>
          <w:rFonts w:ascii="Arial" w:hAnsi="Arial" w:cs="Arial"/>
          <w:szCs w:val="24"/>
        </w:rPr>
        <w:t>Que la nueva área de referencia del Polígono 5</w:t>
      </w:r>
      <w:r w:rsidR="008A794E">
        <w:rPr>
          <w:rFonts w:ascii="Arial" w:hAnsi="Arial" w:cs="Arial"/>
          <w:szCs w:val="24"/>
        </w:rPr>
        <w:t>:</w:t>
      </w:r>
      <w:r w:rsidRPr="00CD053A">
        <w:rPr>
          <w:rFonts w:ascii="Arial" w:hAnsi="Arial" w:cs="Arial"/>
          <w:szCs w:val="24"/>
        </w:rPr>
        <w:t xml:space="preserve"> Sabanas y Humedales de Arauca, mediante la declaratoria de una nueva área protegida, permitiría recuperar ecosistemas naturales asociados a la unidad </w:t>
      </w:r>
      <w:proofErr w:type="spellStart"/>
      <w:r w:rsidR="003E2C55" w:rsidRPr="00CD053A">
        <w:rPr>
          <w:rFonts w:ascii="Arial" w:hAnsi="Arial" w:cs="Arial"/>
          <w:szCs w:val="24"/>
        </w:rPr>
        <w:t>ecobiogeografi</w:t>
      </w:r>
      <w:r w:rsidRPr="00CD053A">
        <w:rPr>
          <w:rFonts w:ascii="Arial" w:hAnsi="Arial" w:cs="Arial"/>
          <w:szCs w:val="24"/>
        </w:rPr>
        <w:t>ca</w:t>
      </w:r>
      <w:proofErr w:type="spellEnd"/>
      <w:r w:rsidRPr="00CD053A">
        <w:rPr>
          <w:rFonts w:ascii="Arial" w:hAnsi="Arial" w:cs="Arial"/>
          <w:szCs w:val="24"/>
        </w:rPr>
        <w:t xml:space="preserve"> Arauca-Apure, contribuir a la conectividad regional aportando al mantenimiento de la estructura y función del paisaje dominado por sabanas inundables en la confluencia de las unidades </w:t>
      </w:r>
      <w:proofErr w:type="spellStart"/>
      <w:r w:rsidRPr="00CD053A">
        <w:rPr>
          <w:rFonts w:ascii="Arial" w:hAnsi="Arial" w:cs="Arial"/>
          <w:szCs w:val="24"/>
        </w:rPr>
        <w:t>ecobiogeograficas</w:t>
      </w:r>
      <w:proofErr w:type="spellEnd"/>
      <w:r w:rsidRPr="00CD053A">
        <w:rPr>
          <w:rFonts w:ascii="Arial" w:hAnsi="Arial" w:cs="Arial"/>
          <w:szCs w:val="24"/>
        </w:rPr>
        <w:t xml:space="preserve"> Arauca-Apure,</w:t>
      </w:r>
      <w:r w:rsidR="003E2C55" w:rsidRPr="00CD053A">
        <w:rPr>
          <w:rFonts w:ascii="Arial" w:hAnsi="Arial" w:cs="Arial"/>
          <w:szCs w:val="24"/>
        </w:rPr>
        <w:t xml:space="preserve"> </w:t>
      </w:r>
      <w:r w:rsidRPr="00CD053A">
        <w:rPr>
          <w:rFonts w:ascii="Arial" w:hAnsi="Arial" w:cs="Arial"/>
          <w:szCs w:val="24"/>
        </w:rPr>
        <w:t xml:space="preserve">Casanare-Planicie Aluvial y Piedemonte Arauca, así como aprovechar sosteniblemente los recursos naturales del área por parte de las comunidades asentadas en la confluencia de las unidades </w:t>
      </w:r>
      <w:proofErr w:type="spellStart"/>
      <w:r w:rsidRPr="00CD053A">
        <w:rPr>
          <w:rFonts w:ascii="Arial" w:hAnsi="Arial" w:cs="Arial"/>
          <w:szCs w:val="24"/>
        </w:rPr>
        <w:t>ecobiogeograficas</w:t>
      </w:r>
      <w:proofErr w:type="spellEnd"/>
      <w:r w:rsidRPr="00CD053A">
        <w:rPr>
          <w:rFonts w:ascii="Arial" w:hAnsi="Arial" w:cs="Arial"/>
          <w:szCs w:val="24"/>
        </w:rPr>
        <w:t xml:space="preserve"> Arauca-Apure,</w:t>
      </w:r>
      <w:r w:rsidR="003E2C55" w:rsidRPr="00CD053A">
        <w:rPr>
          <w:rFonts w:ascii="Arial" w:hAnsi="Arial" w:cs="Arial"/>
          <w:szCs w:val="24"/>
        </w:rPr>
        <w:t xml:space="preserve"> </w:t>
      </w:r>
      <w:r w:rsidRPr="00CD053A">
        <w:rPr>
          <w:rFonts w:ascii="Arial" w:hAnsi="Arial" w:cs="Arial"/>
          <w:szCs w:val="24"/>
        </w:rPr>
        <w:t>Casanare-Planicie Aluvial y Piedemonte Arauca, en armonía con los rasgos biofísicos, culturales, sociales y económicos del territorio.</w:t>
      </w:r>
    </w:p>
    <w:p w:rsidR="000A68B7" w:rsidRPr="00CD053A" w:rsidRDefault="000A68B7" w:rsidP="000A68B7">
      <w:pPr>
        <w:tabs>
          <w:tab w:val="left" w:pos="1276"/>
        </w:tabs>
        <w:jc w:val="both"/>
        <w:rPr>
          <w:rFonts w:ascii="Arial" w:hAnsi="Arial" w:cs="Arial"/>
          <w:szCs w:val="24"/>
        </w:rPr>
      </w:pPr>
    </w:p>
    <w:p w:rsidR="000A68B7" w:rsidRPr="00CD053A" w:rsidRDefault="000A68B7" w:rsidP="000A68B7">
      <w:pPr>
        <w:tabs>
          <w:tab w:val="left" w:pos="1276"/>
        </w:tabs>
        <w:jc w:val="both"/>
        <w:rPr>
          <w:rFonts w:ascii="Arial" w:hAnsi="Arial" w:cs="Arial"/>
          <w:szCs w:val="24"/>
        </w:rPr>
      </w:pPr>
      <w:r w:rsidRPr="00CD053A">
        <w:rPr>
          <w:rFonts w:ascii="Arial" w:hAnsi="Arial" w:cs="Arial"/>
          <w:szCs w:val="24"/>
        </w:rPr>
        <w:t>Que la nueva área de referencia del Polígono 6</w:t>
      </w:r>
      <w:r w:rsidR="008A794E">
        <w:rPr>
          <w:rFonts w:ascii="Arial" w:hAnsi="Arial" w:cs="Arial"/>
          <w:szCs w:val="24"/>
        </w:rPr>
        <w:t>:</w:t>
      </w:r>
      <w:r w:rsidRPr="00CD053A">
        <w:rPr>
          <w:rFonts w:ascii="Arial" w:hAnsi="Arial" w:cs="Arial"/>
          <w:szCs w:val="24"/>
        </w:rPr>
        <w:t xml:space="preserve"> Bosques Secos del Patía, mediante la declaratoria de una nueva área protegida, permitiría preservar los remanentes de los ecosistemas secos representados en el Valle del Río Patía, dada su singularidad ecosistémica y su condición como enclave en el macizo colombiano de tal manera que mantengan y optimicen su aporte a la regulación hídrica y climática y a la provisión de servicios ecosistémicos en la zona, recuperar y restaurar la conectividad estructural y/o funcional de los remanentes de los ecosistemas secos representados en el Valle del Río Patía, así como usar sosteniblemente la biodiversidad característica de los ecosistemas secos localizados en el Valle del Río Patía, mediante la concertación e implementación de un modelo de uso sostenible que reconozca los procesos de manejo adaptativo y las práct</w:t>
      </w:r>
      <w:r w:rsidR="003B5D54" w:rsidRPr="00CD053A">
        <w:rPr>
          <w:rFonts w:ascii="Arial" w:hAnsi="Arial" w:cs="Arial"/>
          <w:szCs w:val="24"/>
        </w:rPr>
        <w:t>icas culturales de las comunida</w:t>
      </w:r>
      <w:r w:rsidRPr="00CD053A">
        <w:rPr>
          <w:rFonts w:ascii="Arial" w:hAnsi="Arial" w:cs="Arial"/>
          <w:szCs w:val="24"/>
        </w:rPr>
        <w:t>des negras y campesinas asentadas tradicionalmente en la zona.</w:t>
      </w:r>
    </w:p>
    <w:p w:rsidR="00DC2AD2" w:rsidRPr="00CD053A" w:rsidRDefault="00DC2AD2" w:rsidP="000F037E">
      <w:pPr>
        <w:pStyle w:val="Textoindependiente"/>
        <w:widowControl w:val="0"/>
        <w:tabs>
          <w:tab w:val="left" w:pos="7797"/>
        </w:tabs>
        <w:rPr>
          <w:rFonts w:ascii="Arial" w:hAnsi="Arial" w:cs="Arial"/>
          <w:szCs w:val="24"/>
          <w:lang w:val="es-CO"/>
        </w:rPr>
      </w:pPr>
    </w:p>
    <w:p w:rsidR="00DC0F76" w:rsidRPr="00CD053A" w:rsidRDefault="00972C4C" w:rsidP="00DC0F76">
      <w:pPr>
        <w:jc w:val="both"/>
        <w:rPr>
          <w:rFonts w:ascii="Arial" w:hAnsi="Arial" w:cs="Arial"/>
          <w:szCs w:val="24"/>
          <w:lang w:val="es-CO"/>
        </w:rPr>
      </w:pPr>
      <w:r w:rsidRPr="00CD053A">
        <w:rPr>
          <w:rFonts w:ascii="Arial" w:hAnsi="Arial" w:cs="Arial"/>
          <w:szCs w:val="24"/>
          <w:lang w:val="es-CO"/>
        </w:rPr>
        <w:t>Que la prórroga de</w:t>
      </w:r>
      <w:r w:rsidR="00002047" w:rsidRPr="00CD053A">
        <w:rPr>
          <w:rFonts w:ascii="Arial" w:hAnsi="Arial" w:cs="Arial"/>
          <w:szCs w:val="24"/>
          <w:lang w:val="es-CO"/>
        </w:rPr>
        <w:t>l término</w:t>
      </w:r>
      <w:r w:rsidR="00DC0F76" w:rsidRPr="00CD053A">
        <w:rPr>
          <w:rFonts w:ascii="Arial" w:hAnsi="Arial" w:cs="Arial"/>
          <w:szCs w:val="24"/>
          <w:lang w:val="es-CO"/>
        </w:rPr>
        <w:t xml:space="preserve"> de vigencia de los efectos de las zonas de protección y desarrollo de los recursos naturales renovables y del medio ambiente, se fundamenta en el hecho de que si bien han existido significativos avances en la implementación de la ruta declaratoria para cada una de las zonas de protección de interés nacional, este proceso conforme </w:t>
      </w:r>
      <w:r w:rsidR="00C86D26">
        <w:rPr>
          <w:rFonts w:ascii="Arial" w:hAnsi="Arial" w:cs="Arial"/>
          <w:szCs w:val="24"/>
          <w:lang w:val="es-CO"/>
        </w:rPr>
        <w:t>a</w:t>
      </w:r>
      <w:r w:rsidR="00060A27">
        <w:rPr>
          <w:rFonts w:ascii="Arial" w:hAnsi="Arial" w:cs="Arial"/>
          <w:szCs w:val="24"/>
          <w:lang w:val="es-CO"/>
        </w:rPr>
        <w:t xml:space="preserve"> </w:t>
      </w:r>
      <w:r w:rsidR="00DC0F76" w:rsidRPr="00CD053A">
        <w:rPr>
          <w:rFonts w:ascii="Arial" w:hAnsi="Arial" w:cs="Arial"/>
          <w:szCs w:val="24"/>
          <w:lang w:val="es-CO"/>
        </w:rPr>
        <w:t>lo establecido en la Resolución 1125 de 2015, comprende el desarrollo de tres fases denominadas de</w:t>
      </w:r>
      <w:r w:rsidR="00C86D26">
        <w:rPr>
          <w:rFonts w:ascii="Arial" w:hAnsi="Arial" w:cs="Arial"/>
          <w:szCs w:val="24"/>
          <w:lang w:val="es-CO"/>
        </w:rPr>
        <w:t>:</w:t>
      </w:r>
      <w:r w:rsidR="00DC0F76" w:rsidRPr="00CD053A">
        <w:rPr>
          <w:rFonts w:ascii="Arial" w:hAnsi="Arial" w:cs="Arial"/>
          <w:szCs w:val="24"/>
          <w:lang w:val="es-CO"/>
        </w:rPr>
        <w:t xml:space="preserve"> preparación, aprestamiento y declaratoria, </w:t>
      </w:r>
      <w:r w:rsidR="00C86D26">
        <w:rPr>
          <w:rFonts w:ascii="Arial" w:hAnsi="Arial" w:cs="Arial"/>
          <w:szCs w:val="24"/>
          <w:lang w:val="es-CO"/>
        </w:rPr>
        <w:t xml:space="preserve">con </w:t>
      </w:r>
      <w:r w:rsidR="00DC0F76" w:rsidRPr="00CD053A">
        <w:rPr>
          <w:rFonts w:ascii="Arial" w:hAnsi="Arial" w:cs="Arial"/>
          <w:szCs w:val="24"/>
          <w:lang w:val="es-CO"/>
        </w:rPr>
        <w:t>procedimientos que sin duda requieren tiempos considerables para su adecuado desarrollo. Por lo cual, aún con los avances en la aplicación de la ruta que se han llevado a cabo, existen aún acciones que se hace</w:t>
      </w:r>
      <w:r w:rsidR="00C86D26">
        <w:rPr>
          <w:rFonts w:ascii="Arial" w:hAnsi="Arial" w:cs="Arial"/>
          <w:szCs w:val="24"/>
          <w:lang w:val="es-CO"/>
        </w:rPr>
        <w:t>n necesarias</w:t>
      </w:r>
      <w:r w:rsidR="00DC0F76" w:rsidRPr="00CD053A">
        <w:rPr>
          <w:rFonts w:ascii="Arial" w:hAnsi="Arial" w:cs="Arial"/>
          <w:szCs w:val="24"/>
          <w:lang w:val="es-CO"/>
        </w:rPr>
        <w:t xml:space="preserve"> adelantar para lograr la consolidación de las figuras de conservación que garanticen la protección de los valores naturales y culturales presentes en los territorios que comprend</w:t>
      </w:r>
      <w:r w:rsidR="0060126F" w:rsidRPr="00CD053A">
        <w:rPr>
          <w:rFonts w:ascii="Arial" w:hAnsi="Arial" w:cs="Arial"/>
          <w:szCs w:val="24"/>
          <w:lang w:val="es-CO"/>
        </w:rPr>
        <w:t>en dichas figuras de protección.</w:t>
      </w:r>
    </w:p>
    <w:p w:rsidR="001654D0" w:rsidRPr="00CD053A" w:rsidRDefault="001654D0" w:rsidP="006825AD">
      <w:pPr>
        <w:pStyle w:val="Textoindependiente"/>
        <w:widowControl w:val="0"/>
        <w:tabs>
          <w:tab w:val="left" w:pos="7797"/>
        </w:tabs>
        <w:rPr>
          <w:rFonts w:ascii="Arial" w:hAnsi="Arial" w:cs="Arial"/>
          <w:szCs w:val="24"/>
        </w:rPr>
      </w:pPr>
    </w:p>
    <w:p w:rsidR="00F1018D" w:rsidRPr="00CD053A" w:rsidRDefault="00F1018D" w:rsidP="00F1018D">
      <w:pPr>
        <w:pStyle w:val="CuerpoA"/>
        <w:contextualSpacing/>
        <w:jc w:val="both"/>
        <w:rPr>
          <w:rFonts w:ascii="Arial" w:eastAsiaTheme="minorEastAsia" w:hAnsi="Arial" w:cs="Arial"/>
          <w:color w:val="auto"/>
          <w:bdr w:val="none" w:sz="0" w:space="0" w:color="auto"/>
          <w:lang w:eastAsia="es-ES"/>
        </w:rPr>
      </w:pPr>
      <w:r w:rsidRPr="00CD053A">
        <w:rPr>
          <w:rFonts w:ascii="Arial" w:eastAsiaTheme="minorEastAsia" w:hAnsi="Arial" w:cs="Arial"/>
          <w:color w:val="auto"/>
          <w:bdr w:val="none" w:sz="0" w:space="0" w:color="auto"/>
          <w:lang w:eastAsia="es-ES"/>
        </w:rPr>
        <w:t xml:space="preserve">Que por su parte, la Ley 1955 de 2019, por la cual se expide el  Plan Nacional de Desarrollo (PND) 2018-2022 Pacto por Colombia, Pacto por la Equidad, plantea dentro </w:t>
      </w:r>
      <w:r w:rsidRPr="00CD053A">
        <w:rPr>
          <w:rFonts w:ascii="Arial" w:eastAsiaTheme="minorEastAsia" w:hAnsi="Arial" w:cs="Arial"/>
          <w:color w:val="auto"/>
          <w:bdr w:val="none" w:sz="0" w:space="0" w:color="auto"/>
          <w:lang w:eastAsia="es-ES"/>
        </w:rPr>
        <w:lastRenderedPageBreak/>
        <w:t>sus bases transversales un pacto por la sostenibilidad, denominado “Producir conservando y conservar produciendo”</w:t>
      </w:r>
      <w:r w:rsidRPr="00CD053A">
        <w:rPr>
          <w:rStyle w:val="Refdenotaalpie"/>
          <w:rFonts w:ascii="Arial" w:eastAsiaTheme="minorEastAsia" w:hAnsi="Arial" w:cs="Arial"/>
          <w:color w:val="auto"/>
          <w:sz w:val="24"/>
          <w:bdr w:val="none" w:sz="0" w:space="0" w:color="auto"/>
          <w:lang w:eastAsia="es-ES"/>
        </w:rPr>
        <w:footnoteReference w:id="1"/>
      </w:r>
      <w:r w:rsidRPr="00CD053A">
        <w:rPr>
          <w:rFonts w:ascii="Arial" w:eastAsiaTheme="minorEastAsia" w:hAnsi="Arial" w:cs="Arial"/>
          <w:color w:val="auto"/>
          <w:bdr w:val="none" w:sz="0" w:space="0" w:color="auto"/>
          <w:lang w:eastAsia="es-ES"/>
        </w:rPr>
        <w:t xml:space="preserve">. </w:t>
      </w:r>
    </w:p>
    <w:p w:rsidR="00F1018D" w:rsidRPr="00CD053A" w:rsidRDefault="00F1018D" w:rsidP="00F1018D">
      <w:pPr>
        <w:pStyle w:val="CuerpoA"/>
        <w:contextualSpacing/>
        <w:jc w:val="both"/>
        <w:rPr>
          <w:rFonts w:ascii="Arial" w:eastAsiaTheme="minorEastAsia" w:hAnsi="Arial" w:cs="Arial"/>
          <w:color w:val="auto"/>
          <w:bdr w:val="none" w:sz="0" w:space="0" w:color="auto"/>
          <w:lang w:eastAsia="es-ES"/>
        </w:rPr>
      </w:pPr>
    </w:p>
    <w:p w:rsidR="00F1018D" w:rsidRPr="00CD053A" w:rsidRDefault="00F1018D" w:rsidP="00F1018D">
      <w:pPr>
        <w:pStyle w:val="CuerpoA"/>
        <w:contextualSpacing/>
        <w:jc w:val="both"/>
        <w:rPr>
          <w:rFonts w:ascii="Arial" w:eastAsiaTheme="minorEastAsia" w:hAnsi="Arial" w:cs="Arial"/>
          <w:color w:val="auto"/>
          <w:bdr w:val="none" w:sz="0" w:space="0" w:color="auto"/>
          <w:lang w:eastAsia="es-ES"/>
        </w:rPr>
      </w:pPr>
      <w:r w:rsidRPr="00CD053A">
        <w:rPr>
          <w:rFonts w:ascii="Arial" w:eastAsiaTheme="minorEastAsia" w:hAnsi="Arial" w:cs="Arial"/>
          <w:color w:val="auto"/>
          <w:bdr w:val="none" w:sz="0" w:space="0" w:color="auto"/>
          <w:lang w:eastAsia="es-ES"/>
        </w:rPr>
        <w:t>Que esta apuesta que contiene las acciones, metas e indicadores estratégicos para la gestión ambiental para el periodo 2018 – 2022, define cuatro líneas estratégicas, dentro de las cuales se encuentra la denominada “Biodiversidad y riqueza natural, activos estratégicos de la Nación”, la cual apunta a prevenir el deterioro de la biodiversidad, consolidar su conservación y en este marco, generar las condiciones que permitan avanzar en su uso sostenible, aportando beneficios a las comunidades locales.</w:t>
      </w:r>
    </w:p>
    <w:p w:rsidR="00F1018D" w:rsidRPr="00CD053A" w:rsidRDefault="00F1018D" w:rsidP="00F1018D">
      <w:pPr>
        <w:pStyle w:val="CuerpoA"/>
        <w:contextualSpacing/>
        <w:jc w:val="both"/>
        <w:rPr>
          <w:rFonts w:ascii="Arial" w:eastAsiaTheme="minorEastAsia" w:hAnsi="Arial" w:cs="Arial"/>
          <w:color w:val="auto"/>
          <w:bdr w:val="none" w:sz="0" w:space="0" w:color="auto"/>
          <w:lang w:eastAsia="es-ES"/>
        </w:rPr>
      </w:pPr>
    </w:p>
    <w:p w:rsidR="00F1018D" w:rsidRPr="008C37FC" w:rsidRDefault="00F1018D" w:rsidP="008C37FC">
      <w:pPr>
        <w:pStyle w:val="CuerpoA"/>
        <w:contextualSpacing/>
        <w:jc w:val="both"/>
        <w:rPr>
          <w:rFonts w:ascii="Arial" w:eastAsiaTheme="minorEastAsia" w:hAnsi="Arial" w:cs="Arial"/>
          <w:color w:val="auto"/>
          <w:bdr w:val="none" w:sz="0" w:space="0" w:color="auto"/>
          <w:lang w:eastAsia="es-ES"/>
        </w:rPr>
      </w:pPr>
      <w:r w:rsidRPr="00CD053A">
        <w:rPr>
          <w:rFonts w:ascii="Arial" w:eastAsiaTheme="minorEastAsia" w:hAnsi="Arial" w:cs="Arial"/>
          <w:color w:val="auto"/>
          <w:bdr w:val="none" w:sz="0" w:space="0" w:color="auto"/>
          <w:lang w:eastAsia="es-ES"/>
        </w:rPr>
        <w:t xml:space="preserve">Que para esto, se prevé la necesidad de generar intervenciones integrales en los territorios ambientalmente estratégicos, tales como las áreas protegidas, para consolidar su protección real y efectiva y prevenir y atender los conflictos socio ambientales que puedan generarse con las comunidades locales, convirtiendo la conservación de estos espacios en oportunidades y beneficios para quienes las habitan. </w:t>
      </w:r>
    </w:p>
    <w:p w:rsidR="00F1018D" w:rsidRPr="00CD053A" w:rsidRDefault="00F1018D" w:rsidP="006825AD">
      <w:pPr>
        <w:pStyle w:val="Textoindependiente"/>
        <w:widowControl w:val="0"/>
        <w:tabs>
          <w:tab w:val="left" w:pos="7797"/>
        </w:tabs>
        <w:rPr>
          <w:rFonts w:ascii="Arial" w:hAnsi="Arial" w:cs="Arial"/>
          <w:szCs w:val="24"/>
        </w:rPr>
      </w:pPr>
    </w:p>
    <w:p w:rsidR="001654D0" w:rsidRPr="00CD053A" w:rsidRDefault="001654D0" w:rsidP="00915522">
      <w:pPr>
        <w:jc w:val="both"/>
        <w:rPr>
          <w:rFonts w:ascii="Arial" w:hAnsi="Arial" w:cs="Arial"/>
          <w:szCs w:val="24"/>
          <w:lang w:val="es-CO"/>
        </w:rPr>
      </w:pPr>
      <w:r w:rsidRPr="00CD053A">
        <w:rPr>
          <w:rFonts w:ascii="Arial" w:hAnsi="Arial" w:cs="Arial"/>
          <w:szCs w:val="24"/>
          <w:lang w:val="es-CO"/>
        </w:rPr>
        <w:t xml:space="preserve">Que conforme lo anterior, este Ministerio procederá a través del presente acto administrativo a prorrogar por dos (2) años, contados a partir de su expedición, los efectos y las zonas de protección y desarrollo de los recursos naturales renovables y del medio ambiente, establecidas mediante la Resolución 1628 de 13 de julio de 2015 y prorrogados mediante las </w:t>
      </w:r>
      <w:r w:rsidR="001E75C1" w:rsidRPr="00CD053A">
        <w:rPr>
          <w:rFonts w:ascii="Arial" w:hAnsi="Arial" w:cs="Arial"/>
          <w:szCs w:val="24"/>
          <w:lang w:val="es-CO"/>
        </w:rPr>
        <w:t>Resolución</w:t>
      </w:r>
      <w:r w:rsidRPr="00CD053A">
        <w:rPr>
          <w:rFonts w:ascii="Arial" w:hAnsi="Arial" w:cs="Arial"/>
          <w:szCs w:val="24"/>
          <w:lang w:val="es-CO"/>
        </w:rPr>
        <w:t xml:space="preserve"> 1433 de 2017 y 1310 de 2018, de conformidad con la cartografía digital en formato “shape” anexa a este acto administrativo.</w:t>
      </w:r>
    </w:p>
    <w:p w:rsidR="001654D0" w:rsidRDefault="001654D0" w:rsidP="00915522">
      <w:pPr>
        <w:jc w:val="both"/>
        <w:rPr>
          <w:rFonts w:ascii="Arial" w:hAnsi="Arial" w:cs="Arial"/>
          <w:szCs w:val="24"/>
          <w:lang w:val="es-CO"/>
        </w:rPr>
      </w:pPr>
    </w:p>
    <w:p w:rsidR="007447D5" w:rsidRPr="00CD053A" w:rsidRDefault="007447D5" w:rsidP="00915522">
      <w:pPr>
        <w:jc w:val="both"/>
        <w:rPr>
          <w:rFonts w:ascii="Arial" w:hAnsi="Arial" w:cs="Arial"/>
          <w:szCs w:val="24"/>
          <w:lang w:val="es-CO"/>
        </w:rPr>
      </w:pPr>
    </w:p>
    <w:p w:rsidR="00915522" w:rsidRDefault="00915522" w:rsidP="00915522">
      <w:pPr>
        <w:jc w:val="both"/>
        <w:rPr>
          <w:rFonts w:ascii="Arial" w:hAnsi="Arial" w:cs="Arial"/>
          <w:szCs w:val="24"/>
        </w:rPr>
      </w:pPr>
      <w:r w:rsidRPr="00CD053A">
        <w:rPr>
          <w:rFonts w:ascii="Arial" w:hAnsi="Arial" w:cs="Arial"/>
          <w:szCs w:val="24"/>
        </w:rPr>
        <w:t>Que en mérito de lo expuesto,</w:t>
      </w:r>
    </w:p>
    <w:p w:rsidR="007447D5" w:rsidRPr="00CD053A" w:rsidRDefault="007447D5" w:rsidP="00915522">
      <w:pPr>
        <w:jc w:val="both"/>
        <w:rPr>
          <w:rFonts w:ascii="Arial" w:hAnsi="Arial" w:cs="Arial"/>
          <w:szCs w:val="24"/>
        </w:rPr>
      </w:pPr>
    </w:p>
    <w:p w:rsidR="00455947" w:rsidRPr="00CD053A" w:rsidRDefault="00455947" w:rsidP="00CD3EF5">
      <w:pPr>
        <w:pStyle w:val="Textoindependiente2"/>
        <w:tabs>
          <w:tab w:val="left" w:pos="3515"/>
        </w:tabs>
        <w:spacing w:line="240" w:lineRule="auto"/>
        <w:rPr>
          <w:rFonts w:cs="Arial"/>
          <w:b/>
          <w:szCs w:val="24"/>
        </w:rPr>
      </w:pPr>
    </w:p>
    <w:p w:rsidR="00915522" w:rsidRPr="00CD053A" w:rsidRDefault="00915522" w:rsidP="00915522">
      <w:pPr>
        <w:pStyle w:val="Textoindependiente2"/>
        <w:tabs>
          <w:tab w:val="left" w:pos="3515"/>
        </w:tabs>
        <w:spacing w:line="240" w:lineRule="auto"/>
        <w:ind w:left="-284"/>
        <w:jc w:val="center"/>
        <w:rPr>
          <w:rFonts w:cs="Arial"/>
          <w:b/>
          <w:szCs w:val="24"/>
        </w:rPr>
      </w:pPr>
      <w:r w:rsidRPr="00CD053A">
        <w:rPr>
          <w:rFonts w:cs="Arial"/>
          <w:b/>
          <w:szCs w:val="24"/>
        </w:rPr>
        <w:t>RESUELVE</w:t>
      </w:r>
      <w:r w:rsidR="00100EC7" w:rsidRPr="00CD053A">
        <w:rPr>
          <w:rFonts w:cs="Arial"/>
          <w:b/>
          <w:szCs w:val="24"/>
        </w:rPr>
        <w:t>:</w:t>
      </w:r>
    </w:p>
    <w:p w:rsidR="00915522" w:rsidRDefault="00915522" w:rsidP="00CD3EF5">
      <w:pPr>
        <w:pStyle w:val="Textoindependiente2"/>
        <w:tabs>
          <w:tab w:val="left" w:pos="3515"/>
        </w:tabs>
        <w:spacing w:line="240" w:lineRule="auto"/>
        <w:rPr>
          <w:rFonts w:cs="Arial"/>
          <w:b/>
          <w:szCs w:val="24"/>
        </w:rPr>
      </w:pPr>
    </w:p>
    <w:p w:rsidR="007447D5" w:rsidRPr="00CD053A" w:rsidRDefault="007447D5" w:rsidP="00CD3EF5">
      <w:pPr>
        <w:pStyle w:val="Textoindependiente2"/>
        <w:tabs>
          <w:tab w:val="left" w:pos="3515"/>
        </w:tabs>
        <w:spacing w:line="240" w:lineRule="auto"/>
        <w:rPr>
          <w:rFonts w:cs="Arial"/>
          <w:b/>
          <w:szCs w:val="24"/>
        </w:rPr>
      </w:pPr>
    </w:p>
    <w:p w:rsidR="004D3EA5" w:rsidRPr="00CD053A" w:rsidRDefault="00CD3EF5" w:rsidP="004D3EA5">
      <w:pPr>
        <w:jc w:val="both"/>
        <w:rPr>
          <w:rFonts w:ascii="Arial" w:hAnsi="Arial" w:cs="Arial"/>
          <w:szCs w:val="24"/>
          <w:lang w:val="es-CO"/>
        </w:rPr>
      </w:pPr>
      <w:bookmarkStart w:id="1" w:name="OLE_LINK1"/>
      <w:r w:rsidRPr="00CD053A">
        <w:rPr>
          <w:rFonts w:ascii="Arial" w:hAnsi="Arial" w:cs="Arial"/>
          <w:b/>
          <w:szCs w:val="24"/>
          <w:lang w:val="es-CO"/>
        </w:rPr>
        <w:t>Artículo 1</w:t>
      </w:r>
      <w:r w:rsidR="00915522" w:rsidRPr="00CD053A">
        <w:rPr>
          <w:rFonts w:ascii="Arial" w:hAnsi="Arial" w:cs="Arial"/>
          <w:b/>
          <w:szCs w:val="24"/>
          <w:lang w:val="es-CO"/>
        </w:rPr>
        <w:t>.</w:t>
      </w:r>
      <w:r w:rsidR="00A6464C" w:rsidRPr="00CD053A">
        <w:rPr>
          <w:rFonts w:ascii="Arial" w:hAnsi="Arial" w:cs="Arial"/>
          <w:b/>
          <w:szCs w:val="24"/>
          <w:lang w:val="es-CO"/>
        </w:rPr>
        <w:t>-</w:t>
      </w:r>
      <w:bookmarkEnd w:id="1"/>
      <w:r w:rsidR="00441B83" w:rsidRPr="00CD053A">
        <w:rPr>
          <w:rFonts w:ascii="Arial" w:hAnsi="Arial" w:cs="Arial"/>
          <w:b/>
          <w:szCs w:val="24"/>
          <w:lang w:val="es-CO"/>
        </w:rPr>
        <w:t xml:space="preserve"> </w:t>
      </w:r>
      <w:r w:rsidR="00B36639" w:rsidRPr="00CD053A">
        <w:rPr>
          <w:rFonts w:ascii="Arial" w:hAnsi="Arial" w:cs="Arial"/>
          <w:b/>
          <w:szCs w:val="24"/>
          <w:lang w:val="es-CO"/>
        </w:rPr>
        <w:t>Objeto</w:t>
      </w:r>
      <w:r w:rsidR="00441B83" w:rsidRPr="00CD053A">
        <w:rPr>
          <w:rFonts w:ascii="Arial" w:hAnsi="Arial" w:cs="Arial"/>
          <w:b/>
          <w:szCs w:val="24"/>
          <w:lang w:val="es-CO"/>
        </w:rPr>
        <w:t>.</w:t>
      </w:r>
      <w:r w:rsidR="0057219F" w:rsidRPr="00CD053A">
        <w:rPr>
          <w:rFonts w:ascii="Arial" w:hAnsi="Arial" w:cs="Arial"/>
          <w:b/>
          <w:szCs w:val="24"/>
          <w:lang w:val="es-CO"/>
        </w:rPr>
        <w:t xml:space="preserve"> </w:t>
      </w:r>
      <w:r w:rsidR="004D3EA5" w:rsidRPr="00CD053A">
        <w:rPr>
          <w:rFonts w:ascii="Arial" w:hAnsi="Arial" w:cs="Arial"/>
          <w:szCs w:val="24"/>
        </w:rPr>
        <w:t>P</w:t>
      </w:r>
      <w:r w:rsidR="00A6606C" w:rsidRPr="00CD053A">
        <w:rPr>
          <w:rFonts w:ascii="Arial" w:hAnsi="Arial" w:cs="Arial"/>
          <w:szCs w:val="24"/>
        </w:rPr>
        <w:t xml:space="preserve">rorrogar por </w:t>
      </w:r>
      <w:r w:rsidR="00100EC7" w:rsidRPr="00CD053A">
        <w:rPr>
          <w:rFonts w:ascii="Arial" w:hAnsi="Arial" w:cs="Arial"/>
          <w:szCs w:val="24"/>
        </w:rPr>
        <w:t xml:space="preserve">el término de </w:t>
      </w:r>
      <w:r w:rsidR="004D3EA5" w:rsidRPr="00CD053A">
        <w:rPr>
          <w:rFonts w:ascii="Arial" w:hAnsi="Arial" w:cs="Arial"/>
          <w:szCs w:val="24"/>
        </w:rPr>
        <w:t>dos (2</w:t>
      </w:r>
      <w:r w:rsidR="00A6606C" w:rsidRPr="00CD053A">
        <w:rPr>
          <w:rFonts w:ascii="Arial" w:hAnsi="Arial" w:cs="Arial"/>
          <w:szCs w:val="24"/>
        </w:rPr>
        <w:t>) año</w:t>
      </w:r>
      <w:r w:rsidR="004D3EA5" w:rsidRPr="00CD053A">
        <w:rPr>
          <w:rFonts w:ascii="Arial" w:hAnsi="Arial" w:cs="Arial"/>
          <w:szCs w:val="24"/>
        </w:rPr>
        <w:t>s</w:t>
      </w:r>
      <w:r w:rsidR="00A6606C" w:rsidRPr="00CD053A">
        <w:rPr>
          <w:rFonts w:ascii="Arial" w:hAnsi="Arial" w:cs="Arial"/>
          <w:szCs w:val="24"/>
        </w:rPr>
        <w:t xml:space="preserve">, </w:t>
      </w:r>
      <w:r w:rsidR="0046090F">
        <w:rPr>
          <w:rFonts w:ascii="Arial" w:hAnsi="Arial" w:cs="Arial"/>
          <w:szCs w:val="24"/>
        </w:rPr>
        <w:t>contados a partir de la expedición del presente acto administrativo, l</w:t>
      </w:r>
      <w:r w:rsidR="004D3EA5" w:rsidRPr="00CD053A">
        <w:rPr>
          <w:rFonts w:ascii="Arial" w:hAnsi="Arial" w:cs="Arial"/>
          <w:szCs w:val="24"/>
        </w:rPr>
        <w:t xml:space="preserve">os efectos </w:t>
      </w:r>
      <w:r w:rsidR="0046090F">
        <w:rPr>
          <w:rFonts w:ascii="Arial" w:hAnsi="Arial" w:cs="Arial"/>
          <w:szCs w:val="24"/>
        </w:rPr>
        <w:t xml:space="preserve">jurídicos de </w:t>
      </w:r>
      <w:r w:rsidR="00A6606C" w:rsidRPr="00CD053A">
        <w:rPr>
          <w:rFonts w:ascii="Arial" w:hAnsi="Arial" w:cs="Arial"/>
          <w:szCs w:val="24"/>
        </w:rPr>
        <w:t>la</w:t>
      </w:r>
      <w:r w:rsidR="004D3EA5" w:rsidRPr="00CD053A">
        <w:rPr>
          <w:rFonts w:ascii="Arial" w:hAnsi="Arial" w:cs="Arial"/>
          <w:szCs w:val="24"/>
        </w:rPr>
        <w:t>s</w:t>
      </w:r>
      <w:r w:rsidR="00A6606C" w:rsidRPr="00CD053A">
        <w:rPr>
          <w:rFonts w:ascii="Arial" w:hAnsi="Arial" w:cs="Arial"/>
          <w:szCs w:val="24"/>
          <w:lang w:val="es-CO"/>
        </w:rPr>
        <w:t xml:space="preserve"> </w:t>
      </w:r>
      <w:r w:rsidR="004D3EA5" w:rsidRPr="00CD053A">
        <w:rPr>
          <w:rFonts w:ascii="Arial" w:hAnsi="Arial" w:cs="Arial"/>
          <w:szCs w:val="24"/>
          <w:lang w:val="es-CO"/>
        </w:rPr>
        <w:t xml:space="preserve">siguientes </w:t>
      </w:r>
      <w:r w:rsidR="00A6606C" w:rsidRPr="00CD053A">
        <w:rPr>
          <w:rFonts w:ascii="Arial" w:hAnsi="Arial" w:cs="Arial"/>
          <w:szCs w:val="24"/>
          <w:lang w:val="es-CO"/>
        </w:rPr>
        <w:t>zona</w:t>
      </w:r>
      <w:r w:rsidR="004D3EA5" w:rsidRPr="00CD053A">
        <w:rPr>
          <w:rFonts w:ascii="Arial" w:hAnsi="Arial" w:cs="Arial"/>
          <w:szCs w:val="24"/>
          <w:lang w:val="es-CO"/>
        </w:rPr>
        <w:t>s</w:t>
      </w:r>
      <w:r w:rsidR="00A6606C" w:rsidRPr="00CD053A">
        <w:rPr>
          <w:rFonts w:ascii="Arial" w:hAnsi="Arial" w:cs="Arial"/>
          <w:szCs w:val="24"/>
          <w:lang w:val="es-CO"/>
        </w:rPr>
        <w:t xml:space="preserve"> de protección y desarrollo de los recursos naturales y del </w:t>
      </w:r>
      <w:r w:rsidR="004D3EA5" w:rsidRPr="00CD053A">
        <w:rPr>
          <w:rFonts w:ascii="Arial" w:hAnsi="Arial" w:cs="Arial"/>
          <w:szCs w:val="24"/>
          <w:lang w:val="es-CO"/>
        </w:rPr>
        <w:t>medio ambiente</w:t>
      </w:r>
      <w:r w:rsidR="0046090F">
        <w:rPr>
          <w:rFonts w:ascii="Arial" w:hAnsi="Arial" w:cs="Arial"/>
          <w:szCs w:val="24"/>
          <w:lang w:val="es-CO"/>
        </w:rPr>
        <w:t>,</w:t>
      </w:r>
      <w:r w:rsidR="0046090F" w:rsidRPr="0046090F">
        <w:t xml:space="preserve"> </w:t>
      </w:r>
      <w:r w:rsidR="0046090F" w:rsidRPr="0046090F">
        <w:rPr>
          <w:rFonts w:ascii="Arial" w:hAnsi="Arial" w:cs="Arial"/>
          <w:szCs w:val="24"/>
          <w:lang w:val="es-CO"/>
        </w:rPr>
        <w:t xml:space="preserve">establecidas mediante la Resolución 1628 de </w:t>
      </w:r>
      <w:r w:rsidR="0046090F">
        <w:rPr>
          <w:rFonts w:ascii="Arial" w:hAnsi="Arial" w:cs="Arial"/>
          <w:szCs w:val="24"/>
          <w:lang w:val="es-CO"/>
        </w:rPr>
        <w:t>13 de julio de 2015 y prorrogada</w:t>
      </w:r>
      <w:r w:rsidR="0046090F" w:rsidRPr="0046090F">
        <w:rPr>
          <w:rFonts w:ascii="Arial" w:hAnsi="Arial" w:cs="Arial"/>
          <w:szCs w:val="24"/>
          <w:lang w:val="es-CO"/>
        </w:rPr>
        <w:t>s mediante las Resolución 1433 de 2017 y 1310 de 2018</w:t>
      </w:r>
      <w:r w:rsidR="004D3EA5" w:rsidRPr="00CD053A">
        <w:rPr>
          <w:rFonts w:ascii="Arial" w:hAnsi="Arial" w:cs="Arial"/>
          <w:szCs w:val="24"/>
          <w:lang w:val="es-CO"/>
        </w:rPr>
        <w:t xml:space="preserve">: </w:t>
      </w:r>
    </w:p>
    <w:p w:rsidR="004D3EA5" w:rsidRPr="00CD053A" w:rsidRDefault="004D3EA5" w:rsidP="004D3EA5">
      <w:pPr>
        <w:jc w:val="both"/>
        <w:rPr>
          <w:rFonts w:ascii="Arial" w:hAnsi="Arial" w:cs="Arial"/>
          <w:szCs w:val="24"/>
          <w:lang w:val="es-CO"/>
        </w:rPr>
      </w:pPr>
    </w:p>
    <w:p w:rsidR="004D3EA5" w:rsidRPr="00CD053A" w:rsidRDefault="004D3EA5" w:rsidP="004D3EA5">
      <w:pPr>
        <w:jc w:val="both"/>
        <w:rPr>
          <w:rFonts w:ascii="Arial" w:hAnsi="Arial" w:cs="Arial"/>
          <w:color w:val="000000"/>
          <w:szCs w:val="24"/>
        </w:rPr>
      </w:pPr>
      <w:r w:rsidRPr="00CD053A">
        <w:rPr>
          <w:rFonts w:ascii="Arial" w:hAnsi="Arial" w:cs="Arial"/>
          <w:color w:val="000000"/>
          <w:szCs w:val="24"/>
        </w:rPr>
        <w:t>Polígono 1 - Selvas Transicionales de Cumaribo.</w:t>
      </w:r>
    </w:p>
    <w:p w:rsidR="004D3EA5" w:rsidRPr="00CD053A" w:rsidRDefault="004D3EA5" w:rsidP="004D3EA5">
      <w:pPr>
        <w:jc w:val="both"/>
        <w:rPr>
          <w:rFonts w:ascii="Arial" w:hAnsi="Arial" w:cs="Arial"/>
          <w:color w:val="000000"/>
          <w:szCs w:val="24"/>
        </w:rPr>
      </w:pPr>
      <w:r w:rsidRPr="00CD053A">
        <w:rPr>
          <w:rFonts w:ascii="Arial" w:hAnsi="Arial" w:cs="Arial"/>
          <w:szCs w:val="24"/>
          <w:lang w:val="es-CO"/>
        </w:rPr>
        <w:t>Polígono 2 - Alto Manacacías.</w:t>
      </w:r>
      <w:r w:rsidRPr="00CD053A">
        <w:rPr>
          <w:rFonts w:ascii="Arial" w:hAnsi="Arial" w:cs="Arial"/>
          <w:color w:val="000000"/>
          <w:szCs w:val="24"/>
        </w:rPr>
        <w:t xml:space="preserve"> </w:t>
      </w:r>
    </w:p>
    <w:p w:rsidR="004D3EA5" w:rsidRPr="00CD053A" w:rsidRDefault="004D3EA5" w:rsidP="004D3EA5">
      <w:pPr>
        <w:jc w:val="both"/>
        <w:rPr>
          <w:rFonts w:ascii="Arial" w:hAnsi="Arial" w:cs="Arial"/>
          <w:color w:val="000000"/>
          <w:szCs w:val="24"/>
        </w:rPr>
      </w:pPr>
      <w:r w:rsidRPr="00CD053A">
        <w:rPr>
          <w:rFonts w:ascii="Arial" w:hAnsi="Arial" w:cs="Arial"/>
          <w:color w:val="000000"/>
          <w:szCs w:val="24"/>
        </w:rPr>
        <w:t>Polígono 3 - San Lucas.</w:t>
      </w:r>
    </w:p>
    <w:p w:rsidR="004D3EA5" w:rsidRPr="00CD053A" w:rsidRDefault="004D3EA5" w:rsidP="004D3EA5">
      <w:pPr>
        <w:jc w:val="both"/>
        <w:rPr>
          <w:rFonts w:ascii="Arial" w:hAnsi="Arial" w:cs="Arial"/>
          <w:color w:val="000000"/>
          <w:szCs w:val="24"/>
        </w:rPr>
      </w:pPr>
      <w:r w:rsidRPr="00CD053A">
        <w:rPr>
          <w:rFonts w:ascii="Arial" w:hAnsi="Arial" w:cs="Arial"/>
          <w:color w:val="000000"/>
          <w:szCs w:val="24"/>
        </w:rPr>
        <w:t>Polígono 5 - Sabanas y Humedales de Arauca.</w:t>
      </w:r>
    </w:p>
    <w:p w:rsidR="004D3EA5" w:rsidRPr="00CD053A" w:rsidRDefault="004D3EA5" w:rsidP="004D3EA5">
      <w:pPr>
        <w:jc w:val="both"/>
        <w:rPr>
          <w:rFonts w:ascii="Arial" w:hAnsi="Arial" w:cs="Arial"/>
          <w:color w:val="000000"/>
          <w:szCs w:val="24"/>
        </w:rPr>
      </w:pPr>
      <w:r w:rsidRPr="00CD053A">
        <w:rPr>
          <w:rFonts w:ascii="Arial" w:hAnsi="Arial" w:cs="Arial"/>
          <w:color w:val="000000"/>
          <w:szCs w:val="24"/>
        </w:rPr>
        <w:t>Polígono 6 - Bosques Secos del Patía.</w:t>
      </w:r>
    </w:p>
    <w:p w:rsidR="0046090F" w:rsidRDefault="0046090F" w:rsidP="004D3EA5">
      <w:pPr>
        <w:jc w:val="both"/>
        <w:rPr>
          <w:rFonts w:ascii="Arial" w:hAnsi="Arial" w:cs="Arial"/>
          <w:b/>
          <w:szCs w:val="24"/>
          <w:lang w:val="es-ES_tradnl"/>
        </w:rPr>
      </w:pPr>
    </w:p>
    <w:p w:rsidR="004D3EA5" w:rsidRDefault="0046090F" w:rsidP="004D3EA5">
      <w:pPr>
        <w:jc w:val="both"/>
        <w:rPr>
          <w:rFonts w:ascii="Arial" w:hAnsi="Arial" w:cs="Arial"/>
          <w:b/>
          <w:szCs w:val="24"/>
          <w:lang w:val="es-ES_tradnl"/>
        </w:rPr>
      </w:pPr>
      <w:r w:rsidRPr="00CD053A">
        <w:rPr>
          <w:rFonts w:ascii="Arial" w:hAnsi="Arial" w:cs="Arial"/>
          <w:b/>
          <w:szCs w:val="24"/>
          <w:lang w:val="es-ES_tradnl"/>
        </w:rPr>
        <w:t>P</w:t>
      </w:r>
      <w:r>
        <w:rPr>
          <w:rFonts w:ascii="Arial" w:hAnsi="Arial" w:cs="Arial"/>
          <w:b/>
          <w:szCs w:val="24"/>
          <w:lang w:val="es-ES_tradnl"/>
        </w:rPr>
        <w:t xml:space="preserve">arágrafo. </w:t>
      </w:r>
      <w:r w:rsidRPr="0046090F">
        <w:rPr>
          <w:rFonts w:ascii="Arial" w:hAnsi="Arial" w:cs="Arial"/>
          <w:szCs w:val="24"/>
          <w:lang w:val="es-ES_tradnl"/>
        </w:rPr>
        <w:t>E</w:t>
      </w:r>
      <w:r>
        <w:rPr>
          <w:rFonts w:ascii="Arial" w:hAnsi="Arial" w:cs="Arial"/>
          <w:szCs w:val="24"/>
          <w:lang w:val="es-ES_tradnl"/>
        </w:rPr>
        <w:t>l área correspondiente al polígono 4- Serranía de Perijá, declarada mediante la Resolución 1628 de 2015, no se incluye en este acto administrativo de prorroga en consonancia con la parte motiva de esta resolución.</w:t>
      </w:r>
    </w:p>
    <w:p w:rsidR="0046090F" w:rsidRPr="00CD053A" w:rsidRDefault="0046090F" w:rsidP="004D3EA5">
      <w:pPr>
        <w:jc w:val="both"/>
        <w:rPr>
          <w:rFonts w:ascii="Arial" w:hAnsi="Arial" w:cs="Arial"/>
          <w:szCs w:val="24"/>
          <w:lang w:val="es-CO"/>
        </w:rPr>
      </w:pPr>
    </w:p>
    <w:p w:rsidR="0046090F" w:rsidRDefault="00E36180" w:rsidP="00E36180">
      <w:pPr>
        <w:jc w:val="both"/>
        <w:rPr>
          <w:rFonts w:ascii="Arial" w:hAnsi="Arial" w:cs="Arial"/>
          <w:color w:val="000000"/>
          <w:szCs w:val="24"/>
        </w:rPr>
      </w:pPr>
      <w:r w:rsidRPr="00CD053A">
        <w:rPr>
          <w:rFonts w:ascii="Arial" w:hAnsi="Arial" w:cs="Arial"/>
          <w:b/>
          <w:szCs w:val="24"/>
          <w:lang w:val="es-CO"/>
        </w:rPr>
        <w:t xml:space="preserve">Artículo 2.- </w:t>
      </w:r>
      <w:r w:rsidR="004C0835" w:rsidRPr="00CD053A">
        <w:rPr>
          <w:rFonts w:ascii="Arial" w:hAnsi="Arial" w:cs="Arial"/>
          <w:b/>
          <w:szCs w:val="24"/>
          <w:lang w:val="es-CO"/>
        </w:rPr>
        <w:t>Permanencia de áreas</w:t>
      </w:r>
      <w:r w:rsidRPr="00CD053A">
        <w:rPr>
          <w:rFonts w:ascii="Arial" w:hAnsi="Arial" w:cs="Arial"/>
          <w:b/>
          <w:szCs w:val="24"/>
          <w:lang w:val="es-CO"/>
        </w:rPr>
        <w:t xml:space="preserve">. </w:t>
      </w:r>
      <w:r w:rsidRPr="00CD053A">
        <w:rPr>
          <w:rFonts w:ascii="Arial" w:hAnsi="Arial" w:cs="Arial"/>
          <w:szCs w:val="24"/>
          <w:lang w:val="es-CO"/>
        </w:rPr>
        <w:t>Los polígonos</w:t>
      </w:r>
      <w:r w:rsidR="00F9228A" w:rsidRPr="00CD053A">
        <w:rPr>
          <w:rFonts w:ascii="Arial" w:hAnsi="Arial" w:cs="Arial"/>
          <w:szCs w:val="24"/>
          <w:lang w:val="es-CO"/>
        </w:rPr>
        <w:t xml:space="preserve"> que mantienen su extensión y los límites establecidos en las Resoluciones 1628 de 2015, 1433 de 2017 y 1310 de 2018 </w:t>
      </w:r>
      <w:r w:rsidR="0046090F">
        <w:rPr>
          <w:rFonts w:ascii="Arial" w:hAnsi="Arial" w:cs="Arial"/>
          <w:color w:val="000000"/>
          <w:szCs w:val="24"/>
        </w:rPr>
        <w:lastRenderedPageBreak/>
        <w:t>cuentan con un área que en conjunto suma</w:t>
      </w:r>
      <w:r w:rsidR="0046090F" w:rsidRPr="0046090F">
        <w:rPr>
          <w:rFonts w:ascii="Arial" w:hAnsi="Arial" w:cs="Arial"/>
          <w:color w:val="000000"/>
          <w:szCs w:val="24"/>
        </w:rPr>
        <w:t xml:space="preserve"> </w:t>
      </w:r>
      <w:r w:rsidR="0046090F">
        <w:rPr>
          <w:rFonts w:ascii="Arial" w:hAnsi="Arial" w:cs="Arial"/>
          <w:color w:val="000000"/>
          <w:szCs w:val="24"/>
        </w:rPr>
        <w:t>aproximadamente 891.148 ha, distribuidas así</w:t>
      </w:r>
      <w:r w:rsidRPr="00CD053A">
        <w:rPr>
          <w:rFonts w:ascii="Arial" w:hAnsi="Arial" w:cs="Arial"/>
          <w:color w:val="000000"/>
          <w:szCs w:val="24"/>
        </w:rPr>
        <w:t xml:space="preserve">: </w:t>
      </w:r>
    </w:p>
    <w:p w:rsidR="0046090F" w:rsidRDefault="0046090F" w:rsidP="00E36180">
      <w:pPr>
        <w:jc w:val="both"/>
        <w:rPr>
          <w:rFonts w:ascii="Arial" w:hAnsi="Arial" w:cs="Arial"/>
          <w:color w:val="000000"/>
          <w:szCs w:val="24"/>
        </w:rPr>
      </w:pPr>
    </w:p>
    <w:p w:rsidR="0046090F" w:rsidRDefault="00E36180" w:rsidP="00E36180">
      <w:pPr>
        <w:jc w:val="both"/>
        <w:rPr>
          <w:rFonts w:ascii="Arial" w:hAnsi="Arial" w:cs="Arial"/>
          <w:color w:val="000000"/>
          <w:szCs w:val="24"/>
        </w:rPr>
      </w:pPr>
      <w:r w:rsidRPr="00CD053A">
        <w:rPr>
          <w:rFonts w:ascii="Arial" w:hAnsi="Arial" w:cs="Arial"/>
          <w:color w:val="000000"/>
          <w:szCs w:val="24"/>
        </w:rPr>
        <w:t>Polígono 1 - Selvas Transicionales de Cuma</w:t>
      </w:r>
      <w:r w:rsidR="0046090F">
        <w:rPr>
          <w:rFonts w:ascii="Arial" w:hAnsi="Arial" w:cs="Arial"/>
          <w:color w:val="000000"/>
          <w:szCs w:val="24"/>
        </w:rPr>
        <w:t>ribo con un área de 301.138 ha</w:t>
      </w:r>
    </w:p>
    <w:p w:rsidR="0046090F" w:rsidRDefault="00E36180" w:rsidP="00E36180">
      <w:pPr>
        <w:jc w:val="both"/>
        <w:rPr>
          <w:rFonts w:ascii="Arial" w:hAnsi="Arial" w:cs="Arial"/>
          <w:szCs w:val="24"/>
          <w:lang w:val="es-CO"/>
        </w:rPr>
      </w:pPr>
      <w:r w:rsidRPr="00CD053A">
        <w:rPr>
          <w:rFonts w:ascii="Arial" w:hAnsi="Arial" w:cs="Arial"/>
          <w:color w:val="000000"/>
          <w:szCs w:val="24"/>
        </w:rPr>
        <w:t xml:space="preserve">Polígono 2 - Alto Manacacías con un área de </w:t>
      </w:r>
      <w:r w:rsidRPr="00CD053A">
        <w:rPr>
          <w:rFonts w:ascii="Arial" w:hAnsi="Arial" w:cs="Arial"/>
          <w:szCs w:val="24"/>
          <w:lang w:val="es-CO"/>
        </w:rPr>
        <w:t>68.185 ha</w:t>
      </w:r>
    </w:p>
    <w:p w:rsidR="0046090F" w:rsidRDefault="00E36180" w:rsidP="00E36180">
      <w:pPr>
        <w:jc w:val="both"/>
        <w:rPr>
          <w:rFonts w:ascii="Arial" w:hAnsi="Arial" w:cs="Arial"/>
          <w:szCs w:val="24"/>
          <w:lang w:val="es-CO"/>
        </w:rPr>
      </w:pPr>
      <w:r w:rsidRPr="00CD053A">
        <w:rPr>
          <w:rFonts w:ascii="Arial" w:hAnsi="Arial" w:cs="Arial"/>
          <w:color w:val="000000"/>
          <w:szCs w:val="24"/>
        </w:rPr>
        <w:t xml:space="preserve">Polígono 3 – Serranía de San Lucas con un área de </w:t>
      </w:r>
      <w:r w:rsidRPr="00CD053A">
        <w:rPr>
          <w:rFonts w:ascii="Arial" w:hAnsi="Arial" w:cs="Arial"/>
          <w:szCs w:val="24"/>
          <w:lang w:val="es-CO"/>
        </w:rPr>
        <w:t>521.824 ha</w:t>
      </w:r>
    </w:p>
    <w:p w:rsidR="0046090F" w:rsidRDefault="0046090F" w:rsidP="00E36180">
      <w:pPr>
        <w:jc w:val="both"/>
        <w:rPr>
          <w:rFonts w:ascii="Arial" w:hAnsi="Arial" w:cs="Arial"/>
          <w:szCs w:val="24"/>
          <w:lang w:val="es-CO"/>
        </w:rPr>
      </w:pPr>
    </w:p>
    <w:p w:rsidR="004C0835" w:rsidRPr="00CD053A" w:rsidRDefault="004C0835" w:rsidP="004C0835">
      <w:pPr>
        <w:jc w:val="both"/>
        <w:rPr>
          <w:rFonts w:ascii="Arial" w:hAnsi="Arial" w:cs="Arial"/>
          <w:color w:val="000000"/>
          <w:szCs w:val="24"/>
        </w:rPr>
      </w:pPr>
      <w:r w:rsidRPr="00CD053A">
        <w:rPr>
          <w:rFonts w:ascii="Arial" w:hAnsi="Arial" w:cs="Arial"/>
          <w:b/>
          <w:szCs w:val="24"/>
          <w:lang w:val="es-CO"/>
        </w:rPr>
        <w:t xml:space="preserve">Artículo 3.- Modificación de áreas. </w:t>
      </w:r>
      <w:r w:rsidRPr="00CD053A">
        <w:rPr>
          <w:rFonts w:ascii="Arial" w:hAnsi="Arial" w:cs="Arial"/>
          <w:szCs w:val="24"/>
          <w:lang w:val="es-CO"/>
        </w:rPr>
        <w:t>Los polígonos</w:t>
      </w:r>
      <w:r w:rsidR="00F9228A" w:rsidRPr="00CD053A">
        <w:rPr>
          <w:rFonts w:ascii="Arial" w:hAnsi="Arial" w:cs="Arial"/>
          <w:szCs w:val="24"/>
          <w:lang w:val="es-CO"/>
        </w:rPr>
        <w:t xml:space="preserve"> que modifican su extensión y los límites establecidos en las Resoluciones 1628 de 2015, 1433 de 2017 y 1310 de 2018 corresponden al </w:t>
      </w:r>
      <w:r w:rsidRPr="00CD053A">
        <w:rPr>
          <w:rFonts w:ascii="Arial" w:hAnsi="Arial" w:cs="Arial"/>
          <w:color w:val="000000"/>
          <w:szCs w:val="24"/>
        </w:rPr>
        <w:t>Polígono 5</w:t>
      </w:r>
      <w:r w:rsidR="00231728" w:rsidRPr="00CD053A">
        <w:rPr>
          <w:rFonts w:ascii="Arial" w:hAnsi="Arial" w:cs="Arial"/>
          <w:color w:val="000000"/>
          <w:szCs w:val="24"/>
        </w:rPr>
        <w:t xml:space="preserve"> -</w:t>
      </w:r>
      <w:r w:rsidRPr="00CD053A">
        <w:rPr>
          <w:rFonts w:ascii="Arial" w:hAnsi="Arial" w:cs="Arial"/>
          <w:color w:val="000000"/>
          <w:szCs w:val="24"/>
        </w:rPr>
        <w:t xml:space="preserve"> Sabanas y Humedales de Arauca</w:t>
      </w:r>
      <w:r w:rsidR="00231728" w:rsidRPr="00CD053A">
        <w:rPr>
          <w:rFonts w:ascii="Arial" w:hAnsi="Arial" w:cs="Arial"/>
          <w:color w:val="000000"/>
          <w:szCs w:val="24"/>
        </w:rPr>
        <w:t xml:space="preserve"> y Polígono 6 - Bosques Secos del Patía,</w:t>
      </w:r>
      <w:r w:rsidR="00F9228A" w:rsidRPr="00CD053A">
        <w:rPr>
          <w:rFonts w:ascii="Arial" w:hAnsi="Arial" w:cs="Arial"/>
          <w:color w:val="000000"/>
          <w:szCs w:val="24"/>
        </w:rPr>
        <w:t xml:space="preserve"> y cuentan con un área en hectáreas aproximada de </w:t>
      </w:r>
      <w:r w:rsidR="00F9228A" w:rsidRPr="00CD053A">
        <w:rPr>
          <w:rFonts w:ascii="Arial" w:hAnsi="Arial" w:cs="Arial"/>
          <w:color w:val="000000"/>
        </w:rPr>
        <w:t xml:space="preserve">486.088 ha </w:t>
      </w:r>
      <w:r w:rsidR="00F9228A" w:rsidRPr="00CD053A">
        <w:rPr>
          <w:rFonts w:ascii="Arial" w:hAnsi="Arial" w:cs="Arial"/>
          <w:color w:val="000000"/>
          <w:szCs w:val="24"/>
        </w:rPr>
        <w:t xml:space="preserve">tal como </w:t>
      </w:r>
      <w:r w:rsidRPr="00CD053A">
        <w:rPr>
          <w:rFonts w:ascii="Arial" w:hAnsi="Arial" w:cs="Arial"/>
          <w:color w:val="000000"/>
          <w:szCs w:val="24"/>
        </w:rPr>
        <w:t>aparece a continuación:</w:t>
      </w:r>
    </w:p>
    <w:p w:rsidR="007447D5" w:rsidRPr="00CD053A" w:rsidRDefault="007447D5" w:rsidP="004C0835">
      <w:pPr>
        <w:jc w:val="both"/>
        <w:rPr>
          <w:rFonts w:ascii="Arial" w:hAnsi="Arial" w:cs="Arial"/>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89"/>
        <w:gridCol w:w="2835"/>
        <w:gridCol w:w="2268"/>
        <w:gridCol w:w="1412"/>
      </w:tblGrid>
      <w:tr w:rsidR="00B85D8C" w:rsidRPr="007447D5" w:rsidTr="00A32AC5">
        <w:trPr>
          <w:trHeight w:val="20"/>
          <w:jc w:val="center"/>
        </w:trPr>
        <w:tc>
          <w:tcPr>
            <w:tcW w:w="1461" w:type="pct"/>
            <w:shd w:val="clear" w:color="auto" w:fill="D9D9D9" w:themeFill="background1" w:themeFillShade="D9"/>
            <w:noWrap/>
            <w:vAlign w:val="center"/>
            <w:hideMark/>
          </w:tcPr>
          <w:p w:rsidR="00461780" w:rsidRPr="007447D5" w:rsidRDefault="00461780" w:rsidP="00461780">
            <w:pPr>
              <w:jc w:val="center"/>
              <w:rPr>
                <w:rFonts w:ascii="Arial" w:hAnsi="Arial" w:cs="Arial"/>
                <w:b/>
                <w:color w:val="000000"/>
                <w:sz w:val="20"/>
                <w:szCs w:val="16"/>
              </w:rPr>
            </w:pPr>
            <w:r w:rsidRPr="007447D5">
              <w:rPr>
                <w:rFonts w:ascii="Arial" w:hAnsi="Arial" w:cs="Arial"/>
                <w:b/>
                <w:color w:val="000000"/>
                <w:sz w:val="20"/>
                <w:szCs w:val="16"/>
              </w:rPr>
              <w:t>Polígono</w:t>
            </w:r>
          </w:p>
        </w:tc>
        <w:tc>
          <w:tcPr>
            <w:tcW w:w="1540" w:type="pct"/>
            <w:shd w:val="clear" w:color="auto" w:fill="D9D9D9" w:themeFill="background1" w:themeFillShade="D9"/>
            <w:noWrap/>
            <w:vAlign w:val="center"/>
            <w:hideMark/>
          </w:tcPr>
          <w:p w:rsidR="00461780" w:rsidRPr="007447D5" w:rsidRDefault="00461780" w:rsidP="00461780">
            <w:pPr>
              <w:jc w:val="center"/>
              <w:rPr>
                <w:rFonts w:ascii="Arial" w:hAnsi="Arial" w:cs="Arial"/>
                <w:b/>
                <w:color w:val="000000"/>
                <w:sz w:val="20"/>
                <w:szCs w:val="16"/>
              </w:rPr>
            </w:pPr>
            <w:r w:rsidRPr="007447D5">
              <w:rPr>
                <w:rFonts w:ascii="Arial" w:hAnsi="Arial" w:cs="Arial"/>
                <w:b/>
                <w:color w:val="000000"/>
                <w:sz w:val="20"/>
                <w:szCs w:val="16"/>
              </w:rPr>
              <w:t>Área Res. 1628 de 2015 y 1433 de 2017</w:t>
            </w:r>
          </w:p>
        </w:tc>
        <w:tc>
          <w:tcPr>
            <w:tcW w:w="1232" w:type="pct"/>
            <w:shd w:val="clear" w:color="auto" w:fill="D9D9D9" w:themeFill="background1" w:themeFillShade="D9"/>
            <w:vAlign w:val="center"/>
          </w:tcPr>
          <w:p w:rsidR="00461780" w:rsidRPr="007447D5" w:rsidRDefault="00461780" w:rsidP="00461780">
            <w:pPr>
              <w:jc w:val="center"/>
              <w:rPr>
                <w:rFonts w:ascii="Arial" w:hAnsi="Arial" w:cs="Arial"/>
                <w:b/>
                <w:color w:val="000000"/>
                <w:sz w:val="20"/>
                <w:szCs w:val="16"/>
              </w:rPr>
            </w:pPr>
            <w:r w:rsidRPr="007447D5">
              <w:rPr>
                <w:rFonts w:ascii="Arial" w:hAnsi="Arial" w:cs="Arial"/>
                <w:b/>
                <w:color w:val="000000"/>
                <w:sz w:val="20"/>
                <w:szCs w:val="16"/>
              </w:rPr>
              <w:t>Área Res. 1310 de 2018</w:t>
            </w:r>
          </w:p>
        </w:tc>
        <w:tc>
          <w:tcPr>
            <w:tcW w:w="767" w:type="pct"/>
            <w:shd w:val="clear" w:color="auto" w:fill="D9D9D9" w:themeFill="background1" w:themeFillShade="D9"/>
            <w:noWrap/>
            <w:vAlign w:val="center"/>
            <w:hideMark/>
          </w:tcPr>
          <w:p w:rsidR="00461780" w:rsidRPr="007447D5" w:rsidRDefault="00461780" w:rsidP="00461780">
            <w:pPr>
              <w:jc w:val="center"/>
              <w:rPr>
                <w:rFonts w:ascii="Arial" w:hAnsi="Arial" w:cs="Arial"/>
                <w:b/>
                <w:color w:val="000000"/>
                <w:sz w:val="20"/>
                <w:szCs w:val="16"/>
              </w:rPr>
            </w:pPr>
            <w:r w:rsidRPr="007447D5">
              <w:rPr>
                <w:rFonts w:ascii="Arial" w:hAnsi="Arial" w:cs="Arial"/>
                <w:b/>
                <w:color w:val="000000"/>
                <w:sz w:val="20"/>
                <w:szCs w:val="16"/>
              </w:rPr>
              <w:t>Nueva área</w:t>
            </w:r>
          </w:p>
        </w:tc>
      </w:tr>
      <w:tr w:rsidR="00B85D8C" w:rsidRPr="007447D5" w:rsidTr="00B85D8C">
        <w:trPr>
          <w:trHeight w:val="20"/>
          <w:jc w:val="center"/>
        </w:trPr>
        <w:tc>
          <w:tcPr>
            <w:tcW w:w="1461" w:type="pct"/>
            <w:shd w:val="clear" w:color="auto" w:fill="auto"/>
            <w:noWrap/>
            <w:vAlign w:val="center"/>
            <w:hideMark/>
          </w:tcPr>
          <w:p w:rsidR="00461780" w:rsidRPr="007447D5" w:rsidRDefault="00461780" w:rsidP="00461780">
            <w:pPr>
              <w:jc w:val="center"/>
              <w:rPr>
                <w:rFonts w:ascii="Arial" w:hAnsi="Arial" w:cs="Arial"/>
                <w:color w:val="000000"/>
                <w:sz w:val="20"/>
                <w:szCs w:val="16"/>
              </w:rPr>
            </w:pPr>
            <w:r w:rsidRPr="007447D5">
              <w:rPr>
                <w:rFonts w:ascii="Arial" w:hAnsi="Arial" w:cs="Arial"/>
                <w:color w:val="000000"/>
                <w:sz w:val="20"/>
                <w:szCs w:val="16"/>
              </w:rPr>
              <w:t>Polígono 5 - Sabanas y Humedales de Arauca</w:t>
            </w:r>
          </w:p>
        </w:tc>
        <w:tc>
          <w:tcPr>
            <w:tcW w:w="1540" w:type="pct"/>
            <w:shd w:val="clear" w:color="auto" w:fill="auto"/>
            <w:noWrap/>
            <w:vAlign w:val="center"/>
            <w:hideMark/>
          </w:tcPr>
          <w:p w:rsidR="00461780" w:rsidRPr="007447D5" w:rsidRDefault="00461780" w:rsidP="00F9228A">
            <w:pPr>
              <w:jc w:val="center"/>
              <w:rPr>
                <w:rFonts w:ascii="Arial" w:hAnsi="Arial" w:cs="Arial"/>
                <w:color w:val="000000"/>
                <w:sz w:val="20"/>
                <w:szCs w:val="16"/>
              </w:rPr>
            </w:pPr>
            <w:r w:rsidRPr="007447D5">
              <w:rPr>
                <w:rFonts w:ascii="Arial" w:hAnsi="Arial" w:cs="Arial"/>
                <w:sz w:val="20"/>
                <w:szCs w:val="16"/>
              </w:rPr>
              <w:t>252.833</w:t>
            </w:r>
          </w:p>
        </w:tc>
        <w:tc>
          <w:tcPr>
            <w:tcW w:w="1232" w:type="pct"/>
            <w:vAlign w:val="center"/>
          </w:tcPr>
          <w:p w:rsidR="00461780" w:rsidRPr="007447D5" w:rsidRDefault="00461780" w:rsidP="00F9228A">
            <w:pPr>
              <w:jc w:val="center"/>
              <w:rPr>
                <w:rFonts w:ascii="Arial" w:hAnsi="Arial" w:cs="Arial"/>
                <w:color w:val="000000"/>
                <w:sz w:val="20"/>
                <w:szCs w:val="16"/>
              </w:rPr>
            </w:pPr>
            <w:r w:rsidRPr="007447D5">
              <w:rPr>
                <w:rFonts w:ascii="Arial" w:hAnsi="Arial" w:cs="Arial"/>
                <w:sz w:val="20"/>
                <w:szCs w:val="16"/>
              </w:rPr>
              <w:t>99.577</w:t>
            </w:r>
          </w:p>
        </w:tc>
        <w:tc>
          <w:tcPr>
            <w:tcW w:w="767" w:type="pct"/>
            <w:shd w:val="clear" w:color="auto" w:fill="auto"/>
            <w:noWrap/>
            <w:vAlign w:val="center"/>
            <w:hideMark/>
          </w:tcPr>
          <w:p w:rsidR="00461780" w:rsidRPr="007447D5" w:rsidRDefault="00461780" w:rsidP="00F9228A">
            <w:pPr>
              <w:jc w:val="center"/>
              <w:rPr>
                <w:rFonts w:ascii="Arial" w:hAnsi="Arial" w:cs="Arial"/>
                <w:color w:val="000000"/>
                <w:sz w:val="20"/>
                <w:szCs w:val="16"/>
              </w:rPr>
            </w:pPr>
            <w:r w:rsidRPr="007447D5">
              <w:rPr>
                <w:rFonts w:ascii="Arial" w:hAnsi="Arial" w:cs="Arial"/>
                <w:sz w:val="20"/>
                <w:szCs w:val="16"/>
              </w:rPr>
              <w:t>176.296</w:t>
            </w:r>
          </w:p>
        </w:tc>
      </w:tr>
      <w:tr w:rsidR="00B85D8C" w:rsidRPr="007447D5" w:rsidTr="00B85D8C">
        <w:trPr>
          <w:trHeight w:val="20"/>
          <w:jc w:val="center"/>
        </w:trPr>
        <w:tc>
          <w:tcPr>
            <w:tcW w:w="1461" w:type="pct"/>
            <w:shd w:val="clear" w:color="auto" w:fill="auto"/>
            <w:noWrap/>
            <w:vAlign w:val="center"/>
            <w:hideMark/>
          </w:tcPr>
          <w:p w:rsidR="00461780" w:rsidRPr="007447D5" w:rsidRDefault="00461780" w:rsidP="00461780">
            <w:pPr>
              <w:jc w:val="center"/>
              <w:rPr>
                <w:rFonts w:ascii="Arial" w:hAnsi="Arial" w:cs="Arial"/>
                <w:color w:val="000000"/>
                <w:sz w:val="20"/>
                <w:szCs w:val="16"/>
              </w:rPr>
            </w:pPr>
            <w:r w:rsidRPr="007447D5">
              <w:rPr>
                <w:rFonts w:ascii="Arial" w:hAnsi="Arial" w:cs="Arial"/>
                <w:color w:val="000000"/>
                <w:sz w:val="20"/>
                <w:szCs w:val="16"/>
              </w:rPr>
              <w:t>Polígono 6 - Bosques Secos del Patía</w:t>
            </w:r>
          </w:p>
        </w:tc>
        <w:tc>
          <w:tcPr>
            <w:tcW w:w="1540" w:type="pct"/>
            <w:shd w:val="clear" w:color="auto" w:fill="auto"/>
            <w:noWrap/>
            <w:vAlign w:val="center"/>
            <w:hideMark/>
          </w:tcPr>
          <w:p w:rsidR="00461780" w:rsidRPr="007447D5" w:rsidRDefault="00461780" w:rsidP="00F9228A">
            <w:pPr>
              <w:jc w:val="center"/>
              <w:rPr>
                <w:rFonts w:ascii="Arial" w:hAnsi="Arial" w:cs="Arial"/>
                <w:color w:val="000000"/>
                <w:sz w:val="20"/>
                <w:szCs w:val="16"/>
              </w:rPr>
            </w:pPr>
            <w:r w:rsidRPr="007447D5">
              <w:rPr>
                <w:rFonts w:ascii="Arial" w:hAnsi="Arial" w:cs="Arial"/>
                <w:sz w:val="20"/>
                <w:szCs w:val="16"/>
              </w:rPr>
              <w:t>74.965</w:t>
            </w:r>
          </w:p>
        </w:tc>
        <w:tc>
          <w:tcPr>
            <w:tcW w:w="1232" w:type="pct"/>
            <w:vAlign w:val="center"/>
          </w:tcPr>
          <w:p w:rsidR="00461780" w:rsidRPr="007447D5" w:rsidRDefault="00461780" w:rsidP="00F9228A">
            <w:pPr>
              <w:jc w:val="center"/>
              <w:rPr>
                <w:rFonts w:ascii="Arial" w:hAnsi="Arial" w:cs="Arial"/>
                <w:color w:val="000000"/>
                <w:sz w:val="20"/>
                <w:szCs w:val="16"/>
              </w:rPr>
            </w:pPr>
            <w:r w:rsidRPr="007447D5">
              <w:rPr>
                <w:rFonts w:ascii="Arial" w:hAnsi="Arial" w:cs="Arial"/>
                <w:sz w:val="20"/>
                <w:szCs w:val="16"/>
              </w:rPr>
              <w:t>74.965</w:t>
            </w:r>
          </w:p>
        </w:tc>
        <w:tc>
          <w:tcPr>
            <w:tcW w:w="767" w:type="pct"/>
            <w:shd w:val="clear" w:color="auto" w:fill="auto"/>
            <w:noWrap/>
            <w:vAlign w:val="center"/>
            <w:hideMark/>
          </w:tcPr>
          <w:p w:rsidR="00461780" w:rsidRPr="007447D5" w:rsidRDefault="00461780" w:rsidP="00F9228A">
            <w:pPr>
              <w:jc w:val="center"/>
              <w:rPr>
                <w:rFonts w:ascii="Arial" w:hAnsi="Arial" w:cs="Arial"/>
                <w:color w:val="000000"/>
                <w:sz w:val="20"/>
                <w:szCs w:val="16"/>
              </w:rPr>
            </w:pPr>
            <w:r w:rsidRPr="007447D5">
              <w:rPr>
                <w:rFonts w:ascii="Arial" w:hAnsi="Arial" w:cs="Arial"/>
                <w:sz w:val="20"/>
                <w:szCs w:val="16"/>
              </w:rPr>
              <w:t>309.791</w:t>
            </w:r>
          </w:p>
        </w:tc>
      </w:tr>
      <w:tr w:rsidR="00461780" w:rsidRPr="007447D5" w:rsidTr="00A32AC5">
        <w:trPr>
          <w:trHeight w:val="20"/>
          <w:jc w:val="center"/>
        </w:trPr>
        <w:tc>
          <w:tcPr>
            <w:tcW w:w="4233" w:type="pct"/>
            <w:gridSpan w:val="3"/>
            <w:shd w:val="clear" w:color="auto" w:fill="D9D9D9" w:themeFill="background1" w:themeFillShade="D9"/>
            <w:noWrap/>
            <w:vAlign w:val="center"/>
          </w:tcPr>
          <w:p w:rsidR="00461780" w:rsidRPr="007447D5" w:rsidRDefault="00F9228A" w:rsidP="00461780">
            <w:pPr>
              <w:jc w:val="center"/>
              <w:rPr>
                <w:rFonts w:ascii="Arial" w:hAnsi="Arial" w:cs="Arial"/>
                <w:b/>
                <w:color w:val="000000"/>
                <w:sz w:val="20"/>
                <w:szCs w:val="16"/>
              </w:rPr>
            </w:pPr>
            <w:r w:rsidRPr="007447D5">
              <w:rPr>
                <w:rFonts w:ascii="Arial" w:hAnsi="Arial" w:cs="Arial"/>
                <w:b/>
                <w:color w:val="000000"/>
                <w:sz w:val="20"/>
                <w:szCs w:val="16"/>
              </w:rPr>
              <w:t>Área total en hectáreas aproximadas</w:t>
            </w:r>
          </w:p>
        </w:tc>
        <w:tc>
          <w:tcPr>
            <w:tcW w:w="767" w:type="pct"/>
            <w:shd w:val="clear" w:color="auto" w:fill="D9D9D9" w:themeFill="background1" w:themeFillShade="D9"/>
            <w:noWrap/>
            <w:vAlign w:val="center"/>
          </w:tcPr>
          <w:p w:rsidR="00461780" w:rsidRPr="007447D5" w:rsidRDefault="00461780" w:rsidP="00F9228A">
            <w:pPr>
              <w:jc w:val="center"/>
              <w:rPr>
                <w:rFonts w:ascii="Arial" w:hAnsi="Arial" w:cs="Arial"/>
                <w:b/>
                <w:color w:val="000000"/>
                <w:sz w:val="20"/>
                <w:szCs w:val="16"/>
              </w:rPr>
            </w:pPr>
            <w:r w:rsidRPr="007447D5">
              <w:rPr>
                <w:rFonts w:ascii="Arial" w:hAnsi="Arial" w:cs="Arial"/>
                <w:b/>
                <w:color w:val="000000"/>
                <w:sz w:val="20"/>
                <w:szCs w:val="16"/>
              </w:rPr>
              <w:t>486.088</w:t>
            </w:r>
          </w:p>
        </w:tc>
      </w:tr>
    </w:tbl>
    <w:p w:rsidR="00461780" w:rsidRPr="00CD053A" w:rsidRDefault="00461780" w:rsidP="00461780">
      <w:pPr>
        <w:jc w:val="both"/>
        <w:rPr>
          <w:rFonts w:ascii="Arial" w:hAnsi="Arial" w:cs="Arial"/>
          <w:b/>
          <w:szCs w:val="24"/>
          <w:lang w:val="es-ES_tradnl"/>
        </w:rPr>
      </w:pPr>
    </w:p>
    <w:p w:rsidR="00461780" w:rsidRPr="00CD053A" w:rsidRDefault="00461780" w:rsidP="00461780">
      <w:pPr>
        <w:jc w:val="both"/>
        <w:rPr>
          <w:rFonts w:ascii="Arial" w:hAnsi="Arial" w:cs="Arial"/>
          <w:szCs w:val="24"/>
          <w:lang w:val="es-ES_tradnl"/>
        </w:rPr>
      </w:pPr>
      <w:r w:rsidRPr="00CD053A">
        <w:rPr>
          <w:rFonts w:ascii="Arial" w:hAnsi="Arial" w:cs="Arial"/>
          <w:b/>
          <w:szCs w:val="24"/>
          <w:lang w:val="es-CO"/>
        </w:rPr>
        <w:t xml:space="preserve">Artículo 3.- Área total. </w:t>
      </w:r>
      <w:r w:rsidRPr="00CD053A">
        <w:rPr>
          <w:rFonts w:ascii="Arial" w:hAnsi="Arial" w:cs="Arial"/>
          <w:szCs w:val="24"/>
          <w:lang w:val="es-CO"/>
        </w:rPr>
        <w:t>El área total de las cinco (5) zonas de protección y desarrollo de los recursos naturales renovales y del medio ambiente, contenidas en este acto administrativo, suman en conjunto un total de 1.377.237 hectáreas</w:t>
      </w:r>
      <w:r w:rsidR="00F9228A" w:rsidRPr="00CD053A">
        <w:rPr>
          <w:rFonts w:ascii="Arial" w:hAnsi="Arial" w:cs="Arial"/>
          <w:szCs w:val="24"/>
          <w:lang w:val="es-CO"/>
        </w:rPr>
        <w:t xml:space="preserve"> aproximadamente</w:t>
      </w:r>
      <w:r w:rsidRPr="00CD053A">
        <w:rPr>
          <w:rFonts w:ascii="Arial" w:hAnsi="Arial" w:cs="Arial"/>
          <w:szCs w:val="24"/>
          <w:lang w:val="es-CO"/>
        </w:rPr>
        <w:t>.</w:t>
      </w:r>
    </w:p>
    <w:p w:rsidR="00461780" w:rsidRPr="00CD053A" w:rsidRDefault="00461780" w:rsidP="00461780">
      <w:pPr>
        <w:jc w:val="both"/>
        <w:rPr>
          <w:rFonts w:ascii="Arial" w:hAnsi="Arial" w:cs="Arial"/>
          <w:b/>
          <w:szCs w:val="24"/>
          <w:lang w:val="es-ES_tradnl"/>
        </w:rPr>
      </w:pPr>
    </w:p>
    <w:p w:rsidR="004C0835" w:rsidRPr="00CD053A" w:rsidRDefault="004C0835" w:rsidP="00461780">
      <w:pPr>
        <w:jc w:val="both"/>
        <w:rPr>
          <w:rFonts w:ascii="Arial" w:hAnsi="Arial" w:cs="Arial"/>
          <w:szCs w:val="24"/>
          <w:lang w:val="es-ES_tradnl"/>
        </w:rPr>
      </w:pPr>
      <w:r w:rsidRPr="00CD053A">
        <w:rPr>
          <w:rFonts w:ascii="Arial" w:hAnsi="Arial" w:cs="Arial"/>
          <w:b/>
          <w:szCs w:val="24"/>
          <w:lang w:val="es-ES_tradnl"/>
        </w:rPr>
        <w:t>Parágrafo</w:t>
      </w:r>
      <w:r w:rsidR="008C463D" w:rsidRPr="00CD053A">
        <w:rPr>
          <w:rFonts w:ascii="Arial" w:hAnsi="Arial" w:cs="Arial"/>
          <w:b/>
          <w:szCs w:val="24"/>
          <w:lang w:val="es-ES_tradnl"/>
        </w:rPr>
        <w:t xml:space="preserve"> 1</w:t>
      </w:r>
      <w:r w:rsidRPr="00CD053A">
        <w:rPr>
          <w:rFonts w:ascii="Arial" w:hAnsi="Arial" w:cs="Arial"/>
          <w:szCs w:val="24"/>
          <w:lang w:val="es-ES_tradnl"/>
        </w:rPr>
        <w:t xml:space="preserve">. </w:t>
      </w:r>
      <w:r w:rsidRPr="00CD053A">
        <w:rPr>
          <w:rFonts w:ascii="Arial" w:hAnsi="Arial" w:cs="Arial"/>
          <w:szCs w:val="24"/>
          <w:lang w:val="es-CO"/>
        </w:rPr>
        <w:t>La cartografía digital en formato “</w:t>
      </w:r>
      <w:r w:rsidRPr="00CD053A">
        <w:rPr>
          <w:rFonts w:ascii="Arial" w:hAnsi="Arial" w:cs="Arial"/>
          <w:i/>
          <w:szCs w:val="24"/>
          <w:lang w:val="es-CO"/>
        </w:rPr>
        <w:t xml:space="preserve">shape” </w:t>
      </w:r>
      <w:r w:rsidRPr="00CD053A">
        <w:rPr>
          <w:rFonts w:ascii="Arial" w:hAnsi="Arial" w:cs="Arial"/>
          <w:szCs w:val="24"/>
          <w:lang w:val="es-CO"/>
        </w:rPr>
        <w:t>anexa a este acto administrativo</w:t>
      </w:r>
      <w:r w:rsidR="001B40DD" w:rsidRPr="00CD053A">
        <w:rPr>
          <w:rFonts w:ascii="Arial" w:hAnsi="Arial" w:cs="Arial"/>
          <w:szCs w:val="24"/>
          <w:lang w:val="es-CO"/>
        </w:rPr>
        <w:t>, y que delimita las zonas de protección y desarrollo de los recursos naturales renova</w:t>
      </w:r>
      <w:r w:rsidR="00926043" w:rsidRPr="00CD053A">
        <w:rPr>
          <w:rFonts w:ascii="Arial" w:hAnsi="Arial" w:cs="Arial"/>
          <w:szCs w:val="24"/>
          <w:lang w:val="es-CO"/>
        </w:rPr>
        <w:t>b</w:t>
      </w:r>
      <w:r w:rsidR="001B40DD" w:rsidRPr="00CD053A">
        <w:rPr>
          <w:rFonts w:ascii="Arial" w:hAnsi="Arial" w:cs="Arial"/>
          <w:szCs w:val="24"/>
          <w:lang w:val="es-CO"/>
        </w:rPr>
        <w:t xml:space="preserve">les y del medio ambiente contenidas en este acto administrativo, </w:t>
      </w:r>
      <w:r w:rsidR="001B40DD" w:rsidRPr="00CD053A">
        <w:rPr>
          <w:rFonts w:ascii="Arial" w:hAnsi="Arial" w:cs="Arial"/>
          <w:szCs w:val="24"/>
          <w:lang w:val="es-ES_tradnl"/>
        </w:rPr>
        <w:t>fue</w:t>
      </w:r>
      <w:r w:rsidRPr="00CD053A">
        <w:rPr>
          <w:rFonts w:ascii="Arial" w:hAnsi="Arial" w:cs="Arial"/>
          <w:szCs w:val="24"/>
          <w:lang w:val="es-ES_tradnl"/>
        </w:rPr>
        <w:t xml:space="preserve"> calculada mediante la herramienta “</w:t>
      </w:r>
      <w:proofErr w:type="spellStart"/>
      <w:r w:rsidRPr="00CD053A">
        <w:rPr>
          <w:rFonts w:ascii="Arial" w:hAnsi="Arial" w:cs="Arial"/>
          <w:szCs w:val="24"/>
          <w:lang w:val="es-ES_tradnl"/>
        </w:rPr>
        <w:t>Feature</w:t>
      </w:r>
      <w:proofErr w:type="spellEnd"/>
      <w:r w:rsidRPr="00CD053A">
        <w:rPr>
          <w:rFonts w:ascii="Arial" w:hAnsi="Arial" w:cs="Arial"/>
          <w:szCs w:val="24"/>
          <w:lang w:val="es-ES_tradnl"/>
        </w:rPr>
        <w:t xml:space="preserve"> </w:t>
      </w:r>
      <w:proofErr w:type="spellStart"/>
      <w:r w:rsidRPr="00CD053A">
        <w:rPr>
          <w:rFonts w:ascii="Arial" w:hAnsi="Arial" w:cs="Arial"/>
          <w:szCs w:val="24"/>
          <w:lang w:val="es-ES_tradnl"/>
        </w:rPr>
        <w:t>Vertices</w:t>
      </w:r>
      <w:proofErr w:type="spellEnd"/>
      <w:r w:rsidRPr="00CD053A">
        <w:rPr>
          <w:rFonts w:ascii="Arial" w:hAnsi="Arial" w:cs="Arial"/>
          <w:szCs w:val="24"/>
          <w:lang w:val="es-ES_tradnl"/>
        </w:rPr>
        <w:t xml:space="preserve"> To </w:t>
      </w:r>
      <w:proofErr w:type="spellStart"/>
      <w:r w:rsidRPr="00CD053A">
        <w:rPr>
          <w:rFonts w:ascii="Arial" w:hAnsi="Arial" w:cs="Arial"/>
          <w:szCs w:val="24"/>
          <w:lang w:val="es-ES_tradnl"/>
        </w:rPr>
        <w:t>Points</w:t>
      </w:r>
      <w:proofErr w:type="spellEnd"/>
      <w:r w:rsidRPr="00CD053A">
        <w:rPr>
          <w:rFonts w:ascii="Arial" w:hAnsi="Arial" w:cs="Arial"/>
          <w:szCs w:val="24"/>
          <w:lang w:val="es-ES_tradnl"/>
        </w:rPr>
        <w:t xml:space="preserve">”  del  Software </w:t>
      </w:r>
      <w:proofErr w:type="spellStart"/>
      <w:r w:rsidRPr="00CD053A">
        <w:rPr>
          <w:rFonts w:ascii="Arial" w:hAnsi="Arial" w:cs="Arial"/>
          <w:szCs w:val="24"/>
          <w:lang w:val="es-ES_tradnl"/>
        </w:rPr>
        <w:t>ArcGIS</w:t>
      </w:r>
      <w:proofErr w:type="spellEnd"/>
      <w:r w:rsidRPr="00CD053A">
        <w:rPr>
          <w:rFonts w:ascii="Arial" w:hAnsi="Arial" w:cs="Arial"/>
          <w:szCs w:val="24"/>
          <w:lang w:val="es-ES_tradnl"/>
        </w:rPr>
        <w:t xml:space="preserve"> 10.</w:t>
      </w:r>
      <w:r w:rsidR="00461780" w:rsidRPr="00CD053A">
        <w:rPr>
          <w:rFonts w:ascii="Arial" w:hAnsi="Arial" w:cs="Arial"/>
          <w:szCs w:val="24"/>
          <w:lang w:val="es-ES_tradnl"/>
        </w:rPr>
        <w:t>6</w:t>
      </w:r>
      <w:r w:rsidRPr="00CD053A">
        <w:rPr>
          <w:rFonts w:ascii="Arial" w:hAnsi="Arial" w:cs="Arial"/>
          <w:szCs w:val="24"/>
          <w:lang w:val="es-ES_tradnl"/>
        </w:rPr>
        <w:t xml:space="preserve"> y se encuentran en el sistema de referencia Magna — Sirgas. </w:t>
      </w:r>
    </w:p>
    <w:p w:rsidR="00A828DF" w:rsidRPr="00CD053A" w:rsidRDefault="00A828DF" w:rsidP="004C0835">
      <w:pPr>
        <w:jc w:val="both"/>
        <w:rPr>
          <w:rFonts w:ascii="Arial" w:hAnsi="Arial" w:cs="Arial"/>
          <w:b/>
          <w:szCs w:val="24"/>
          <w:lang w:val="es-ES_tradnl"/>
        </w:rPr>
      </w:pPr>
    </w:p>
    <w:p w:rsidR="004C0835" w:rsidRPr="00CD053A" w:rsidRDefault="004C0835" w:rsidP="004C0835">
      <w:pPr>
        <w:jc w:val="both"/>
        <w:rPr>
          <w:rFonts w:ascii="Arial" w:hAnsi="Arial" w:cs="Arial"/>
          <w:szCs w:val="24"/>
          <w:lang w:val="es-ES_tradnl"/>
        </w:rPr>
      </w:pPr>
      <w:r w:rsidRPr="00CD053A">
        <w:rPr>
          <w:rFonts w:ascii="Arial" w:hAnsi="Arial" w:cs="Arial"/>
          <w:b/>
          <w:szCs w:val="24"/>
          <w:lang w:val="es-ES_tradnl"/>
        </w:rPr>
        <w:t xml:space="preserve">Parágrafo 2. </w:t>
      </w:r>
      <w:r w:rsidR="00A828DF" w:rsidRPr="00CD053A">
        <w:rPr>
          <w:rFonts w:ascii="Arial" w:hAnsi="Arial" w:cs="Arial"/>
          <w:szCs w:val="24"/>
          <w:lang w:val="es-ES_tradnl"/>
        </w:rPr>
        <w:t xml:space="preserve">La extensión de las </w:t>
      </w:r>
      <w:r w:rsidR="00A828DF" w:rsidRPr="00CD053A">
        <w:rPr>
          <w:rFonts w:ascii="Arial" w:hAnsi="Arial" w:cs="Arial"/>
          <w:szCs w:val="24"/>
          <w:lang w:val="es-CO"/>
        </w:rPr>
        <w:t>zonas de protección y desarrollo de los recursos naturales renova</w:t>
      </w:r>
      <w:r w:rsidR="00926043" w:rsidRPr="00CD053A">
        <w:rPr>
          <w:rFonts w:ascii="Arial" w:hAnsi="Arial" w:cs="Arial"/>
          <w:szCs w:val="24"/>
          <w:lang w:val="es-CO"/>
        </w:rPr>
        <w:t>b</w:t>
      </w:r>
      <w:r w:rsidR="00A828DF" w:rsidRPr="00CD053A">
        <w:rPr>
          <w:rFonts w:ascii="Arial" w:hAnsi="Arial" w:cs="Arial"/>
          <w:szCs w:val="24"/>
          <w:lang w:val="es-CO"/>
        </w:rPr>
        <w:t>les y del medio ambiente</w:t>
      </w:r>
      <w:r w:rsidR="00A828DF" w:rsidRPr="00CD053A">
        <w:rPr>
          <w:rFonts w:ascii="Arial" w:hAnsi="Arial" w:cs="Arial"/>
          <w:szCs w:val="24"/>
          <w:lang w:val="es-ES_tradnl"/>
        </w:rPr>
        <w:t xml:space="preserve"> </w:t>
      </w:r>
      <w:r w:rsidRPr="00CD053A">
        <w:rPr>
          <w:rFonts w:ascii="Arial" w:hAnsi="Arial" w:cs="Arial"/>
          <w:szCs w:val="24"/>
          <w:lang w:val="es-ES_tradnl"/>
        </w:rPr>
        <w:t xml:space="preserve">de </w:t>
      </w:r>
      <w:proofErr w:type="spellStart"/>
      <w:r w:rsidRPr="00CD053A">
        <w:rPr>
          <w:rFonts w:ascii="Arial" w:hAnsi="Arial" w:cs="Arial"/>
          <w:szCs w:val="24"/>
          <w:lang w:val="es-ES_tradnl"/>
        </w:rPr>
        <w:t>que</w:t>
      </w:r>
      <w:proofErr w:type="spellEnd"/>
      <w:r w:rsidRPr="00CD053A">
        <w:rPr>
          <w:rFonts w:ascii="Arial" w:hAnsi="Arial" w:cs="Arial"/>
          <w:szCs w:val="24"/>
          <w:lang w:val="es-ES_tradnl"/>
        </w:rPr>
        <w:t xml:space="preserve"> trata el presente artículo</w:t>
      </w:r>
      <w:r w:rsidR="00A828DF" w:rsidRPr="00CD053A">
        <w:rPr>
          <w:rFonts w:ascii="Arial" w:hAnsi="Arial" w:cs="Arial"/>
          <w:szCs w:val="24"/>
          <w:lang w:val="es-ES_tradnl"/>
        </w:rPr>
        <w:t>, se definió</w:t>
      </w:r>
      <w:r w:rsidRPr="00CD053A">
        <w:rPr>
          <w:rFonts w:ascii="Arial" w:hAnsi="Arial" w:cs="Arial"/>
          <w:szCs w:val="24"/>
          <w:lang w:val="es-ES_tradnl"/>
        </w:rPr>
        <w:t xml:space="preserve"> con fundamento en la información técnica aportada por Parques Nacionales Naturales de Colombia, producto de la implementación de la ruta declaratoria en cada uno de los polígonos mencionados en el presente acto administrativo, a partir de la cual este Ministerio elaboró el documento técnico de soporte que hace parte integral de la presente resolución. </w:t>
      </w:r>
    </w:p>
    <w:p w:rsidR="00E36180" w:rsidRPr="00CD053A" w:rsidRDefault="00E36180" w:rsidP="006825AD">
      <w:pPr>
        <w:jc w:val="both"/>
        <w:rPr>
          <w:rFonts w:ascii="Arial" w:hAnsi="Arial" w:cs="Arial"/>
          <w:szCs w:val="24"/>
          <w:lang w:val="es-CO"/>
        </w:rPr>
      </w:pPr>
    </w:p>
    <w:p w:rsidR="00926043" w:rsidRPr="00CD053A" w:rsidRDefault="00926043" w:rsidP="00926043">
      <w:pPr>
        <w:suppressAutoHyphens/>
        <w:jc w:val="both"/>
        <w:rPr>
          <w:rFonts w:ascii="Arial" w:hAnsi="Arial" w:cs="Arial"/>
          <w:color w:val="000000"/>
          <w:szCs w:val="24"/>
        </w:rPr>
      </w:pPr>
      <w:r w:rsidRPr="00CD053A">
        <w:rPr>
          <w:rFonts w:ascii="Arial" w:hAnsi="Arial" w:cs="Arial"/>
          <w:b/>
          <w:szCs w:val="24"/>
          <w:lang w:val="es-CO"/>
        </w:rPr>
        <w:t>Artículo 4</w:t>
      </w:r>
      <w:r w:rsidR="00100EC7" w:rsidRPr="00CD053A">
        <w:rPr>
          <w:rFonts w:ascii="Arial" w:hAnsi="Arial" w:cs="Arial"/>
          <w:b/>
          <w:szCs w:val="24"/>
          <w:lang w:val="es-CO"/>
        </w:rPr>
        <w:t>. –</w:t>
      </w:r>
      <w:r w:rsidRPr="00CD053A">
        <w:rPr>
          <w:rFonts w:ascii="Arial" w:hAnsi="Arial" w:cs="Arial"/>
          <w:b/>
          <w:szCs w:val="24"/>
          <w:lang w:val="es-CO"/>
        </w:rPr>
        <w:t>Efectos de pr</w:t>
      </w:r>
      <w:r w:rsidR="005A3B3D">
        <w:rPr>
          <w:rFonts w:ascii="Arial" w:hAnsi="Arial" w:cs="Arial"/>
          <w:b/>
          <w:szCs w:val="24"/>
          <w:lang w:val="es-CO"/>
        </w:rPr>
        <w:t>ó</w:t>
      </w:r>
      <w:r w:rsidRPr="00CD053A">
        <w:rPr>
          <w:rFonts w:ascii="Arial" w:hAnsi="Arial" w:cs="Arial"/>
          <w:b/>
          <w:szCs w:val="24"/>
          <w:lang w:val="es-CO"/>
        </w:rPr>
        <w:t>rroga y modificación</w:t>
      </w:r>
      <w:r w:rsidR="00100EC7" w:rsidRPr="00CD053A">
        <w:rPr>
          <w:rFonts w:ascii="Arial" w:hAnsi="Arial" w:cs="Arial"/>
          <w:b/>
          <w:szCs w:val="24"/>
          <w:lang w:val="es-CO"/>
        </w:rPr>
        <w:t>.</w:t>
      </w:r>
      <w:r w:rsidRPr="00CD053A">
        <w:rPr>
          <w:rFonts w:ascii="Arial" w:hAnsi="Arial" w:cs="Arial"/>
          <w:szCs w:val="24"/>
          <w:lang w:val="es-CO"/>
        </w:rPr>
        <w:t xml:space="preserve"> </w:t>
      </w:r>
      <w:r w:rsidRPr="00CD053A">
        <w:rPr>
          <w:rFonts w:ascii="Arial" w:hAnsi="Arial" w:cs="Arial"/>
          <w:color w:val="000000"/>
          <w:szCs w:val="24"/>
        </w:rPr>
        <w:t>Los efectos de la figura de</w:t>
      </w:r>
      <w:r w:rsidRPr="00CD053A">
        <w:t xml:space="preserve"> </w:t>
      </w:r>
      <w:r w:rsidRPr="00CD053A">
        <w:rPr>
          <w:rFonts w:ascii="Arial" w:hAnsi="Arial" w:cs="Arial"/>
          <w:color w:val="000000"/>
          <w:szCs w:val="24"/>
        </w:rPr>
        <w:t>zona de protección y desarrollo de los recursos naturales renovables y del medio ambiente, contenidos en las Resoluciones 1628 de 2015, 1433 de 2017 y 1310 de 2018, se mantendrán vigentes por el tiempo de vigencia del presente acto administrativo.</w:t>
      </w:r>
    </w:p>
    <w:p w:rsidR="00282A83" w:rsidRPr="00CD053A" w:rsidRDefault="00282A83" w:rsidP="00EB77FD">
      <w:pPr>
        <w:jc w:val="both"/>
        <w:rPr>
          <w:rFonts w:ascii="Arial" w:hAnsi="Arial" w:cs="Arial"/>
          <w:szCs w:val="24"/>
        </w:rPr>
      </w:pPr>
    </w:p>
    <w:p w:rsidR="00501AC5" w:rsidRPr="00CD053A" w:rsidRDefault="00841255" w:rsidP="00915522">
      <w:pPr>
        <w:jc w:val="both"/>
        <w:rPr>
          <w:rFonts w:ascii="Arial" w:hAnsi="Arial" w:cs="Arial"/>
          <w:szCs w:val="24"/>
          <w:lang w:val="es-CO"/>
        </w:rPr>
      </w:pPr>
      <w:bookmarkStart w:id="2" w:name="3"/>
      <w:r w:rsidRPr="00CD053A">
        <w:rPr>
          <w:rFonts w:ascii="Arial" w:hAnsi="Arial" w:cs="Arial"/>
          <w:b/>
          <w:bCs/>
          <w:szCs w:val="24"/>
        </w:rPr>
        <w:t xml:space="preserve">Artículo </w:t>
      </w:r>
      <w:r w:rsidR="00100EC7" w:rsidRPr="00CD053A">
        <w:rPr>
          <w:rFonts w:ascii="Arial" w:hAnsi="Arial" w:cs="Arial"/>
          <w:b/>
          <w:bCs/>
          <w:szCs w:val="24"/>
        </w:rPr>
        <w:t>3</w:t>
      </w:r>
      <w:r w:rsidRPr="00CD053A">
        <w:rPr>
          <w:rFonts w:ascii="Arial" w:hAnsi="Arial" w:cs="Arial"/>
          <w:b/>
          <w:bCs/>
          <w:szCs w:val="24"/>
        </w:rPr>
        <w:t>.-</w:t>
      </w:r>
      <w:r w:rsidR="00441B83" w:rsidRPr="00CD053A">
        <w:rPr>
          <w:rFonts w:ascii="Arial" w:hAnsi="Arial" w:cs="Arial"/>
          <w:b/>
          <w:bCs/>
          <w:szCs w:val="24"/>
        </w:rPr>
        <w:t xml:space="preserve"> </w:t>
      </w:r>
      <w:r w:rsidR="00926043" w:rsidRPr="00CD053A">
        <w:rPr>
          <w:rFonts w:ascii="Arial" w:hAnsi="Arial" w:cs="Arial"/>
          <w:b/>
          <w:bCs/>
          <w:szCs w:val="24"/>
        </w:rPr>
        <w:t>Catastro Minero</w:t>
      </w:r>
      <w:r w:rsidR="00441B83" w:rsidRPr="00CD053A">
        <w:rPr>
          <w:rFonts w:ascii="Arial" w:hAnsi="Arial" w:cs="Arial"/>
          <w:b/>
          <w:bCs/>
          <w:szCs w:val="24"/>
        </w:rPr>
        <w:t>.</w:t>
      </w:r>
      <w:r w:rsidRPr="00CD053A">
        <w:rPr>
          <w:rFonts w:ascii="Arial" w:hAnsi="Arial" w:cs="Arial"/>
          <w:b/>
          <w:bCs/>
          <w:szCs w:val="24"/>
        </w:rPr>
        <w:t xml:space="preserve"> </w:t>
      </w:r>
      <w:r w:rsidR="00A6606C" w:rsidRPr="00CD053A">
        <w:rPr>
          <w:rFonts w:ascii="Arial" w:hAnsi="Arial" w:cs="Arial"/>
          <w:bCs/>
          <w:szCs w:val="24"/>
        </w:rPr>
        <w:t xml:space="preserve">De conformidad con lo dispuesto en el artículo 3 de la Resolución </w:t>
      </w:r>
      <w:r w:rsidR="00926043" w:rsidRPr="00CD053A">
        <w:rPr>
          <w:rFonts w:ascii="Arial" w:hAnsi="Arial" w:cs="Arial"/>
          <w:szCs w:val="24"/>
          <w:lang w:val="es-CO"/>
        </w:rPr>
        <w:t>1628</w:t>
      </w:r>
      <w:r w:rsidR="00A6606C" w:rsidRPr="00CD053A">
        <w:rPr>
          <w:rFonts w:ascii="Arial" w:hAnsi="Arial" w:cs="Arial"/>
          <w:szCs w:val="24"/>
          <w:lang w:val="es-CO"/>
        </w:rPr>
        <w:t xml:space="preserve"> del </w:t>
      </w:r>
      <w:r w:rsidR="00926043" w:rsidRPr="00CD053A">
        <w:rPr>
          <w:rFonts w:ascii="Arial" w:hAnsi="Arial" w:cs="Arial"/>
          <w:szCs w:val="24"/>
          <w:lang w:val="es-CO"/>
        </w:rPr>
        <w:t>13 de julio de 2015</w:t>
      </w:r>
      <w:r w:rsidR="00A6606C" w:rsidRPr="00CD053A">
        <w:rPr>
          <w:rFonts w:ascii="Arial" w:hAnsi="Arial" w:cs="Arial"/>
          <w:szCs w:val="24"/>
          <w:lang w:val="es-CO"/>
        </w:rPr>
        <w:t xml:space="preserve">, </w:t>
      </w:r>
      <w:r w:rsidR="00501AC5" w:rsidRPr="00CD053A">
        <w:rPr>
          <w:rFonts w:ascii="Arial" w:hAnsi="Arial" w:cs="Arial"/>
          <w:szCs w:val="24"/>
          <w:lang w:val="es-CO"/>
        </w:rPr>
        <w:t xml:space="preserve">la Agencia Nacional de Minería no podrá otorgar nuevas concesiones mineras en </w:t>
      </w:r>
      <w:r w:rsidR="00501AC5" w:rsidRPr="00CD053A">
        <w:rPr>
          <w:rFonts w:ascii="Arial" w:hAnsi="Arial" w:cs="Arial"/>
          <w:szCs w:val="24"/>
        </w:rPr>
        <w:t>la</w:t>
      </w:r>
      <w:r w:rsidR="00926043" w:rsidRPr="00CD053A">
        <w:rPr>
          <w:rFonts w:ascii="Arial" w:hAnsi="Arial" w:cs="Arial"/>
          <w:szCs w:val="24"/>
        </w:rPr>
        <w:t>s</w:t>
      </w:r>
      <w:r w:rsidR="00501AC5" w:rsidRPr="00CD053A">
        <w:rPr>
          <w:rFonts w:ascii="Arial" w:hAnsi="Arial" w:cs="Arial"/>
          <w:szCs w:val="24"/>
          <w:lang w:val="es-CO"/>
        </w:rPr>
        <w:t xml:space="preserve"> zona</w:t>
      </w:r>
      <w:r w:rsidR="00926043" w:rsidRPr="00CD053A">
        <w:rPr>
          <w:rFonts w:ascii="Arial" w:hAnsi="Arial" w:cs="Arial"/>
          <w:szCs w:val="24"/>
          <w:lang w:val="es-CO"/>
        </w:rPr>
        <w:t>s</w:t>
      </w:r>
      <w:r w:rsidR="00501AC5" w:rsidRPr="00CD053A">
        <w:rPr>
          <w:rFonts w:ascii="Arial" w:hAnsi="Arial" w:cs="Arial"/>
          <w:szCs w:val="24"/>
          <w:lang w:val="es-CO"/>
        </w:rPr>
        <w:t xml:space="preserve"> de protección y desarrollo de los recursos naturales y del medio</w:t>
      </w:r>
      <w:r w:rsidR="00926043" w:rsidRPr="00CD053A">
        <w:rPr>
          <w:rFonts w:ascii="Arial" w:hAnsi="Arial" w:cs="Arial"/>
          <w:szCs w:val="24"/>
          <w:lang w:val="es-CO"/>
        </w:rPr>
        <w:t xml:space="preserve"> ambiente, de que trata este acto </w:t>
      </w:r>
      <w:r w:rsidR="008C463D" w:rsidRPr="00CD053A">
        <w:rPr>
          <w:rFonts w:ascii="Arial" w:hAnsi="Arial" w:cs="Arial"/>
          <w:szCs w:val="24"/>
          <w:lang w:val="es-CO"/>
        </w:rPr>
        <w:t>administrativo</w:t>
      </w:r>
      <w:r w:rsidR="00501AC5" w:rsidRPr="00CD053A">
        <w:rPr>
          <w:rFonts w:ascii="Arial" w:hAnsi="Arial" w:cs="Arial"/>
          <w:szCs w:val="24"/>
        </w:rPr>
        <w:t>.</w:t>
      </w:r>
    </w:p>
    <w:bookmarkEnd w:id="2"/>
    <w:p w:rsidR="00915522" w:rsidRPr="00CD053A" w:rsidRDefault="00915522" w:rsidP="00915522">
      <w:pPr>
        <w:jc w:val="both"/>
        <w:rPr>
          <w:rFonts w:ascii="Arial" w:hAnsi="Arial" w:cs="Arial"/>
          <w:szCs w:val="24"/>
          <w:shd w:val="clear" w:color="auto" w:fill="FFFFFF"/>
        </w:rPr>
      </w:pPr>
    </w:p>
    <w:p w:rsidR="0025775D" w:rsidRPr="00CD053A" w:rsidRDefault="00441B83" w:rsidP="00441B83">
      <w:pPr>
        <w:jc w:val="both"/>
        <w:rPr>
          <w:rFonts w:ascii="Arial" w:hAnsi="Arial" w:cs="Arial"/>
          <w:szCs w:val="24"/>
          <w:lang w:val="es-CO" w:eastAsia="es-CO"/>
        </w:rPr>
      </w:pPr>
      <w:r w:rsidRPr="00CD053A">
        <w:rPr>
          <w:rFonts w:ascii="Arial" w:hAnsi="Arial" w:cs="Arial"/>
          <w:b/>
          <w:bCs/>
          <w:szCs w:val="24"/>
          <w:lang w:val="es-ES_tradnl"/>
        </w:rPr>
        <w:t>Artículo 4.- Comunicaciones</w:t>
      </w:r>
      <w:r w:rsidR="00CD3EF5" w:rsidRPr="00CD053A">
        <w:rPr>
          <w:rFonts w:ascii="Arial" w:hAnsi="Arial" w:cs="Arial"/>
          <w:b/>
          <w:bCs/>
          <w:szCs w:val="24"/>
          <w:lang w:val="es-ES_tradnl"/>
        </w:rPr>
        <w:t>.</w:t>
      </w:r>
      <w:r w:rsidR="00CD3EF5" w:rsidRPr="00CD053A">
        <w:rPr>
          <w:rFonts w:ascii="Arial" w:hAnsi="Arial" w:cs="Arial"/>
          <w:bCs/>
          <w:szCs w:val="24"/>
          <w:lang w:val="es-ES_tradnl"/>
        </w:rPr>
        <w:t xml:space="preserve"> </w:t>
      </w:r>
      <w:r w:rsidR="00A6464C" w:rsidRPr="00CD053A">
        <w:rPr>
          <w:rFonts w:ascii="Arial" w:hAnsi="Arial" w:cs="Arial"/>
          <w:szCs w:val="24"/>
        </w:rPr>
        <w:t xml:space="preserve">Comunicar la presente resolución al Ministerio de Minas y Energía, al Servicio Geológico Colombiano, al Instituto Colombiano Agustín </w:t>
      </w:r>
      <w:r w:rsidRPr="00CD053A">
        <w:rPr>
          <w:rFonts w:ascii="Arial" w:hAnsi="Arial" w:cs="Arial"/>
          <w:szCs w:val="24"/>
        </w:rPr>
        <w:t>Codazzi (IGAC),</w:t>
      </w:r>
      <w:r w:rsidR="00A6464C" w:rsidRPr="00CD053A">
        <w:rPr>
          <w:rFonts w:ascii="Arial" w:hAnsi="Arial" w:cs="Arial"/>
          <w:szCs w:val="24"/>
        </w:rPr>
        <w:t xml:space="preserve"> a la Agencia Nacional Minera (ANM)</w:t>
      </w:r>
      <w:r w:rsidR="00926043" w:rsidRPr="00CD053A">
        <w:rPr>
          <w:rFonts w:ascii="Arial" w:hAnsi="Arial" w:cs="Arial"/>
          <w:szCs w:val="24"/>
        </w:rPr>
        <w:t xml:space="preserve"> a</w:t>
      </w:r>
      <w:r w:rsidRPr="00CD053A">
        <w:rPr>
          <w:rFonts w:ascii="Arial" w:hAnsi="Arial" w:cs="Arial"/>
          <w:szCs w:val="24"/>
        </w:rPr>
        <w:t xml:space="preserve"> Parques Nacionales Naturales de </w:t>
      </w:r>
      <w:r w:rsidR="00926043" w:rsidRPr="00CD053A">
        <w:rPr>
          <w:rFonts w:ascii="Arial" w:hAnsi="Arial" w:cs="Arial"/>
          <w:szCs w:val="24"/>
          <w:lang w:val="es-CO" w:eastAsia="es-CO"/>
        </w:rPr>
        <w:t xml:space="preserve">Colombia </w:t>
      </w:r>
      <w:r w:rsidR="00501AC5" w:rsidRPr="00CD053A">
        <w:rPr>
          <w:rFonts w:ascii="Arial" w:hAnsi="Arial" w:cs="Arial"/>
          <w:szCs w:val="24"/>
          <w:lang w:val="es-CO" w:eastAsia="es-CO"/>
        </w:rPr>
        <w:t>y a la Procuraduría Delegada para Asuntos Ambientales.</w:t>
      </w:r>
    </w:p>
    <w:p w:rsidR="0025775D" w:rsidRPr="00CD053A" w:rsidRDefault="0025775D" w:rsidP="0025775D">
      <w:pPr>
        <w:autoSpaceDE w:val="0"/>
        <w:autoSpaceDN w:val="0"/>
        <w:adjustRightInd w:val="0"/>
        <w:rPr>
          <w:rFonts w:ascii="Arial" w:hAnsi="Arial" w:cs="Arial"/>
          <w:szCs w:val="24"/>
          <w:lang w:val="es-CO" w:eastAsia="es-CO"/>
        </w:rPr>
      </w:pPr>
    </w:p>
    <w:p w:rsidR="00915522" w:rsidRPr="00CD053A" w:rsidRDefault="0025775D" w:rsidP="0025775D">
      <w:pPr>
        <w:jc w:val="both"/>
        <w:rPr>
          <w:rFonts w:ascii="Arial" w:hAnsi="Arial" w:cs="Arial"/>
          <w:bCs/>
          <w:szCs w:val="24"/>
          <w:lang w:val="es-ES_tradnl"/>
        </w:rPr>
      </w:pPr>
      <w:r w:rsidRPr="00CD053A">
        <w:rPr>
          <w:rFonts w:ascii="Arial" w:hAnsi="Arial" w:cs="Arial"/>
          <w:b/>
          <w:bCs/>
          <w:szCs w:val="24"/>
          <w:lang w:val="es-CO" w:eastAsia="es-CO"/>
        </w:rPr>
        <w:t xml:space="preserve">Artículo 5.- Vigencia. </w:t>
      </w:r>
      <w:r w:rsidRPr="00CD053A">
        <w:rPr>
          <w:rFonts w:ascii="Arial" w:hAnsi="Arial" w:cs="Arial"/>
          <w:szCs w:val="24"/>
          <w:lang w:val="es-CO" w:eastAsia="es-CO"/>
        </w:rPr>
        <w:t>La presente resolución rige a partir de su fecha de expedición</w:t>
      </w:r>
      <w:r w:rsidR="00FB60FE" w:rsidRPr="00CD053A">
        <w:rPr>
          <w:rFonts w:ascii="Arial" w:hAnsi="Arial" w:cs="Arial"/>
          <w:szCs w:val="24"/>
          <w:lang w:val="es-CO" w:eastAsia="es-CO"/>
        </w:rPr>
        <w:t xml:space="preserve"> y se deberá publicar en el diario oficial.</w:t>
      </w:r>
    </w:p>
    <w:p w:rsidR="00441B83" w:rsidRPr="00CD053A" w:rsidRDefault="00441B83" w:rsidP="00CD3EF5">
      <w:pPr>
        <w:jc w:val="both"/>
        <w:rPr>
          <w:rFonts w:ascii="Arial" w:hAnsi="Arial" w:cs="Arial"/>
          <w:szCs w:val="24"/>
        </w:rPr>
      </w:pPr>
    </w:p>
    <w:p w:rsidR="00CD3EF5" w:rsidRPr="00CD053A" w:rsidRDefault="00915522" w:rsidP="00CD3EF5">
      <w:pPr>
        <w:jc w:val="both"/>
        <w:rPr>
          <w:rFonts w:ascii="Arial" w:hAnsi="Arial" w:cs="Arial"/>
          <w:szCs w:val="24"/>
        </w:rPr>
      </w:pPr>
      <w:r w:rsidRPr="00CD053A">
        <w:rPr>
          <w:rFonts w:ascii="Arial" w:hAnsi="Arial" w:cs="Arial"/>
          <w:szCs w:val="24"/>
        </w:rPr>
        <w:t xml:space="preserve"> </w:t>
      </w:r>
    </w:p>
    <w:p w:rsidR="00915522" w:rsidRPr="00CD053A" w:rsidRDefault="00915522" w:rsidP="00CD3EF5">
      <w:pPr>
        <w:jc w:val="center"/>
        <w:rPr>
          <w:rFonts w:ascii="Arial" w:hAnsi="Arial" w:cs="Arial"/>
          <w:bCs/>
          <w:szCs w:val="24"/>
          <w:lang w:val="es-ES_tradnl"/>
        </w:rPr>
      </w:pPr>
      <w:r w:rsidRPr="00CD053A">
        <w:rPr>
          <w:rFonts w:ascii="Arial" w:hAnsi="Arial" w:cs="Arial"/>
          <w:b/>
          <w:szCs w:val="24"/>
        </w:rPr>
        <w:t>PUBLÍQUESE</w:t>
      </w:r>
      <w:r w:rsidR="00B6325C" w:rsidRPr="00CD053A">
        <w:rPr>
          <w:rFonts w:ascii="Arial" w:hAnsi="Arial" w:cs="Arial"/>
          <w:b/>
          <w:szCs w:val="24"/>
        </w:rPr>
        <w:t xml:space="preserve">, COMUNÍQUESE </w:t>
      </w:r>
      <w:r w:rsidRPr="00CD053A">
        <w:rPr>
          <w:rFonts w:ascii="Arial" w:hAnsi="Arial" w:cs="Arial"/>
          <w:b/>
          <w:szCs w:val="24"/>
        </w:rPr>
        <w:t>Y CÚMPLASE</w:t>
      </w:r>
    </w:p>
    <w:p w:rsidR="00CD3EF5" w:rsidRPr="00CD053A" w:rsidRDefault="00915522" w:rsidP="00FF156D">
      <w:pPr>
        <w:jc w:val="center"/>
        <w:rPr>
          <w:rFonts w:ascii="Arial" w:hAnsi="Arial" w:cs="Arial"/>
          <w:szCs w:val="24"/>
        </w:rPr>
      </w:pPr>
      <w:r w:rsidRPr="00CD053A">
        <w:rPr>
          <w:rFonts w:ascii="Arial" w:hAnsi="Arial" w:cs="Arial"/>
          <w:szCs w:val="24"/>
        </w:rPr>
        <w:t>Dada en Bogotá, D.C. a los</w:t>
      </w:r>
    </w:p>
    <w:p w:rsidR="00CD3EF5" w:rsidRPr="00CD053A" w:rsidRDefault="00CD3EF5" w:rsidP="00CD3EF5">
      <w:pPr>
        <w:rPr>
          <w:rFonts w:ascii="Arial" w:hAnsi="Arial" w:cs="Arial"/>
          <w:b/>
          <w:bCs/>
          <w:szCs w:val="24"/>
        </w:rPr>
      </w:pPr>
    </w:p>
    <w:p w:rsidR="00B6325C" w:rsidRDefault="00B6325C" w:rsidP="00CD3EF5">
      <w:pPr>
        <w:rPr>
          <w:rFonts w:ascii="Arial" w:hAnsi="Arial" w:cs="Arial"/>
          <w:b/>
          <w:bCs/>
          <w:szCs w:val="24"/>
        </w:rPr>
      </w:pPr>
    </w:p>
    <w:p w:rsidR="005A3B3D" w:rsidRDefault="005A3B3D" w:rsidP="00CD3EF5">
      <w:pPr>
        <w:rPr>
          <w:rFonts w:ascii="Arial" w:hAnsi="Arial" w:cs="Arial"/>
          <w:b/>
          <w:bCs/>
          <w:szCs w:val="24"/>
        </w:rPr>
      </w:pPr>
    </w:p>
    <w:p w:rsidR="005A3B3D" w:rsidRPr="00CD053A" w:rsidRDefault="005A3B3D" w:rsidP="00CD3EF5">
      <w:pPr>
        <w:rPr>
          <w:rFonts w:ascii="Arial" w:hAnsi="Arial" w:cs="Arial"/>
          <w:b/>
          <w:bCs/>
          <w:szCs w:val="24"/>
        </w:rPr>
      </w:pPr>
    </w:p>
    <w:p w:rsidR="00B6325C" w:rsidRPr="00CD053A" w:rsidRDefault="00B6325C" w:rsidP="00CD3EF5">
      <w:pPr>
        <w:rPr>
          <w:rFonts w:ascii="Arial" w:hAnsi="Arial" w:cs="Arial"/>
          <w:b/>
          <w:bCs/>
          <w:szCs w:val="24"/>
        </w:rPr>
      </w:pPr>
    </w:p>
    <w:p w:rsidR="00CD3EF5" w:rsidRPr="00CD053A" w:rsidRDefault="00337D4B" w:rsidP="00915522">
      <w:pPr>
        <w:ind w:left="-284"/>
        <w:jc w:val="center"/>
        <w:rPr>
          <w:rFonts w:ascii="Arial" w:hAnsi="Arial" w:cs="Arial"/>
          <w:b/>
          <w:szCs w:val="24"/>
        </w:rPr>
      </w:pPr>
      <w:r w:rsidRPr="00CD053A">
        <w:rPr>
          <w:rFonts w:ascii="Arial" w:hAnsi="Arial" w:cs="Arial"/>
          <w:b/>
          <w:szCs w:val="24"/>
        </w:rPr>
        <w:t>RICARDO JOSE LOZANO PIC</w:t>
      </w:r>
      <w:r w:rsidR="00544EA2" w:rsidRPr="00CD053A">
        <w:rPr>
          <w:rFonts w:ascii="Arial" w:hAnsi="Arial" w:cs="Arial"/>
          <w:b/>
          <w:szCs w:val="24"/>
        </w:rPr>
        <w:t>Ó</w:t>
      </w:r>
      <w:r w:rsidRPr="00CD053A">
        <w:rPr>
          <w:rFonts w:ascii="Arial" w:hAnsi="Arial" w:cs="Arial"/>
          <w:b/>
          <w:szCs w:val="24"/>
        </w:rPr>
        <w:t xml:space="preserve">N </w:t>
      </w:r>
    </w:p>
    <w:p w:rsidR="00915522" w:rsidRPr="00CD053A" w:rsidRDefault="00915522" w:rsidP="00FF156D">
      <w:pPr>
        <w:ind w:left="-284"/>
        <w:jc w:val="center"/>
        <w:rPr>
          <w:rFonts w:ascii="Arial" w:hAnsi="Arial" w:cs="Arial"/>
          <w:szCs w:val="24"/>
        </w:rPr>
      </w:pPr>
      <w:r w:rsidRPr="00CD053A">
        <w:rPr>
          <w:rFonts w:ascii="Arial" w:hAnsi="Arial" w:cs="Arial"/>
          <w:szCs w:val="24"/>
        </w:rPr>
        <w:t>Ministro de Ambiente y Desarrollo Sostenible</w:t>
      </w:r>
    </w:p>
    <w:p w:rsidR="00441B83" w:rsidRPr="00CD053A" w:rsidRDefault="00441B83" w:rsidP="00FF156D">
      <w:pPr>
        <w:ind w:left="-284"/>
        <w:jc w:val="center"/>
        <w:rPr>
          <w:rFonts w:ascii="Arial" w:hAnsi="Arial" w:cs="Arial"/>
          <w:szCs w:val="24"/>
        </w:rPr>
      </w:pPr>
    </w:p>
    <w:p w:rsidR="00FF156D" w:rsidRPr="00CD053A" w:rsidRDefault="00FF156D" w:rsidP="00915522">
      <w:pPr>
        <w:rPr>
          <w:rFonts w:ascii="Arial" w:hAnsi="Arial" w:cs="Arial"/>
          <w:sz w:val="20"/>
        </w:rPr>
      </w:pPr>
    </w:p>
    <w:p w:rsidR="00337D4B" w:rsidRPr="00CD053A" w:rsidRDefault="00337D4B" w:rsidP="00337D4B">
      <w:pPr>
        <w:rPr>
          <w:rFonts w:ascii="Arial" w:hAnsi="Arial" w:cs="Arial"/>
          <w:sz w:val="14"/>
        </w:rPr>
      </w:pPr>
      <w:r w:rsidRPr="00CD053A">
        <w:rPr>
          <w:rFonts w:ascii="Arial" w:hAnsi="Arial" w:cs="Arial"/>
          <w:sz w:val="14"/>
        </w:rPr>
        <w:t>Proyectó:</w:t>
      </w:r>
      <w:r w:rsidR="00922188" w:rsidRPr="00CD053A">
        <w:rPr>
          <w:rFonts w:ascii="Arial" w:hAnsi="Arial" w:cs="Arial"/>
          <w:sz w:val="14"/>
        </w:rPr>
        <w:t xml:space="preserve"> </w:t>
      </w:r>
      <w:r w:rsidR="008C463D" w:rsidRPr="00CD053A">
        <w:rPr>
          <w:rFonts w:ascii="Arial" w:hAnsi="Arial" w:cs="Arial"/>
          <w:sz w:val="14"/>
        </w:rPr>
        <w:t xml:space="preserve">  </w:t>
      </w:r>
      <w:r w:rsidR="00F90714" w:rsidRPr="00CD053A">
        <w:rPr>
          <w:rFonts w:ascii="Arial" w:hAnsi="Arial" w:cs="Arial"/>
          <w:sz w:val="14"/>
        </w:rPr>
        <w:t>Caryni Negrete</w:t>
      </w:r>
      <w:r w:rsidR="00544EA2" w:rsidRPr="00CD053A">
        <w:rPr>
          <w:rFonts w:ascii="Arial" w:hAnsi="Arial" w:cs="Arial"/>
          <w:sz w:val="14"/>
        </w:rPr>
        <w:t xml:space="preserve"> R.</w:t>
      </w:r>
      <w:r w:rsidR="00F90714" w:rsidRPr="00CD053A">
        <w:rPr>
          <w:rFonts w:ascii="Arial" w:hAnsi="Arial" w:cs="Arial"/>
          <w:sz w:val="14"/>
        </w:rPr>
        <w:t>- Profesional especializado OAJ y Carmen Lucia Pérez</w:t>
      </w:r>
      <w:r w:rsidR="00544EA2" w:rsidRPr="00CD053A">
        <w:rPr>
          <w:rFonts w:ascii="Arial" w:hAnsi="Arial" w:cs="Arial"/>
          <w:sz w:val="14"/>
        </w:rPr>
        <w:t xml:space="preserve"> R.</w:t>
      </w:r>
      <w:r w:rsidR="00F90714" w:rsidRPr="00CD053A">
        <w:rPr>
          <w:rFonts w:ascii="Arial" w:hAnsi="Arial" w:cs="Arial"/>
          <w:sz w:val="14"/>
        </w:rPr>
        <w:t>- Asesora OAJ</w:t>
      </w:r>
      <w:r w:rsidRPr="00CD053A">
        <w:rPr>
          <w:rFonts w:ascii="Arial" w:hAnsi="Arial" w:cs="Arial"/>
          <w:sz w:val="14"/>
        </w:rPr>
        <w:t xml:space="preserve"> </w:t>
      </w:r>
    </w:p>
    <w:p w:rsidR="00337D4B" w:rsidRDefault="00337D4B" w:rsidP="008C463D">
      <w:pPr>
        <w:ind w:firstLine="708"/>
        <w:rPr>
          <w:rFonts w:ascii="Arial" w:hAnsi="Arial" w:cs="Arial"/>
          <w:sz w:val="14"/>
        </w:rPr>
      </w:pPr>
      <w:r w:rsidRPr="00CD053A">
        <w:rPr>
          <w:rFonts w:ascii="Arial" w:hAnsi="Arial" w:cs="Arial"/>
          <w:sz w:val="14"/>
        </w:rPr>
        <w:t>Alexander Ibagon Montes – Profesional Universitario de la DBBSE</w:t>
      </w:r>
    </w:p>
    <w:p w:rsidR="005A3B3D" w:rsidRPr="00CD053A" w:rsidRDefault="005A3B3D" w:rsidP="008C463D">
      <w:pPr>
        <w:ind w:firstLine="708"/>
        <w:rPr>
          <w:rFonts w:ascii="Arial" w:hAnsi="Arial" w:cs="Arial"/>
          <w:sz w:val="14"/>
        </w:rPr>
      </w:pPr>
    </w:p>
    <w:p w:rsidR="005A3B3D" w:rsidRDefault="00337D4B" w:rsidP="008C463D">
      <w:pPr>
        <w:rPr>
          <w:rFonts w:ascii="Arial" w:hAnsi="Arial" w:cs="Arial"/>
          <w:sz w:val="14"/>
        </w:rPr>
      </w:pPr>
      <w:r w:rsidRPr="00CD053A">
        <w:rPr>
          <w:rFonts w:ascii="Arial" w:hAnsi="Arial" w:cs="Arial"/>
          <w:sz w:val="14"/>
        </w:rPr>
        <w:t xml:space="preserve">Revisó: </w:t>
      </w:r>
      <w:r w:rsidR="00922188" w:rsidRPr="00CD053A">
        <w:rPr>
          <w:rFonts w:ascii="Arial" w:hAnsi="Arial" w:cs="Arial"/>
          <w:sz w:val="14"/>
        </w:rPr>
        <w:t xml:space="preserve">   </w:t>
      </w:r>
      <w:r w:rsidR="008C463D" w:rsidRPr="00CD053A">
        <w:rPr>
          <w:rFonts w:ascii="Arial" w:hAnsi="Arial" w:cs="Arial"/>
          <w:sz w:val="14"/>
        </w:rPr>
        <w:tab/>
      </w:r>
      <w:r w:rsidR="005A3B3D" w:rsidRPr="003B2DC9">
        <w:rPr>
          <w:rFonts w:ascii="Arial Narrow" w:hAnsi="Arial Narrow" w:cs="Arial"/>
          <w:bCs/>
          <w:iCs/>
          <w:sz w:val="16"/>
        </w:rPr>
        <w:t xml:space="preserve">Myriam Amparo Andrade Hernandez </w:t>
      </w:r>
      <w:r w:rsidR="005A3B3D" w:rsidRPr="003B2DC9">
        <w:rPr>
          <w:rFonts w:ascii="Arial Narrow" w:hAnsi="Arial Narrow" w:cs="Arial"/>
          <w:color w:val="000000"/>
          <w:sz w:val="16"/>
        </w:rPr>
        <w:t>Coordinadora/Grupo Conceptos y Normatividad en Biodiversidad</w:t>
      </w:r>
    </w:p>
    <w:p w:rsidR="008C463D" w:rsidRPr="00CD053A" w:rsidRDefault="00337D4B" w:rsidP="005A3B3D">
      <w:pPr>
        <w:ind w:firstLine="708"/>
        <w:rPr>
          <w:rFonts w:ascii="Arial" w:hAnsi="Arial" w:cs="Arial"/>
          <w:sz w:val="14"/>
        </w:rPr>
      </w:pPr>
      <w:r w:rsidRPr="00CD053A">
        <w:rPr>
          <w:rFonts w:ascii="Arial" w:hAnsi="Arial" w:cs="Arial"/>
          <w:sz w:val="14"/>
        </w:rPr>
        <w:t xml:space="preserve">Claudia Adalgiza Arias Cuadros– Jefe Oficina Asesora Jurídica </w:t>
      </w:r>
    </w:p>
    <w:p w:rsidR="00337D4B" w:rsidRPr="00CD053A" w:rsidRDefault="00337D4B" w:rsidP="008C463D">
      <w:pPr>
        <w:ind w:firstLine="708"/>
        <w:rPr>
          <w:rFonts w:ascii="Arial" w:hAnsi="Arial" w:cs="Arial"/>
          <w:sz w:val="14"/>
        </w:rPr>
      </w:pPr>
      <w:r w:rsidRPr="00CD053A">
        <w:rPr>
          <w:rFonts w:ascii="Arial" w:hAnsi="Arial" w:cs="Arial"/>
          <w:sz w:val="14"/>
        </w:rPr>
        <w:t>Natalia Ramirez Martinez – Coordinadora Grupo de Gestión en Biodiversidad - DBBSE</w:t>
      </w:r>
    </w:p>
    <w:p w:rsidR="00337D4B" w:rsidRPr="00CD053A" w:rsidRDefault="00337D4B" w:rsidP="000309DF">
      <w:pPr>
        <w:ind w:left="708"/>
        <w:rPr>
          <w:rFonts w:ascii="Arial" w:hAnsi="Arial" w:cs="Arial"/>
          <w:sz w:val="14"/>
        </w:rPr>
      </w:pPr>
      <w:r w:rsidRPr="00CD053A">
        <w:rPr>
          <w:rFonts w:ascii="Arial" w:hAnsi="Arial" w:cs="Arial"/>
          <w:sz w:val="14"/>
        </w:rPr>
        <w:t>Edgar Emilio Rodriguez Bastidas -Director de Bosques, Biodiversidad y Servicios Ecosistémicos–MADS</w:t>
      </w:r>
      <w:r w:rsidR="0003307A" w:rsidRPr="00CD053A">
        <w:rPr>
          <w:rFonts w:ascii="Arial" w:hAnsi="Arial" w:cs="Arial"/>
          <w:sz w:val="14"/>
        </w:rPr>
        <w:t>.</w:t>
      </w:r>
    </w:p>
    <w:p w:rsidR="000309DF" w:rsidRPr="00CD053A" w:rsidRDefault="000309DF" w:rsidP="00337D4B">
      <w:pPr>
        <w:rPr>
          <w:rFonts w:ascii="Arial" w:hAnsi="Arial" w:cs="Arial"/>
          <w:sz w:val="14"/>
        </w:rPr>
      </w:pPr>
    </w:p>
    <w:p w:rsidR="00337D4B" w:rsidRPr="008C463D" w:rsidRDefault="00337D4B" w:rsidP="00337D4B">
      <w:pPr>
        <w:rPr>
          <w:rFonts w:ascii="Arial" w:hAnsi="Arial" w:cs="Arial"/>
          <w:sz w:val="14"/>
        </w:rPr>
      </w:pPr>
      <w:r w:rsidRPr="00CD053A">
        <w:rPr>
          <w:rFonts w:ascii="Arial" w:hAnsi="Arial" w:cs="Arial"/>
          <w:sz w:val="14"/>
        </w:rPr>
        <w:t>Aprobó: Maria Claudia García Dávila – Viceministra de Políticas y Normalización Ambiental.</w:t>
      </w:r>
    </w:p>
    <w:p w:rsidR="00EB77FD" w:rsidRPr="00560A86" w:rsidRDefault="00EB77FD" w:rsidP="00CD3EF5">
      <w:pPr>
        <w:rPr>
          <w:rFonts w:ascii="Arial" w:hAnsi="Arial" w:cs="Arial"/>
          <w:sz w:val="20"/>
        </w:rPr>
      </w:pPr>
    </w:p>
    <w:p w:rsidR="00EB77FD" w:rsidRPr="00560A86" w:rsidRDefault="00EB77FD" w:rsidP="00CD3EF5">
      <w:pPr>
        <w:rPr>
          <w:rFonts w:ascii="Arial" w:hAnsi="Arial" w:cs="Arial"/>
          <w:sz w:val="20"/>
        </w:rPr>
      </w:pPr>
    </w:p>
    <w:p w:rsidR="0025775D" w:rsidRPr="00F90714" w:rsidRDefault="0025775D" w:rsidP="00E257CC">
      <w:pPr>
        <w:rPr>
          <w:rFonts w:ascii="Arial" w:hAnsi="Arial" w:cs="Arial"/>
          <w:szCs w:val="24"/>
        </w:rPr>
      </w:pPr>
      <w:bookmarkStart w:id="3" w:name="_GoBack"/>
      <w:bookmarkEnd w:id="3"/>
    </w:p>
    <w:sectPr w:rsidR="0025775D" w:rsidRPr="00F90714" w:rsidSect="00E73A17">
      <w:headerReference w:type="default" r:id="rId8"/>
      <w:footerReference w:type="default" r:id="rId9"/>
      <w:headerReference w:type="first" r:id="rId10"/>
      <w:footerReference w:type="first" r:id="rId11"/>
      <w:type w:val="oddPage"/>
      <w:pgSz w:w="12240" w:h="18720" w:code="120"/>
      <w:pgMar w:top="-2694" w:right="1325" w:bottom="1418" w:left="1701" w:header="567" w:footer="672" w:gutter="0"/>
      <w:cols w:space="720"/>
      <w:noEndnote/>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DA21DEF" w16cid:durableId="2051E9E0"/>
  <w16cid:commentId w16cid:paraId="0F6338D6" w16cid:durableId="2051E9E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151" w:rsidRDefault="00852151">
      <w:r>
        <w:separator/>
      </w:r>
    </w:p>
  </w:endnote>
  <w:endnote w:type="continuationSeparator" w:id="0">
    <w:p w:rsidR="00852151" w:rsidRDefault="00852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9D2" w:rsidRPr="0075501E" w:rsidRDefault="00BF39D2" w:rsidP="001908C5">
    <w:pPr>
      <w:pStyle w:val="Piedepgina"/>
      <w:rPr>
        <w:rFonts w:ascii="Arial" w:hAnsi="Arial" w:cs="Arial"/>
        <w:color w:val="808080" w:themeColor="background1" w:themeShade="80"/>
        <w:sz w:val="16"/>
        <w:szCs w:val="18"/>
        <w:lang w:val="es-CO"/>
      </w:rPr>
    </w:pPr>
  </w:p>
  <w:p w:rsidR="00BF39D2" w:rsidRDefault="00BF39D2" w:rsidP="001908C5">
    <w:pPr>
      <w:pStyle w:val="Piedepgina"/>
      <w:rPr>
        <w:rFonts w:ascii="Arial" w:hAnsi="Arial" w:cs="Arial"/>
        <w:color w:val="808080" w:themeColor="background1" w:themeShade="80"/>
        <w:sz w:val="2"/>
        <w:szCs w:val="18"/>
        <w:lang w:val="es-CO"/>
      </w:rPr>
    </w:pPr>
  </w:p>
  <w:p w:rsidR="00BF39D2" w:rsidRDefault="00BF39D2" w:rsidP="001908C5">
    <w:pPr>
      <w:pStyle w:val="Piedepgina"/>
      <w:rPr>
        <w:rFonts w:ascii="Arial" w:hAnsi="Arial" w:cs="Arial"/>
        <w:color w:val="808080" w:themeColor="background1" w:themeShade="80"/>
        <w:sz w:val="2"/>
        <w:szCs w:val="18"/>
        <w:lang w:val="es-CO"/>
      </w:rPr>
    </w:pPr>
  </w:p>
  <w:p w:rsidR="00BF39D2" w:rsidRPr="0075501E" w:rsidRDefault="00BF39D2" w:rsidP="001908C5">
    <w:pPr>
      <w:pStyle w:val="Piedepgina"/>
      <w:rPr>
        <w:rFonts w:ascii="Arial" w:hAnsi="Arial" w:cs="Arial"/>
        <w:color w:val="808080" w:themeColor="background1" w:themeShade="80"/>
        <w:sz w:val="2"/>
        <w:szCs w:val="18"/>
        <w:lang w:val="es-CO"/>
      </w:rPr>
    </w:pPr>
  </w:p>
  <w:p w:rsidR="00BF39D2" w:rsidRPr="000A1C11" w:rsidRDefault="00BF39D2"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9D2" w:rsidRPr="00F915C6" w:rsidRDefault="00BF39D2"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Versión </w:t>
    </w:r>
    <w:r>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151" w:rsidRDefault="00852151">
      <w:r>
        <w:separator/>
      </w:r>
    </w:p>
  </w:footnote>
  <w:footnote w:type="continuationSeparator" w:id="0">
    <w:p w:rsidR="00852151" w:rsidRDefault="00852151">
      <w:r>
        <w:continuationSeparator/>
      </w:r>
    </w:p>
  </w:footnote>
  <w:footnote w:id="1">
    <w:p w:rsidR="00F1018D" w:rsidRPr="009A5091" w:rsidRDefault="00F1018D" w:rsidP="00F1018D">
      <w:pPr>
        <w:pStyle w:val="Textonotapie"/>
        <w:rPr>
          <w:rFonts w:ascii="Arial Narrow" w:hAnsi="Arial Narrow"/>
          <w:lang w:val="es-CO"/>
        </w:rPr>
      </w:pPr>
      <w:r w:rsidRPr="009A5091">
        <w:rPr>
          <w:rStyle w:val="Refdenotaalpie"/>
          <w:rFonts w:ascii="Arial Narrow" w:hAnsi="Arial Narrow"/>
          <w:sz w:val="18"/>
        </w:rPr>
        <w:footnoteRef/>
      </w:r>
      <w:r w:rsidRPr="009A5091">
        <w:rPr>
          <w:rFonts w:ascii="Arial Narrow" w:hAnsi="Arial Narrow"/>
          <w:sz w:val="18"/>
        </w:rPr>
        <w:t xml:space="preserve"> </w:t>
      </w:r>
      <w:r w:rsidRPr="009A5091">
        <w:rPr>
          <w:rFonts w:ascii="Arial Narrow" w:hAnsi="Arial Narrow"/>
          <w:sz w:val="18"/>
          <w:lang w:val="es-CO"/>
        </w:rPr>
        <w:t>El artículo 2 de la mencionada Ley establece: “el documento denominado “Bases del Plan Nacional de Desarrollo 2018-2022 […] es parte integral del Plan Nacional de Desarrollo, y se incorpora a la presente ley como un anexo.”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9D2" w:rsidRPr="00C43C41" w:rsidRDefault="00BF39D2"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842CB8">
      <w:rPr>
        <w:rStyle w:val="Nmerodepgina"/>
        <w:rFonts w:ascii="Arial" w:hAnsi="Arial" w:cs="Arial"/>
        <w:noProof/>
        <w:sz w:val="22"/>
        <w:szCs w:val="22"/>
        <w:lang w:val="es-ES_tradnl"/>
      </w:rPr>
      <w:t>9</w:t>
    </w:r>
    <w:r w:rsidRPr="00A7077B">
      <w:rPr>
        <w:rStyle w:val="Nmerodepgina"/>
        <w:rFonts w:ascii="Arial" w:hAnsi="Arial" w:cs="Arial"/>
        <w:sz w:val="22"/>
        <w:szCs w:val="22"/>
        <w:lang w:val="es-ES_tradnl"/>
      </w:rPr>
      <w:fldChar w:fldCharType="end"/>
    </w:r>
  </w:p>
  <w:p w:rsidR="00BF39D2" w:rsidRPr="00E851DA" w:rsidRDefault="00BF39D2" w:rsidP="00FB63D4">
    <w:pPr>
      <w:ind w:left="-284" w:right="360"/>
      <w:rPr>
        <w:rFonts w:ascii="Arial" w:hAnsi="Arial" w:cs="Arial"/>
        <w:i/>
        <w:color w:val="808080"/>
        <w:szCs w:val="24"/>
      </w:rPr>
    </w:pPr>
  </w:p>
  <w:p w:rsidR="00BF39D2" w:rsidRPr="003F5A86" w:rsidRDefault="00BF39D2" w:rsidP="009F6EEC">
    <w:pPr>
      <w:jc w:val="center"/>
      <w:rPr>
        <w:rFonts w:ascii="Arial" w:hAnsi="Arial" w:cs="Arial"/>
        <w:sz w:val="28"/>
        <w:szCs w:val="28"/>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6048C2CE" wp14:editId="626640C2">
              <wp:simplePos x="0" y="0"/>
              <wp:positionH relativeFrom="column">
                <wp:posOffset>-358140</wp:posOffset>
              </wp:positionH>
              <wp:positionV relativeFrom="paragraph">
                <wp:posOffset>22860</wp:posOffset>
              </wp:positionV>
              <wp:extent cx="6336030" cy="10618470"/>
              <wp:effectExtent l="13335" t="13335" r="13335" b="7620"/>
              <wp:wrapNone/>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495C27F3" id="Freeform 4" o:spid="_x0000_s1026" style="position:absolute;margin-left:-28.2pt;margin-top:1.8pt;width:498.9pt;height:83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rsidR="006500D9" w:rsidRPr="00340546" w:rsidRDefault="006500D9" w:rsidP="006500D9">
    <w:pPr>
      <w:jc w:val="center"/>
      <w:rPr>
        <w:rFonts w:ascii="Arial" w:hAnsi="Arial" w:cs="Arial"/>
        <w:szCs w:val="24"/>
      </w:rPr>
    </w:pPr>
    <w:r w:rsidRPr="00340546">
      <w:rPr>
        <w:rFonts w:ascii="Arial" w:hAnsi="Arial" w:cs="Arial"/>
        <w:szCs w:val="24"/>
      </w:rPr>
      <w:t>“</w:t>
    </w:r>
    <w:r w:rsidRPr="00141F40">
      <w:rPr>
        <w:rFonts w:ascii="Arial" w:hAnsi="Arial" w:cs="Arial"/>
        <w:i/>
        <w:szCs w:val="24"/>
      </w:rPr>
      <w:t xml:space="preserve">Por medio de la cual se prórroga el término de duración de las zonas de protección y desarrollo de los recursos naturales renovables y del medio ambiente, declaradas mediante la </w:t>
    </w:r>
    <w:r w:rsidR="0046090F">
      <w:rPr>
        <w:rFonts w:ascii="Arial" w:hAnsi="Arial" w:cs="Arial"/>
        <w:i/>
        <w:szCs w:val="24"/>
      </w:rPr>
      <w:t>R</w:t>
    </w:r>
    <w:r w:rsidRPr="00141F40">
      <w:rPr>
        <w:rFonts w:ascii="Arial" w:hAnsi="Arial" w:cs="Arial"/>
        <w:i/>
        <w:szCs w:val="24"/>
      </w:rPr>
      <w:t>esolución 1628 de 2015 y prorrogadas mediante las Resoluciones 1433 de 2017 y 1310 de 2018 y se adoptan otras determinaciones</w:t>
    </w:r>
    <w:r w:rsidRPr="00340546">
      <w:rPr>
        <w:rFonts w:ascii="Arial" w:hAnsi="Arial" w:cs="Arial"/>
        <w:szCs w:val="24"/>
      </w:rPr>
      <w:t>”</w:t>
    </w:r>
  </w:p>
  <w:p w:rsidR="006500D9" w:rsidRDefault="006500D9" w:rsidP="006500D9">
    <w:pPr>
      <w:ind w:right="50"/>
      <w:rPr>
        <w:rFonts w:ascii="Arial" w:hAnsi="Arial" w:cs="Arial"/>
        <w:b/>
        <w:szCs w:val="24"/>
      </w:rPr>
    </w:pPr>
  </w:p>
  <w:p w:rsidR="00BF39D2" w:rsidRPr="00560A86" w:rsidRDefault="00BF39D2">
    <w:pPr>
      <w:pStyle w:val="CuerpoA"/>
      <w:rPr>
        <w:rStyle w:val="Nmerodepgina"/>
        <w:rFonts w:ascii="Arial" w:hAnsi="Arial" w:cs="Arial"/>
        <w:i/>
        <w:color w:val="auto"/>
        <w:szCs w:val="20"/>
        <w:bdr w:val="none" w:sz="0" w:space="0" w:color="auto"/>
        <w:lang w:val="es-ES" w:eastAsia="es-ES"/>
      </w:rPr>
    </w:pPr>
  </w:p>
  <w:p w:rsidR="00BF39D2" w:rsidRPr="00BD6426" w:rsidRDefault="00BF39D2">
    <w:pPr>
      <w:pStyle w:val="CuerpoA"/>
      <w:jc w:val="both"/>
      <w:rPr>
        <w:rFonts w:ascii="Arial" w:eastAsia="Arial" w:hAnsi="Arial" w:cs="Arial"/>
        <w:sz w:val="16"/>
        <w:szCs w:val="16"/>
        <w:lang w:val="es-CO"/>
      </w:rPr>
    </w:pPr>
  </w:p>
  <w:p w:rsidR="00BF39D2" w:rsidRPr="00533C60" w:rsidRDefault="00BF39D2">
    <w:pPr>
      <w:pStyle w:val="CuerpoA"/>
      <w:rPr>
        <w:rStyle w:val="Nmerodepgina"/>
        <w:rFonts w:ascii="Arial" w:hAnsi="Arial" w:cs="Arial"/>
        <w:b/>
        <w:bCs/>
        <w:i/>
        <w:iCs/>
        <w:color w:val="auto"/>
        <w:szCs w:val="20"/>
        <w:bdr w:val="none" w:sz="0" w:space="0" w:color="auto"/>
        <w:lang w:val="es-ES" w:eastAsia="es-ES"/>
      </w:rPr>
    </w:pPr>
  </w:p>
  <w:p w:rsidR="00BF39D2" w:rsidRDefault="00BF39D2" w:rsidP="004C034D">
    <w:pPr>
      <w:ind w:right="50"/>
      <w:rPr>
        <w:rFonts w:ascii="Arial" w:hAnsi="Arial" w:cs="Arial"/>
        <w:b/>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9D2" w:rsidRDefault="00BF39D2" w:rsidP="00C93B01">
    <w:pPr>
      <w:jc w:val="center"/>
      <w:rPr>
        <w:rFonts w:ascii="Arial" w:hAnsi="Arial"/>
        <w:sz w:val="16"/>
      </w:rPr>
    </w:pPr>
    <w:r>
      <w:rPr>
        <w:rFonts w:ascii="Arial" w:hAnsi="Arial"/>
        <w:sz w:val="16"/>
      </w:rPr>
      <w:t>REPÚBLICA DE COLOMBIA</w:t>
    </w:r>
  </w:p>
  <w:p w:rsidR="00BF39D2" w:rsidRDefault="00BF39D2">
    <w:pPr>
      <w:jc w:val="center"/>
      <w:rPr>
        <w:rFonts w:ascii="Arial" w:hAnsi="Arial"/>
        <w:sz w:val="16"/>
      </w:rPr>
    </w:pPr>
    <w:r w:rsidRPr="00B369C7">
      <w:rPr>
        <w:noProof/>
        <w:lang w:val="es-CO" w:eastAsia="es-CO"/>
      </w:rPr>
      <w:drawing>
        <wp:anchor distT="0" distB="0" distL="114300" distR="114300" simplePos="0" relativeHeight="251660288" behindDoc="0" locked="0" layoutInCell="1" allowOverlap="1" wp14:anchorId="07CF5036" wp14:editId="3744D327">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39D2" w:rsidRDefault="00BF39D2">
    <w:pPr>
      <w:jc w:val="center"/>
      <w:rPr>
        <w:rFonts w:ascii="Arial" w:hAnsi="Arial"/>
        <w:sz w:val="16"/>
      </w:rPr>
    </w:pPr>
  </w:p>
  <w:p w:rsidR="00BF39D2" w:rsidRDefault="00BF39D2">
    <w:pPr>
      <w:jc w:val="center"/>
      <w:rPr>
        <w:rFonts w:ascii="Arial" w:hAnsi="Arial"/>
      </w:rPr>
    </w:pPr>
    <w:r>
      <w:rPr>
        <w:noProof/>
        <w:lang w:val="es-CO" w:eastAsia="es-CO"/>
      </w:rPr>
      <mc:AlternateContent>
        <mc:Choice Requires="wps">
          <w:drawing>
            <wp:anchor distT="0" distB="0" distL="114300" distR="114300" simplePos="0" relativeHeight="251657215" behindDoc="0" locked="0" layoutInCell="1" allowOverlap="1" wp14:anchorId="66654719" wp14:editId="5665724E">
              <wp:simplePos x="0" y="0"/>
              <wp:positionH relativeFrom="column">
                <wp:posOffset>-375285</wp:posOffset>
              </wp:positionH>
              <wp:positionV relativeFrom="paragraph">
                <wp:posOffset>6350</wp:posOffset>
              </wp:positionV>
              <wp:extent cx="6336030" cy="10591800"/>
              <wp:effectExtent l="5715" t="6350" r="11430" b="1270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514EB036"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rsidR="00BF39D2" w:rsidRDefault="00BF39D2">
    <w:pPr>
      <w:jc w:val="center"/>
      <w:rPr>
        <w:rFonts w:ascii="Arial" w:hAnsi="Arial"/>
      </w:rPr>
    </w:pPr>
  </w:p>
  <w:p w:rsidR="00BF39D2" w:rsidRDefault="00BF39D2">
    <w:pPr>
      <w:jc w:val="center"/>
      <w:rPr>
        <w:rFonts w:ascii="Arial" w:hAnsi="Arial"/>
      </w:rPr>
    </w:pPr>
  </w:p>
  <w:p w:rsidR="00BF39D2" w:rsidRDefault="00BF39D2">
    <w:pPr>
      <w:jc w:val="center"/>
      <w:rPr>
        <w:rFonts w:ascii="Arial" w:hAnsi="Arial"/>
      </w:rPr>
    </w:pPr>
  </w:p>
  <w:p w:rsidR="00BF39D2" w:rsidRPr="00652A5F" w:rsidRDefault="00BF39D2">
    <w:pPr>
      <w:jc w:val="center"/>
      <w:rPr>
        <w:rFonts w:ascii="Arial" w:hAnsi="Arial"/>
        <w:sz w:val="48"/>
        <w:szCs w:val="48"/>
      </w:rPr>
    </w:pPr>
    <w:r>
      <w:rPr>
        <w:noProof/>
        <w:lang w:val="es-CO" w:eastAsia="es-CO"/>
      </w:rPr>
      <mc:AlternateContent>
        <mc:Choice Requires="wps">
          <w:drawing>
            <wp:anchor distT="0" distB="0" distL="114300" distR="114300" simplePos="0" relativeHeight="251658240" behindDoc="0" locked="0" layoutInCell="1" allowOverlap="1" wp14:anchorId="0CDF0D94" wp14:editId="6418A82D">
              <wp:simplePos x="0" y="0"/>
              <wp:positionH relativeFrom="column">
                <wp:posOffset>553720</wp:posOffset>
              </wp:positionH>
              <wp:positionV relativeFrom="paragraph">
                <wp:posOffset>151765</wp:posOffset>
              </wp:positionV>
              <wp:extent cx="4513580" cy="1228725"/>
              <wp:effectExtent l="0" t="0" r="1270" b="95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BF39D2" w:rsidRPr="00D06730" w:rsidRDefault="00BF39D2" w:rsidP="00D06730">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rsidR="00BF39D2" w:rsidRPr="00FE0D79" w:rsidRDefault="00BF39D2">
                          <w:pPr>
                            <w:pStyle w:val="Ttulo3"/>
                            <w:rPr>
                              <w:rFonts w:ascii="Arial Narrow" w:hAnsi="Arial Narrow"/>
                            </w:rPr>
                          </w:pPr>
                        </w:p>
                        <w:p w:rsidR="00BF39D2" w:rsidRDefault="00BF39D2" w:rsidP="000D2B9D">
                          <w:pPr>
                            <w:pStyle w:val="Ttulo3"/>
                          </w:pPr>
                        </w:p>
                        <w:p w:rsidR="00BF39D2" w:rsidRDefault="00BF39D2" w:rsidP="000D2B9D">
                          <w:pPr>
                            <w:pStyle w:val="Ttulo3"/>
                            <w:rPr>
                              <w:rFonts w:cs="Arial"/>
                              <w:b/>
                              <w:sz w:val="36"/>
                              <w:szCs w:val="36"/>
                            </w:rPr>
                          </w:pPr>
                          <w:r w:rsidRPr="00FE0D79">
                            <w:t>RESOLUCIÓN N</w:t>
                          </w:r>
                          <w:r>
                            <w:t>o.______________</w:t>
                          </w:r>
                          <w:r>
                            <w:rPr>
                              <w:rFonts w:cs="Arial"/>
                              <w:b/>
                              <w:sz w:val="36"/>
                              <w:szCs w:val="36"/>
                            </w:rPr>
                            <w:t xml:space="preserve"> </w:t>
                          </w:r>
                        </w:p>
                        <w:p w:rsidR="00BF39D2" w:rsidRPr="000D2B9D" w:rsidRDefault="00BF39D2" w:rsidP="000D2B9D">
                          <w:pPr>
                            <w:rPr>
                              <w:lang w:val="es-ES_tradnl"/>
                            </w:rPr>
                          </w:pPr>
                        </w:p>
                        <w:p w:rsidR="00BF39D2" w:rsidRPr="00FE0D79" w:rsidRDefault="00BF39D2"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BF39D2" w:rsidRPr="00FE0D79" w:rsidRDefault="00BF39D2">
                          <w:pPr>
                            <w:jc w:val="center"/>
                            <w:rPr>
                              <w:rFonts w:ascii="Arial Narrow" w:hAnsi="Arial Narrow"/>
                            </w:rPr>
                          </w:pPr>
                        </w:p>
                        <w:p w:rsidR="00BF39D2" w:rsidRDefault="00BF39D2">
                          <w:pPr>
                            <w:jc w:val="center"/>
                          </w:pPr>
                        </w:p>
                        <w:p w:rsidR="00BF39D2" w:rsidRDefault="00BF39D2">
                          <w:pPr>
                            <w:jc w:val="center"/>
                          </w:pPr>
                        </w:p>
                        <w:p w:rsidR="00BF39D2" w:rsidRDefault="00BF39D2">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0CDF0D94" id="Rectangle 3" o:spid="_x0000_s1026"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" stroked="f" strokeweight="0">
              <v:textbox inset="0,0,0,0">
                <w:txbxContent>
                  <w:p w:rsidR="00BF39D2" w:rsidRPr="00D06730" w:rsidRDefault="00BF39D2" w:rsidP="00D06730">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rsidR="00BF39D2" w:rsidRPr="00FE0D79" w:rsidRDefault="00BF39D2">
                    <w:pPr>
                      <w:pStyle w:val="Ttulo3"/>
                      <w:rPr>
                        <w:rFonts w:ascii="Arial Narrow" w:hAnsi="Arial Narrow"/>
                      </w:rPr>
                    </w:pPr>
                  </w:p>
                  <w:p w:rsidR="00BF39D2" w:rsidRDefault="00BF39D2" w:rsidP="000D2B9D">
                    <w:pPr>
                      <w:pStyle w:val="Ttulo3"/>
                    </w:pPr>
                  </w:p>
                  <w:p w:rsidR="00BF39D2" w:rsidRDefault="00BF39D2" w:rsidP="000D2B9D">
                    <w:pPr>
                      <w:pStyle w:val="Ttulo3"/>
                      <w:rPr>
                        <w:rFonts w:cs="Arial"/>
                        <w:b/>
                        <w:sz w:val="36"/>
                        <w:szCs w:val="36"/>
                      </w:rPr>
                    </w:pPr>
                    <w:r w:rsidRPr="00FE0D79">
                      <w:t>RESOLUCIÓN N</w:t>
                    </w:r>
                    <w:r>
                      <w:t>o.______________</w:t>
                    </w:r>
                    <w:r>
                      <w:rPr>
                        <w:rFonts w:cs="Arial"/>
                        <w:b/>
                        <w:sz w:val="36"/>
                        <w:szCs w:val="36"/>
                      </w:rPr>
                      <w:t xml:space="preserve"> </w:t>
                    </w:r>
                  </w:p>
                  <w:p w:rsidR="00BF39D2" w:rsidRPr="000D2B9D" w:rsidRDefault="00BF39D2" w:rsidP="000D2B9D">
                    <w:pPr>
                      <w:rPr>
                        <w:lang w:val="es-ES_tradnl"/>
                      </w:rPr>
                    </w:pPr>
                  </w:p>
                  <w:p w:rsidR="00BF39D2" w:rsidRPr="00FE0D79" w:rsidRDefault="00BF39D2"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BF39D2" w:rsidRPr="00FE0D79" w:rsidRDefault="00BF39D2">
                    <w:pPr>
                      <w:jc w:val="center"/>
                      <w:rPr>
                        <w:rFonts w:ascii="Arial Narrow" w:hAnsi="Arial Narrow"/>
                      </w:rPr>
                    </w:pPr>
                  </w:p>
                  <w:p w:rsidR="00BF39D2" w:rsidRDefault="00BF39D2">
                    <w:pPr>
                      <w:jc w:val="center"/>
                    </w:pPr>
                  </w:p>
                  <w:p w:rsidR="00BF39D2" w:rsidRDefault="00BF39D2">
                    <w:pPr>
                      <w:jc w:val="center"/>
                    </w:pPr>
                  </w:p>
                  <w:p w:rsidR="00BF39D2" w:rsidRDefault="00BF39D2">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802EBF"/>
    <w:multiLevelType w:val="hybridMultilevel"/>
    <w:tmpl w:val="31D896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253D5688"/>
    <w:multiLevelType w:val="hybridMultilevel"/>
    <w:tmpl w:val="CA9C35D6"/>
    <w:lvl w:ilvl="0" w:tplc="D9203AA4">
      <w:start w:val="1"/>
      <w:numFmt w:val="decimal"/>
      <w:lvlText w:val="%1."/>
      <w:lvlJc w:val="left"/>
      <w:pPr>
        <w:tabs>
          <w:tab w:val="num" w:pos="720"/>
        </w:tabs>
        <w:ind w:left="720" w:hanging="360"/>
      </w:pPr>
    </w:lvl>
    <w:lvl w:ilvl="1" w:tplc="2B42EE52" w:tentative="1">
      <w:start w:val="1"/>
      <w:numFmt w:val="decimal"/>
      <w:lvlText w:val="%2."/>
      <w:lvlJc w:val="left"/>
      <w:pPr>
        <w:tabs>
          <w:tab w:val="num" w:pos="1440"/>
        </w:tabs>
        <w:ind w:left="1440" w:hanging="360"/>
      </w:pPr>
    </w:lvl>
    <w:lvl w:ilvl="2" w:tplc="89B42E62" w:tentative="1">
      <w:start w:val="1"/>
      <w:numFmt w:val="decimal"/>
      <w:lvlText w:val="%3."/>
      <w:lvlJc w:val="left"/>
      <w:pPr>
        <w:tabs>
          <w:tab w:val="num" w:pos="2160"/>
        </w:tabs>
        <w:ind w:left="2160" w:hanging="360"/>
      </w:pPr>
    </w:lvl>
    <w:lvl w:ilvl="3" w:tplc="D3A87B94" w:tentative="1">
      <w:start w:val="1"/>
      <w:numFmt w:val="decimal"/>
      <w:lvlText w:val="%4."/>
      <w:lvlJc w:val="left"/>
      <w:pPr>
        <w:tabs>
          <w:tab w:val="num" w:pos="2880"/>
        </w:tabs>
        <w:ind w:left="2880" w:hanging="360"/>
      </w:pPr>
    </w:lvl>
    <w:lvl w:ilvl="4" w:tplc="54A4709A" w:tentative="1">
      <w:start w:val="1"/>
      <w:numFmt w:val="decimal"/>
      <w:lvlText w:val="%5."/>
      <w:lvlJc w:val="left"/>
      <w:pPr>
        <w:tabs>
          <w:tab w:val="num" w:pos="3600"/>
        </w:tabs>
        <w:ind w:left="3600" w:hanging="360"/>
      </w:pPr>
    </w:lvl>
    <w:lvl w:ilvl="5" w:tplc="373E91A6" w:tentative="1">
      <w:start w:val="1"/>
      <w:numFmt w:val="decimal"/>
      <w:lvlText w:val="%6."/>
      <w:lvlJc w:val="left"/>
      <w:pPr>
        <w:tabs>
          <w:tab w:val="num" w:pos="4320"/>
        </w:tabs>
        <w:ind w:left="4320" w:hanging="360"/>
      </w:pPr>
    </w:lvl>
    <w:lvl w:ilvl="6" w:tplc="24EA9B70" w:tentative="1">
      <w:start w:val="1"/>
      <w:numFmt w:val="decimal"/>
      <w:lvlText w:val="%7."/>
      <w:lvlJc w:val="left"/>
      <w:pPr>
        <w:tabs>
          <w:tab w:val="num" w:pos="5040"/>
        </w:tabs>
        <w:ind w:left="5040" w:hanging="360"/>
      </w:pPr>
    </w:lvl>
    <w:lvl w:ilvl="7" w:tplc="7F2090B4" w:tentative="1">
      <w:start w:val="1"/>
      <w:numFmt w:val="decimal"/>
      <w:lvlText w:val="%8."/>
      <w:lvlJc w:val="left"/>
      <w:pPr>
        <w:tabs>
          <w:tab w:val="num" w:pos="5760"/>
        </w:tabs>
        <w:ind w:left="5760" w:hanging="360"/>
      </w:pPr>
    </w:lvl>
    <w:lvl w:ilvl="8" w:tplc="C4687930" w:tentative="1">
      <w:start w:val="1"/>
      <w:numFmt w:val="decimal"/>
      <w:lvlText w:val="%9."/>
      <w:lvlJc w:val="left"/>
      <w:pPr>
        <w:tabs>
          <w:tab w:val="num" w:pos="6480"/>
        </w:tabs>
        <w:ind w:left="6480" w:hanging="360"/>
      </w:pPr>
    </w:lvl>
  </w:abstractNum>
  <w:abstractNum w:abstractNumId="2" w15:restartNumberingAfterBreak="0">
    <w:nsid w:val="2555758E"/>
    <w:multiLevelType w:val="hybridMultilevel"/>
    <w:tmpl w:val="1A86EA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2ACA4B18"/>
    <w:multiLevelType w:val="hybridMultilevel"/>
    <w:tmpl w:val="0074AF86"/>
    <w:lvl w:ilvl="0" w:tplc="E6BAF524">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2FE75B6D"/>
    <w:multiLevelType w:val="hybridMultilevel"/>
    <w:tmpl w:val="DF22BE58"/>
    <w:lvl w:ilvl="0" w:tplc="EB581A1A">
      <w:numFmt w:val="bullet"/>
      <w:lvlText w:val="•"/>
      <w:lvlJc w:val="left"/>
      <w:pPr>
        <w:ind w:left="495" w:hanging="360"/>
      </w:pPr>
      <w:rPr>
        <w:rFonts w:ascii="Arial" w:eastAsia="Times New Roman" w:hAnsi="Arial" w:cs="Arial" w:hint="default"/>
      </w:rPr>
    </w:lvl>
    <w:lvl w:ilvl="1" w:tplc="240A0003" w:tentative="1">
      <w:start w:val="1"/>
      <w:numFmt w:val="bullet"/>
      <w:lvlText w:val="o"/>
      <w:lvlJc w:val="left"/>
      <w:pPr>
        <w:ind w:left="1215" w:hanging="360"/>
      </w:pPr>
      <w:rPr>
        <w:rFonts w:ascii="Courier New" w:hAnsi="Courier New" w:cs="Courier New" w:hint="default"/>
      </w:rPr>
    </w:lvl>
    <w:lvl w:ilvl="2" w:tplc="240A0005" w:tentative="1">
      <w:start w:val="1"/>
      <w:numFmt w:val="bullet"/>
      <w:lvlText w:val=""/>
      <w:lvlJc w:val="left"/>
      <w:pPr>
        <w:ind w:left="1935" w:hanging="360"/>
      </w:pPr>
      <w:rPr>
        <w:rFonts w:ascii="Wingdings" w:hAnsi="Wingdings" w:hint="default"/>
      </w:rPr>
    </w:lvl>
    <w:lvl w:ilvl="3" w:tplc="240A0001" w:tentative="1">
      <w:start w:val="1"/>
      <w:numFmt w:val="bullet"/>
      <w:lvlText w:val=""/>
      <w:lvlJc w:val="left"/>
      <w:pPr>
        <w:ind w:left="2655" w:hanging="360"/>
      </w:pPr>
      <w:rPr>
        <w:rFonts w:ascii="Symbol" w:hAnsi="Symbol" w:hint="default"/>
      </w:rPr>
    </w:lvl>
    <w:lvl w:ilvl="4" w:tplc="240A0003" w:tentative="1">
      <w:start w:val="1"/>
      <w:numFmt w:val="bullet"/>
      <w:lvlText w:val="o"/>
      <w:lvlJc w:val="left"/>
      <w:pPr>
        <w:ind w:left="3375" w:hanging="360"/>
      </w:pPr>
      <w:rPr>
        <w:rFonts w:ascii="Courier New" w:hAnsi="Courier New" w:cs="Courier New" w:hint="default"/>
      </w:rPr>
    </w:lvl>
    <w:lvl w:ilvl="5" w:tplc="240A0005" w:tentative="1">
      <w:start w:val="1"/>
      <w:numFmt w:val="bullet"/>
      <w:lvlText w:val=""/>
      <w:lvlJc w:val="left"/>
      <w:pPr>
        <w:ind w:left="4095" w:hanging="360"/>
      </w:pPr>
      <w:rPr>
        <w:rFonts w:ascii="Wingdings" w:hAnsi="Wingdings" w:hint="default"/>
      </w:rPr>
    </w:lvl>
    <w:lvl w:ilvl="6" w:tplc="240A0001" w:tentative="1">
      <w:start w:val="1"/>
      <w:numFmt w:val="bullet"/>
      <w:lvlText w:val=""/>
      <w:lvlJc w:val="left"/>
      <w:pPr>
        <w:ind w:left="4815" w:hanging="360"/>
      </w:pPr>
      <w:rPr>
        <w:rFonts w:ascii="Symbol" w:hAnsi="Symbol" w:hint="default"/>
      </w:rPr>
    </w:lvl>
    <w:lvl w:ilvl="7" w:tplc="240A0003" w:tentative="1">
      <w:start w:val="1"/>
      <w:numFmt w:val="bullet"/>
      <w:lvlText w:val="o"/>
      <w:lvlJc w:val="left"/>
      <w:pPr>
        <w:ind w:left="5535" w:hanging="360"/>
      </w:pPr>
      <w:rPr>
        <w:rFonts w:ascii="Courier New" w:hAnsi="Courier New" w:cs="Courier New" w:hint="default"/>
      </w:rPr>
    </w:lvl>
    <w:lvl w:ilvl="8" w:tplc="240A0005" w:tentative="1">
      <w:start w:val="1"/>
      <w:numFmt w:val="bullet"/>
      <w:lvlText w:val=""/>
      <w:lvlJc w:val="left"/>
      <w:pPr>
        <w:ind w:left="6255" w:hanging="360"/>
      </w:pPr>
      <w:rPr>
        <w:rFonts w:ascii="Wingdings" w:hAnsi="Wingdings" w:hint="default"/>
      </w:rPr>
    </w:lvl>
  </w:abstractNum>
  <w:abstractNum w:abstractNumId="5" w15:restartNumberingAfterBreak="0">
    <w:nsid w:val="3FA02CC3"/>
    <w:multiLevelType w:val="hybridMultilevel"/>
    <w:tmpl w:val="F70E8124"/>
    <w:lvl w:ilvl="0" w:tplc="240A0001">
      <w:start w:val="1"/>
      <w:numFmt w:val="bullet"/>
      <w:lvlText w:val=""/>
      <w:lvlJc w:val="left"/>
      <w:pPr>
        <w:ind w:left="858" w:hanging="360"/>
      </w:pPr>
      <w:rPr>
        <w:rFonts w:ascii="Symbol" w:hAnsi="Symbol" w:hint="default"/>
      </w:rPr>
    </w:lvl>
    <w:lvl w:ilvl="1" w:tplc="240A0003" w:tentative="1">
      <w:start w:val="1"/>
      <w:numFmt w:val="bullet"/>
      <w:lvlText w:val="o"/>
      <w:lvlJc w:val="left"/>
      <w:pPr>
        <w:ind w:left="1578" w:hanging="360"/>
      </w:pPr>
      <w:rPr>
        <w:rFonts w:ascii="Courier New" w:hAnsi="Courier New" w:cs="Courier New" w:hint="default"/>
      </w:rPr>
    </w:lvl>
    <w:lvl w:ilvl="2" w:tplc="240A0005" w:tentative="1">
      <w:start w:val="1"/>
      <w:numFmt w:val="bullet"/>
      <w:lvlText w:val=""/>
      <w:lvlJc w:val="left"/>
      <w:pPr>
        <w:ind w:left="2298" w:hanging="360"/>
      </w:pPr>
      <w:rPr>
        <w:rFonts w:ascii="Wingdings" w:hAnsi="Wingdings" w:hint="default"/>
      </w:rPr>
    </w:lvl>
    <w:lvl w:ilvl="3" w:tplc="240A0001" w:tentative="1">
      <w:start w:val="1"/>
      <w:numFmt w:val="bullet"/>
      <w:lvlText w:val=""/>
      <w:lvlJc w:val="left"/>
      <w:pPr>
        <w:ind w:left="3018" w:hanging="360"/>
      </w:pPr>
      <w:rPr>
        <w:rFonts w:ascii="Symbol" w:hAnsi="Symbol" w:hint="default"/>
      </w:rPr>
    </w:lvl>
    <w:lvl w:ilvl="4" w:tplc="240A0003" w:tentative="1">
      <w:start w:val="1"/>
      <w:numFmt w:val="bullet"/>
      <w:lvlText w:val="o"/>
      <w:lvlJc w:val="left"/>
      <w:pPr>
        <w:ind w:left="3738" w:hanging="360"/>
      </w:pPr>
      <w:rPr>
        <w:rFonts w:ascii="Courier New" w:hAnsi="Courier New" w:cs="Courier New" w:hint="default"/>
      </w:rPr>
    </w:lvl>
    <w:lvl w:ilvl="5" w:tplc="240A0005" w:tentative="1">
      <w:start w:val="1"/>
      <w:numFmt w:val="bullet"/>
      <w:lvlText w:val=""/>
      <w:lvlJc w:val="left"/>
      <w:pPr>
        <w:ind w:left="4458" w:hanging="360"/>
      </w:pPr>
      <w:rPr>
        <w:rFonts w:ascii="Wingdings" w:hAnsi="Wingdings" w:hint="default"/>
      </w:rPr>
    </w:lvl>
    <w:lvl w:ilvl="6" w:tplc="240A0001" w:tentative="1">
      <w:start w:val="1"/>
      <w:numFmt w:val="bullet"/>
      <w:lvlText w:val=""/>
      <w:lvlJc w:val="left"/>
      <w:pPr>
        <w:ind w:left="5178" w:hanging="360"/>
      </w:pPr>
      <w:rPr>
        <w:rFonts w:ascii="Symbol" w:hAnsi="Symbol" w:hint="default"/>
      </w:rPr>
    </w:lvl>
    <w:lvl w:ilvl="7" w:tplc="240A0003" w:tentative="1">
      <w:start w:val="1"/>
      <w:numFmt w:val="bullet"/>
      <w:lvlText w:val="o"/>
      <w:lvlJc w:val="left"/>
      <w:pPr>
        <w:ind w:left="5898" w:hanging="360"/>
      </w:pPr>
      <w:rPr>
        <w:rFonts w:ascii="Courier New" w:hAnsi="Courier New" w:cs="Courier New" w:hint="default"/>
      </w:rPr>
    </w:lvl>
    <w:lvl w:ilvl="8" w:tplc="240A0005" w:tentative="1">
      <w:start w:val="1"/>
      <w:numFmt w:val="bullet"/>
      <w:lvlText w:val=""/>
      <w:lvlJc w:val="left"/>
      <w:pPr>
        <w:ind w:left="6618" w:hanging="360"/>
      </w:pPr>
      <w:rPr>
        <w:rFonts w:ascii="Wingdings" w:hAnsi="Wingdings" w:hint="default"/>
      </w:rPr>
    </w:lvl>
  </w:abstractNum>
  <w:abstractNum w:abstractNumId="6" w15:restartNumberingAfterBreak="0">
    <w:nsid w:val="4EED184A"/>
    <w:multiLevelType w:val="hybridMultilevel"/>
    <w:tmpl w:val="19DC71C6"/>
    <w:styleLink w:val="Estiloimportado3"/>
    <w:lvl w:ilvl="0" w:tplc="44E2FDF0">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3A523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3E7BBE">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DC413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306729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008E5C">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889CE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14C724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4E4AB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87578"/>
    <w:multiLevelType w:val="hybridMultilevel"/>
    <w:tmpl w:val="9ED00BDA"/>
    <w:lvl w:ilvl="0" w:tplc="EB581A1A">
      <w:numFmt w:val="bullet"/>
      <w:lvlText w:val="•"/>
      <w:lvlJc w:val="left"/>
      <w:pPr>
        <w:ind w:left="630" w:hanging="360"/>
      </w:pPr>
      <w:rPr>
        <w:rFonts w:ascii="Arial" w:eastAsia="Times New Roman" w:hAnsi="Arial" w:cs="Arial" w:hint="default"/>
      </w:rPr>
    </w:lvl>
    <w:lvl w:ilvl="1" w:tplc="240A0003" w:tentative="1">
      <w:start w:val="1"/>
      <w:numFmt w:val="bullet"/>
      <w:lvlText w:val="o"/>
      <w:lvlJc w:val="left"/>
      <w:pPr>
        <w:ind w:left="1575" w:hanging="360"/>
      </w:pPr>
      <w:rPr>
        <w:rFonts w:ascii="Courier New" w:hAnsi="Courier New" w:cs="Courier New" w:hint="default"/>
      </w:rPr>
    </w:lvl>
    <w:lvl w:ilvl="2" w:tplc="240A0005" w:tentative="1">
      <w:start w:val="1"/>
      <w:numFmt w:val="bullet"/>
      <w:lvlText w:val=""/>
      <w:lvlJc w:val="left"/>
      <w:pPr>
        <w:ind w:left="2295" w:hanging="360"/>
      </w:pPr>
      <w:rPr>
        <w:rFonts w:ascii="Wingdings" w:hAnsi="Wingdings" w:hint="default"/>
      </w:rPr>
    </w:lvl>
    <w:lvl w:ilvl="3" w:tplc="240A0001" w:tentative="1">
      <w:start w:val="1"/>
      <w:numFmt w:val="bullet"/>
      <w:lvlText w:val=""/>
      <w:lvlJc w:val="left"/>
      <w:pPr>
        <w:ind w:left="3015" w:hanging="360"/>
      </w:pPr>
      <w:rPr>
        <w:rFonts w:ascii="Symbol" w:hAnsi="Symbol" w:hint="default"/>
      </w:rPr>
    </w:lvl>
    <w:lvl w:ilvl="4" w:tplc="240A0003" w:tentative="1">
      <w:start w:val="1"/>
      <w:numFmt w:val="bullet"/>
      <w:lvlText w:val="o"/>
      <w:lvlJc w:val="left"/>
      <w:pPr>
        <w:ind w:left="3735" w:hanging="360"/>
      </w:pPr>
      <w:rPr>
        <w:rFonts w:ascii="Courier New" w:hAnsi="Courier New" w:cs="Courier New" w:hint="default"/>
      </w:rPr>
    </w:lvl>
    <w:lvl w:ilvl="5" w:tplc="240A0005" w:tentative="1">
      <w:start w:val="1"/>
      <w:numFmt w:val="bullet"/>
      <w:lvlText w:val=""/>
      <w:lvlJc w:val="left"/>
      <w:pPr>
        <w:ind w:left="4455" w:hanging="360"/>
      </w:pPr>
      <w:rPr>
        <w:rFonts w:ascii="Wingdings" w:hAnsi="Wingdings" w:hint="default"/>
      </w:rPr>
    </w:lvl>
    <w:lvl w:ilvl="6" w:tplc="240A0001" w:tentative="1">
      <w:start w:val="1"/>
      <w:numFmt w:val="bullet"/>
      <w:lvlText w:val=""/>
      <w:lvlJc w:val="left"/>
      <w:pPr>
        <w:ind w:left="5175" w:hanging="360"/>
      </w:pPr>
      <w:rPr>
        <w:rFonts w:ascii="Symbol" w:hAnsi="Symbol" w:hint="default"/>
      </w:rPr>
    </w:lvl>
    <w:lvl w:ilvl="7" w:tplc="240A0003" w:tentative="1">
      <w:start w:val="1"/>
      <w:numFmt w:val="bullet"/>
      <w:lvlText w:val="o"/>
      <w:lvlJc w:val="left"/>
      <w:pPr>
        <w:ind w:left="5895" w:hanging="360"/>
      </w:pPr>
      <w:rPr>
        <w:rFonts w:ascii="Courier New" w:hAnsi="Courier New" w:cs="Courier New" w:hint="default"/>
      </w:rPr>
    </w:lvl>
    <w:lvl w:ilvl="8" w:tplc="240A0005" w:tentative="1">
      <w:start w:val="1"/>
      <w:numFmt w:val="bullet"/>
      <w:lvlText w:val=""/>
      <w:lvlJc w:val="left"/>
      <w:pPr>
        <w:ind w:left="6615" w:hanging="360"/>
      </w:pPr>
      <w:rPr>
        <w:rFonts w:ascii="Wingdings" w:hAnsi="Wingdings" w:hint="default"/>
      </w:rPr>
    </w:lvl>
  </w:abstractNum>
  <w:abstractNum w:abstractNumId="8" w15:restartNumberingAfterBreak="0">
    <w:nsid w:val="57E254D9"/>
    <w:multiLevelType w:val="hybridMultilevel"/>
    <w:tmpl w:val="824642D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10" w15:restartNumberingAfterBreak="0">
    <w:nsid w:val="59665DD6"/>
    <w:multiLevelType w:val="hybridMultilevel"/>
    <w:tmpl w:val="38D836AC"/>
    <w:lvl w:ilvl="0" w:tplc="E6BAF524">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5CB30E00"/>
    <w:multiLevelType w:val="hybridMultilevel"/>
    <w:tmpl w:val="98A437DA"/>
    <w:styleLink w:val="Estiloimportado4"/>
    <w:lvl w:ilvl="0" w:tplc="305EEFA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ACC39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E44BD8">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987DA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1EA68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DA4A28">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C6675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F2210D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C4E886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733C0A31"/>
    <w:multiLevelType w:val="hybridMultilevel"/>
    <w:tmpl w:val="63A2B8A4"/>
    <w:lvl w:ilvl="0" w:tplc="EB581A1A">
      <w:numFmt w:val="bullet"/>
      <w:lvlText w:val="•"/>
      <w:lvlJc w:val="left"/>
      <w:pPr>
        <w:ind w:left="495"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752D122B"/>
    <w:multiLevelType w:val="hybridMultilevel"/>
    <w:tmpl w:val="5FACDB52"/>
    <w:styleLink w:val="Estiloimportado2"/>
    <w:lvl w:ilvl="0" w:tplc="56CC64D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EACD7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E23D74">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6C4F0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761D4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2EFC20">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5246A0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EEA8C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30E99D8">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7E0007C9"/>
    <w:multiLevelType w:val="hybridMultilevel"/>
    <w:tmpl w:val="F718FF5C"/>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9"/>
  </w:num>
  <w:num w:numId="2">
    <w:abstractNumId w:val="13"/>
  </w:num>
  <w:num w:numId="3">
    <w:abstractNumId w:val="6"/>
  </w:num>
  <w:num w:numId="4">
    <w:abstractNumId w:val="11"/>
  </w:num>
  <w:num w:numId="5">
    <w:abstractNumId w:val="2"/>
  </w:num>
  <w:num w:numId="6">
    <w:abstractNumId w:val="14"/>
  </w:num>
  <w:num w:numId="7">
    <w:abstractNumId w:val="8"/>
  </w:num>
  <w:num w:numId="8">
    <w:abstractNumId w:val="1"/>
  </w:num>
  <w:num w:numId="9">
    <w:abstractNumId w:val="0"/>
  </w:num>
  <w:num w:numId="10">
    <w:abstractNumId w:val="5"/>
  </w:num>
  <w:num w:numId="11">
    <w:abstractNumId w:val="4"/>
  </w:num>
  <w:num w:numId="12">
    <w:abstractNumId w:val="7"/>
  </w:num>
  <w:num w:numId="13">
    <w:abstractNumId w:val="12"/>
  </w:num>
  <w:num w:numId="14">
    <w:abstractNumId w:val="3"/>
  </w:num>
  <w:num w:numId="15">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activeWritingStyle w:appName="MSWord" w:lang="pt-BR"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1"/>
  <w:activeWritingStyle w:appName="MSWord" w:lang="en-US" w:vendorID="64" w:dllVersion="0" w:nlCheck="1" w:checkStyle="1"/>
  <w:activeWritingStyle w:appName="MSWord" w:lang="es-ES" w:vendorID="64" w:dllVersion="6" w:nlCheck="1" w:checkStyle="0"/>
  <w:activeWritingStyle w:appName="MSWord" w:lang="pt-BR" w:vendorID="64" w:dllVersion="6" w:nlCheck="1" w:checkStyle="0"/>
  <w:activeWritingStyle w:appName="MSWord" w:lang="es-ES_tradnl" w:vendorID="64" w:dllVersion="6" w:nlCheck="1" w:checkStyle="0"/>
  <w:activeWritingStyle w:appName="MSWord" w:lang="es-CO" w:vendorID="64" w:dllVersion="6" w:nlCheck="1" w:checkStyle="0"/>
  <w:activeWritingStyle w:appName="MSWord" w:lang="en-US" w:vendorID="64" w:dllVersion="6" w:nlCheck="1" w:checkStyle="0"/>
  <w:activeWritingStyle w:appName="MSWord" w:lang="es-MX" w:vendorID="64" w:dllVersion="6" w:nlCheck="1" w:checkStyle="1"/>
  <w:activeWritingStyle w:appName="MSWord" w:lang="es-CO"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pt-B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2047"/>
    <w:rsid w:val="00003E9E"/>
    <w:rsid w:val="00005CCC"/>
    <w:rsid w:val="0001175A"/>
    <w:rsid w:val="00016EF1"/>
    <w:rsid w:val="00021DD6"/>
    <w:rsid w:val="00023557"/>
    <w:rsid w:val="00025392"/>
    <w:rsid w:val="00026925"/>
    <w:rsid w:val="000309DF"/>
    <w:rsid w:val="0003269A"/>
    <w:rsid w:val="0003307A"/>
    <w:rsid w:val="00033BD5"/>
    <w:rsid w:val="00034A44"/>
    <w:rsid w:val="00040C0E"/>
    <w:rsid w:val="000437AA"/>
    <w:rsid w:val="00044653"/>
    <w:rsid w:val="000450AA"/>
    <w:rsid w:val="000455BD"/>
    <w:rsid w:val="00046C87"/>
    <w:rsid w:val="00054E1F"/>
    <w:rsid w:val="00060904"/>
    <w:rsid w:val="00060A27"/>
    <w:rsid w:val="00067860"/>
    <w:rsid w:val="00070215"/>
    <w:rsid w:val="000726B9"/>
    <w:rsid w:val="00072C34"/>
    <w:rsid w:val="0007357C"/>
    <w:rsid w:val="000743AB"/>
    <w:rsid w:val="00075691"/>
    <w:rsid w:val="000804D7"/>
    <w:rsid w:val="0008405E"/>
    <w:rsid w:val="000858C2"/>
    <w:rsid w:val="000905E4"/>
    <w:rsid w:val="00092070"/>
    <w:rsid w:val="000A1C11"/>
    <w:rsid w:val="000A3562"/>
    <w:rsid w:val="000A3EBE"/>
    <w:rsid w:val="000A4972"/>
    <w:rsid w:val="000A64A4"/>
    <w:rsid w:val="000A68B7"/>
    <w:rsid w:val="000A6C85"/>
    <w:rsid w:val="000A76CD"/>
    <w:rsid w:val="000B0892"/>
    <w:rsid w:val="000B155C"/>
    <w:rsid w:val="000B2D49"/>
    <w:rsid w:val="000B6D2B"/>
    <w:rsid w:val="000C5DD2"/>
    <w:rsid w:val="000D078A"/>
    <w:rsid w:val="000D17B3"/>
    <w:rsid w:val="000D2B9D"/>
    <w:rsid w:val="000D3BCA"/>
    <w:rsid w:val="000E0681"/>
    <w:rsid w:val="000E1224"/>
    <w:rsid w:val="000E4EDC"/>
    <w:rsid w:val="000F037E"/>
    <w:rsid w:val="000F3392"/>
    <w:rsid w:val="000F40BE"/>
    <w:rsid w:val="000F5823"/>
    <w:rsid w:val="00100EC7"/>
    <w:rsid w:val="00101FEF"/>
    <w:rsid w:val="00106049"/>
    <w:rsid w:val="001101A9"/>
    <w:rsid w:val="001118C1"/>
    <w:rsid w:val="001157D2"/>
    <w:rsid w:val="00116D7B"/>
    <w:rsid w:val="00117420"/>
    <w:rsid w:val="001216BE"/>
    <w:rsid w:val="00121F5E"/>
    <w:rsid w:val="0012360F"/>
    <w:rsid w:val="0012383A"/>
    <w:rsid w:val="00126891"/>
    <w:rsid w:val="00127463"/>
    <w:rsid w:val="001276FA"/>
    <w:rsid w:val="00130264"/>
    <w:rsid w:val="00131F48"/>
    <w:rsid w:val="001355CA"/>
    <w:rsid w:val="00137AFF"/>
    <w:rsid w:val="0014078A"/>
    <w:rsid w:val="001410D6"/>
    <w:rsid w:val="00141B2A"/>
    <w:rsid w:val="00141F40"/>
    <w:rsid w:val="00151FB0"/>
    <w:rsid w:val="001562C7"/>
    <w:rsid w:val="00157F08"/>
    <w:rsid w:val="001608B6"/>
    <w:rsid w:val="0016477D"/>
    <w:rsid w:val="001654D0"/>
    <w:rsid w:val="00167134"/>
    <w:rsid w:val="00176923"/>
    <w:rsid w:val="00177BA5"/>
    <w:rsid w:val="00182382"/>
    <w:rsid w:val="001847A2"/>
    <w:rsid w:val="00186CD2"/>
    <w:rsid w:val="001908C5"/>
    <w:rsid w:val="00194766"/>
    <w:rsid w:val="00194C08"/>
    <w:rsid w:val="00195557"/>
    <w:rsid w:val="00196438"/>
    <w:rsid w:val="001A06BF"/>
    <w:rsid w:val="001A2A72"/>
    <w:rsid w:val="001A3A30"/>
    <w:rsid w:val="001A7C57"/>
    <w:rsid w:val="001B0305"/>
    <w:rsid w:val="001B0742"/>
    <w:rsid w:val="001B2502"/>
    <w:rsid w:val="001B30AB"/>
    <w:rsid w:val="001B40DD"/>
    <w:rsid w:val="001B6DA6"/>
    <w:rsid w:val="001C2169"/>
    <w:rsid w:val="001C3157"/>
    <w:rsid w:val="001C3C14"/>
    <w:rsid w:val="001D288E"/>
    <w:rsid w:val="001D2B2F"/>
    <w:rsid w:val="001D2D77"/>
    <w:rsid w:val="001D410F"/>
    <w:rsid w:val="001D4A90"/>
    <w:rsid w:val="001D5E12"/>
    <w:rsid w:val="001D7520"/>
    <w:rsid w:val="001D79EB"/>
    <w:rsid w:val="001E1C3B"/>
    <w:rsid w:val="001E6051"/>
    <w:rsid w:val="001E71F7"/>
    <w:rsid w:val="001E75C1"/>
    <w:rsid w:val="001F0124"/>
    <w:rsid w:val="001F2527"/>
    <w:rsid w:val="001F4604"/>
    <w:rsid w:val="001F5AF7"/>
    <w:rsid w:val="002000F3"/>
    <w:rsid w:val="00211BDF"/>
    <w:rsid w:val="0021262B"/>
    <w:rsid w:val="00214662"/>
    <w:rsid w:val="002155CF"/>
    <w:rsid w:val="00226A9C"/>
    <w:rsid w:val="00230046"/>
    <w:rsid w:val="002302FE"/>
    <w:rsid w:val="00231728"/>
    <w:rsid w:val="0023241C"/>
    <w:rsid w:val="00233E36"/>
    <w:rsid w:val="002343FB"/>
    <w:rsid w:val="002368D8"/>
    <w:rsid w:val="00237DAC"/>
    <w:rsid w:val="00241310"/>
    <w:rsid w:val="00246257"/>
    <w:rsid w:val="00247760"/>
    <w:rsid w:val="0025389C"/>
    <w:rsid w:val="00255B33"/>
    <w:rsid w:val="00257561"/>
    <w:rsid w:val="0025775D"/>
    <w:rsid w:val="00260E50"/>
    <w:rsid w:val="00260F4E"/>
    <w:rsid w:val="002618DA"/>
    <w:rsid w:val="002656FD"/>
    <w:rsid w:val="00270FF9"/>
    <w:rsid w:val="002757E2"/>
    <w:rsid w:val="00277EBA"/>
    <w:rsid w:val="00282A13"/>
    <w:rsid w:val="00282A83"/>
    <w:rsid w:val="0028357C"/>
    <w:rsid w:val="00284125"/>
    <w:rsid w:val="002845CB"/>
    <w:rsid w:val="00287FD1"/>
    <w:rsid w:val="002907B8"/>
    <w:rsid w:val="00290DB4"/>
    <w:rsid w:val="00292325"/>
    <w:rsid w:val="00294622"/>
    <w:rsid w:val="00296B24"/>
    <w:rsid w:val="00296E8A"/>
    <w:rsid w:val="00297D73"/>
    <w:rsid w:val="002A13B9"/>
    <w:rsid w:val="002A1B6D"/>
    <w:rsid w:val="002A2E98"/>
    <w:rsid w:val="002A51AC"/>
    <w:rsid w:val="002A64F9"/>
    <w:rsid w:val="002B5D1D"/>
    <w:rsid w:val="002C43A9"/>
    <w:rsid w:val="002C4783"/>
    <w:rsid w:val="002C5A3E"/>
    <w:rsid w:val="002C6190"/>
    <w:rsid w:val="002C6AD9"/>
    <w:rsid w:val="002D717A"/>
    <w:rsid w:val="002E0CA7"/>
    <w:rsid w:val="002E1A0C"/>
    <w:rsid w:val="002E6841"/>
    <w:rsid w:val="002E7922"/>
    <w:rsid w:val="002F26DA"/>
    <w:rsid w:val="003012AA"/>
    <w:rsid w:val="00301EED"/>
    <w:rsid w:val="00305439"/>
    <w:rsid w:val="00311DB7"/>
    <w:rsid w:val="00312226"/>
    <w:rsid w:val="00312C9B"/>
    <w:rsid w:val="00314E76"/>
    <w:rsid w:val="00315329"/>
    <w:rsid w:val="0031581E"/>
    <w:rsid w:val="0031799B"/>
    <w:rsid w:val="00321DF3"/>
    <w:rsid w:val="00322343"/>
    <w:rsid w:val="00326B9A"/>
    <w:rsid w:val="00327421"/>
    <w:rsid w:val="0033261A"/>
    <w:rsid w:val="003353E7"/>
    <w:rsid w:val="00337D4B"/>
    <w:rsid w:val="00340546"/>
    <w:rsid w:val="00343DB0"/>
    <w:rsid w:val="00344F7E"/>
    <w:rsid w:val="003518BC"/>
    <w:rsid w:val="00353AD0"/>
    <w:rsid w:val="003559A8"/>
    <w:rsid w:val="0036310C"/>
    <w:rsid w:val="0036564E"/>
    <w:rsid w:val="00370E36"/>
    <w:rsid w:val="00373EEC"/>
    <w:rsid w:val="0037727B"/>
    <w:rsid w:val="00377B66"/>
    <w:rsid w:val="00380B2B"/>
    <w:rsid w:val="00383133"/>
    <w:rsid w:val="0038720A"/>
    <w:rsid w:val="0038780F"/>
    <w:rsid w:val="003930B2"/>
    <w:rsid w:val="003A7B64"/>
    <w:rsid w:val="003A7D92"/>
    <w:rsid w:val="003B0358"/>
    <w:rsid w:val="003B186C"/>
    <w:rsid w:val="003B1B57"/>
    <w:rsid w:val="003B24FD"/>
    <w:rsid w:val="003B2701"/>
    <w:rsid w:val="003B5D54"/>
    <w:rsid w:val="003C1E81"/>
    <w:rsid w:val="003C2442"/>
    <w:rsid w:val="003C57F5"/>
    <w:rsid w:val="003C7597"/>
    <w:rsid w:val="003D027B"/>
    <w:rsid w:val="003D058E"/>
    <w:rsid w:val="003D3A4F"/>
    <w:rsid w:val="003E2C55"/>
    <w:rsid w:val="003E5BD8"/>
    <w:rsid w:val="003E64C3"/>
    <w:rsid w:val="003F0036"/>
    <w:rsid w:val="003F1E87"/>
    <w:rsid w:val="003F5A86"/>
    <w:rsid w:val="003F7EA4"/>
    <w:rsid w:val="003F7F1C"/>
    <w:rsid w:val="0040022B"/>
    <w:rsid w:val="0040280F"/>
    <w:rsid w:val="00405895"/>
    <w:rsid w:val="004101E9"/>
    <w:rsid w:val="004105D0"/>
    <w:rsid w:val="00416F9D"/>
    <w:rsid w:val="00423CC6"/>
    <w:rsid w:val="0042639D"/>
    <w:rsid w:val="0042715A"/>
    <w:rsid w:val="00427F33"/>
    <w:rsid w:val="004354F2"/>
    <w:rsid w:val="00441B83"/>
    <w:rsid w:val="004421E6"/>
    <w:rsid w:val="00442282"/>
    <w:rsid w:val="004438EB"/>
    <w:rsid w:val="00450DC1"/>
    <w:rsid w:val="00455947"/>
    <w:rsid w:val="00456DC0"/>
    <w:rsid w:val="0046090F"/>
    <w:rsid w:val="00461780"/>
    <w:rsid w:val="00463ED1"/>
    <w:rsid w:val="00464306"/>
    <w:rsid w:val="00464443"/>
    <w:rsid w:val="00464AF1"/>
    <w:rsid w:val="004651E0"/>
    <w:rsid w:val="004656A5"/>
    <w:rsid w:val="00471F3D"/>
    <w:rsid w:val="00474984"/>
    <w:rsid w:val="00474DBB"/>
    <w:rsid w:val="004762DE"/>
    <w:rsid w:val="004819D3"/>
    <w:rsid w:val="00494AAB"/>
    <w:rsid w:val="004A2952"/>
    <w:rsid w:val="004A43A0"/>
    <w:rsid w:val="004B0749"/>
    <w:rsid w:val="004B1E0D"/>
    <w:rsid w:val="004B5696"/>
    <w:rsid w:val="004C034D"/>
    <w:rsid w:val="004C0835"/>
    <w:rsid w:val="004C0FAA"/>
    <w:rsid w:val="004C2FBF"/>
    <w:rsid w:val="004C487B"/>
    <w:rsid w:val="004D1C4D"/>
    <w:rsid w:val="004D3E49"/>
    <w:rsid w:val="004D3EA5"/>
    <w:rsid w:val="004D5173"/>
    <w:rsid w:val="004D56AE"/>
    <w:rsid w:val="004E052A"/>
    <w:rsid w:val="004E34B4"/>
    <w:rsid w:val="004F20AA"/>
    <w:rsid w:val="004F2AE2"/>
    <w:rsid w:val="004F4BC8"/>
    <w:rsid w:val="00501AC5"/>
    <w:rsid w:val="00510E92"/>
    <w:rsid w:val="00511FB9"/>
    <w:rsid w:val="00513410"/>
    <w:rsid w:val="005137EC"/>
    <w:rsid w:val="00514390"/>
    <w:rsid w:val="00521E4B"/>
    <w:rsid w:val="00523778"/>
    <w:rsid w:val="00523CB1"/>
    <w:rsid w:val="00523D7D"/>
    <w:rsid w:val="005265F3"/>
    <w:rsid w:val="00533C60"/>
    <w:rsid w:val="005344AB"/>
    <w:rsid w:val="00535287"/>
    <w:rsid w:val="00535C0C"/>
    <w:rsid w:val="005371A2"/>
    <w:rsid w:val="00542525"/>
    <w:rsid w:val="00542F0C"/>
    <w:rsid w:val="00544037"/>
    <w:rsid w:val="0054409B"/>
    <w:rsid w:val="0054460F"/>
    <w:rsid w:val="00544EA2"/>
    <w:rsid w:val="00550C64"/>
    <w:rsid w:val="00551B15"/>
    <w:rsid w:val="00551D47"/>
    <w:rsid w:val="005540EA"/>
    <w:rsid w:val="0055467F"/>
    <w:rsid w:val="00556A80"/>
    <w:rsid w:val="00560A86"/>
    <w:rsid w:val="00562300"/>
    <w:rsid w:val="00562935"/>
    <w:rsid w:val="00567E35"/>
    <w:rsid w:val="0057219F"/>
    <w:rsid w:val="00572688"/>
    <w:rsid w:val="00572CC3"/>
    <w:rsid w:val="0057340D"/>
    <w:rsid w:val="005762C9"/>
    <w:rsid w:val="005811FD"/>
    <w:rsid w:val="00582367"/>
    <w:rsid w:val="00583B85"/>
    <w:rsid w:val="005845FF"/>
    <w:rsid w:val="0058519C"/>
    <w:rsid w:val="00587183"/>
    <w:rsid w:val="005877C9"/>
    <w:rsid w:val="00587FBD"/>
    <w:rsid w:val="00592D83"/>
    <w:rsid w:val="005930EC"/>
    <w:rsid w:val="00594087"/>
    <w:rsid w:val="005A3B3D"/>
    <w:rsid w:val="005A53CB"/>
    <w:rsid w:val="005A5A59"/>
    <w:rsid w:val="005A5DD1"/>
    <w:rsid w:val="005C0E37"/>
    <w:rsid w:val="005C3532"/>
    <w:rsid w:val="005C4538"/>
    <w:rsid w:val="005C6F83"/>
    <w:rsid w:val="005C71F8"/>
    <w:rsid w:val="005D3808"/>
    <w:rsid w:val="005D3A11"/>
    <w:rsid w:val="005E174E"/>
    <w:rsid w:val="005E4944"/>
    <w:rsid w:val="005E60CB"/>
    <w:rsid w:val="005F1067"/>
    <w:rsid w:val="005F3012"/>
    <w:rsid w:val="005F565D"/>
    <w:rsid w:val="005F7BC3"/>
    <w:rsid w:val="0060126F"/>
    <w:rsid w:val="006051C0"/>
    <w:rsid w:val="00606135"/>
    <w:rsid w:val="00606CA5"/>
    <w:rsid w:val="00607FA5"/>
    <w:rsid w:val="0061071C"/>
    <w:rsid w:val="00610ED7"/>
    <w:rsid w:val="00611A12"/>
    <w:rsid w:val="006128F3"/>
    <w:rsid w:val="006171D4"/>
    <w:rsid w:val="00624C47"/>
    <w:rsid w:val="00625EC2"/>
    <w:rsid w:val="0062759F"/>
    <w:rsid w:val="00631AA3"/>
    <w:rsid w:val="00635557"/>
    <w:rsid w:val="00637A30"/>
    <w:rsid w:val="00637A41"/>
    <w:rsid w:val="00641D25"/>
    <w:rsid w:val="006474C9"/>
    <w:rsid w:val="006500D9"/>
    <w:rsid w:val="006517FD"/>
    <w:rsid w:val="00652252"/>
    <w:rsid w:val="00652A5F"/>
    <w:rsid w:val="00652F49"/>
    <w:rsid w:val="00654998"/>
    <w:rsid w:val="00662A49"/>
    <w:rsid w:val="00663B03"/>
    <w:rsid w:val="00666E15"/>
    <w:rsid w:val="00667DC9"/>
    <w:rsid w:val="00671F47"/>
    <w:rsid w:val="0067259A"/>
    <w:rsid w:val="00672E75"/>
    <w:rsid w:val="00673ABD"/>
    <w:rsid w:val="00676010"/>
    <w:rsid w:val="00676197"/>
    <w:rsid w:val="006778AE"/>
    <w:rsid w:val="006825AD"/>
    <w:rsid w:val="00683B2C"/>
    <w:rsid w:val="006850B1"/>
    <w:rsid w:val="00685986"/>
    <w:rsid w:val="006861ED"/>
    <w:rsid w:val="00686213"/>
    <w:rsid w:val="0068654B"/>
    <w:rsid w:val="006922CF"/>
    <w:rsid w:val="0069793B"/>
    <w:rsid w:val="006A03A7"/>
    <w:rsid w:val="006A0470"/>
    <w:rsid w:val="006A0657"/>
    <w:rsid w:val="006A1598"/>
    <w:rsid w:val="006A40BD"/>
    <w:rsid w:val="006A5E5C"/>
    <w:rsid w:val="006A7C99"/>
    <w:rsid w:val="006B0192"/>
    <w:rsid w:val="006B56E5"/>
    <w:rsid w:val="006B5966"/>
    <w:rsid w:val="006C2276"/>
    <w:rsid w:val="006C4DFE"/>
    <w:rsid w:val="006C5628"/>
    <w:rsid w:val="006C5E97"/>
    <w:rsid w:val="006C6081"/>
    <w:rsid w:val="006D0E04"/>
    <w:rsid w:val="006D29EB"/>
    <w:rsid w:val="006D5346"/>
    <w:rsid w:val="006D63DE"/>
    <w:rsid w:val="006D6FA5"/>
    <w:rsid w:val="006E1492"/>
    <w:rsid w:val="006E2142"/>
    <w:rsid w:val="006E3C77"/>
    <w:rsid w:val="006E5187"/>
    <w:rsid w:val="006E5260"/>
    <w:rsid w:val="006F0F04"/>
    <w:rsid w:val="006F1D9D"/>
    <w:rsid w:val="006F2AA9"/>
    <w:rsid w:val="006F33BD"/>
    <w:rsid w:val="006F6370"/>
    <w:rsid w:val="006F7332"/>
    <w:rsid w:val="007013D4"/>
    <w:rsid w:val="00701DFD"/>
    <w:rsid w:val="007021F6"/>
    <w:rsid w:val="00703E29"/>
    <w:rsid w:val="00704827"/>
    <w:rsid w:val="00704EF7"/>
    <w:rsid w:val="0071135E"/>
    <w:rsid w:val="00712D1E"/>
    <w:rsid w:val="007134A0"/>
    <w:rsid w:val="00715026"/>
    <w:rsid w:val="00717344"/>
    <w:rsid w:val="007223B9"/>
    <w:rsid w:val="00723575"/>
    <w:rsid w:val="0072622C"/>
    <w:rsid w:val="00727C3B"/>
    <w:rsid w:val="00727C92"/>
    <w:rsid w:val="007336D7"/>
    <w:rsid w:val="00734F62"/>
    <w:rsid w:val="007379C2"/>
    <w:rsid w:val="00741DD4"/>
    <w:rsid w:val="007447D5"/>
    <w:rsid w:val="007460A3"/>
    <w:rsid w:val="0074621C"/>
    <w:rsid w:val="0075501E"/>
    <w:rsid w:val="0075614F"/>
    <w:rsid w:val="00760802"/>
    <w:rsid w:val="00764971"/>
    <w:rsid w:val="00766375"/>
    <w:rsid w:val="00766EAB"/>
    <w:rsid w:val="00770284"/>
    <w:rsid w:val="00773374"/>
    <w:rsid w:val="00776053"/>
    <w:rsid w:val="0077776E"/>
    <w:rsid w:val="00777A32"/>
    <w:rsid w:val="007831D1"/>
    <w:rsid w:val="00785BF0"/>
    <w:rsid w:val="00790FDF"/>
    <w:rsid w:val="00793E3C"/>
    <w:rsid w:val="00794C42"/>
    <w:rsid w:val="007A0C90"/>
    <w:rsid w:val="007A138C"/>
    <w:rsid w:val="007A2C91"/>
    <w:rsid w:val="007A69C6"/>
    <w:rsid w:val="007B271D"/>
    <w:rsid w:val="007B2A8E"/>
    <w:rsid w:val="007B5D96"/>
    <w:rsid w:val="007C19DE"/>
    <w:rsid w:val="007D6C55"/>
    <w:rsid w:val="007D7897"/>
    <w:rsid w:val="007E1817"/>
    <w:rsid w:val="007E1AE0"/>
    <w:rsid w:val="007E559C"/>
    <w:rsid w:val="007E55E9"/>
    <w:rsid w:val="007E7AD2"/>
    <w:rsid w:val="007E7CE9"/>
    <w:rsid w:val="007F2E6F"/>
    <w:rsid w:val="007F300C"/>
    <w:rsid w:val="007F7B1E"/>
    <w:rsid w:val="0080114C"/>
    <w:rsid w:val="0080133D"/>
    <w:rsid w:val="00803289"/>
    <w:rsid w:val="008032BE"/>
    <w:rsid w:val="00805BBE"/>
    <w:rsid w:val="00813497"/>
    <w:rsid w:val="00816224"/>
    <w:rsid w:val="0082033D"/>
    <w:rsid w:val="008203AF"/>
    <w:rsid w:val="008253C3"/>
    <w:rsid w:val="00834034"/>
    <w:rsid w:val="00840236"/>
    <w:rsid w:val="00841255"/>
    <w:rsid w:val="00841711"/>
    <w:rsid w:val="00842CB8"/>
    <w:rsid w:val="00842DD9"/>
    <w:rsid w:val="00844FEA"/>
    <w:rsid w:val="008454D0"/>
    <w:rsid w:val="008458C7"/>
    <w:rsid w:val="00852151"/>
    <w:rsid w:val="0085459F"/>
    <w:rsid w:val="00863C0D"/>
    <w:rsid w:val="00865C71"/>
    <w:rsid w:val="00867345"/>
    <w:rsid w:val="00872A9B"/>
    <w:rsid w:val="00873345"/>
    <w:rsid w:val="00883770"/>
    <w:rsid w:val="00883884"/>
    <w:rsid w:val="008843B7"/>
    <w:rsid w:val="00884753"/>
    <w:rsid w:val="00885D68"/>
    <w:rsid w:val="00885EC9"/>
    <w:rsid w:val="00885F3F"/>
    <w:rsid w:val="008900F4"/>
    <w:rsid w:val="00890A33"/>
    <w:rsid w:val="0089217A"/>
    <w:rsid w:val="00894E6F"/>
    <w:rsid w:val="0089571A"/>
    <w:rsid w:val="00896FA3"/>
    <w:rsid w:val="00897460"/>
    <w:rsid w:val="008A3214"/>
    <w:rsid w:val="008A497B"/>
    <w:rsid w:val="008A794E"/>
    <w:rsid w:val="008B0DB3"/>
    <w:rsid w:val="008B2ED6"/>
    <w:rsid w:val="008B30B5"/>
    <w:rsid w:val="008B37CD"/>
    <w:rsid w:val="008C2198"/>
    <w:rsid w:val="008C37FC"/>
    <w:rsid w:val="008C463D"/>
    <w:rsid w:val="008C6461"/>
    <w:rsid w:val="008C7325"/>
    <w:rsid w:val="008D64F9"/>
    <w:rsid w:val="008D7473"/>
    <w:rsid w:val="008E53EF"/>
    <w:rsid w:val="008E5FAD"/>
    <w:rsid w:val="008E6D76"/>
    <w:rsid w:val="008F26A3"/>
    <w:rsid w:val="008F2A40"/>
    <w:rsid w:val="008F7208"/>
    <w:rsid w:val="008F73F9"/>
    <w:rsid w:val="0090016A"/>
    <w:rsid w:val="00905672"/>
    <w:rsid w:val="00906520"/>
    <w:rsid w:val="009115DE"/>
    <w:rsid w:val="00912686"/>
    <w:rsid w:val="00915522"/>
    <w:rsid w:val="00922188"/>
    <w:rsid w:val="00926043"/>
    <w:rsid w:val="00933AA9"/>
    <w:rsid w:val="00935255"/>
    <w:rsid w:val="00936EEE"/>
    <w:rsid w:val="009378FC"/>
    <w:rsid w:val="00940BCF"/>
    <w:rsid w:val="00943618"/>
    <w:rsid w:val="0094445C"/>
    <w:rsid w:val="0095073F"/>
    <w:rsid w:val="0095176E"/>
    <w:rsid w:val="00955E9E"/>
    <w:rsid w:val="00956A7F"/>
    <w:rsid w:val="00960FFE"/>
    <w:rsid w:val="00963005"/>
    <w:rsid w:val="009647B5"/>
    <w:rsid w:val="00966266"/>
    <w:rsid w:val="009718CB"/>
    <w:rsid w:val="00971CA4"/>
    <w:rsid w:val="00972C4C"/>
    <w:rsid w:val="0097374E"/>
    <w:rsid w:val="00974A35"/>
    <w:rsid w:val="00982A10"/>
    <w:rsid w:val="00984BFA"/>
    <w:rsid w:val="009859C7"/>
    <w:rsid w:val="00992664"/>
    <w:rsid w:val="009939EA"/>
    <w:rsid w:val="00993B13"/>
    <w:rsid w:val="009974F6"/>
    <w:rsid w:val="00997C82"/>
    <w:rsid w:val="009A1C95"/>
    <w:rsid w:val="009A443D"/>
    <w:rsid w:val="009A44CE"/>
    <w:rsid w:val="009A6A46"/>
    <w:rsid w:val="009B2756"/>
    <w:rsid w:val="009C03BD"/>
    <w:rsid w:val="009C255E"/>
    <w:rsid w:val="009C3FE0"/>
    <w:rsid w:val="009C644C"/>
    <w:rsid w:val="009C6B08"/>
    <w:rsid w:val="009D1A84"/>
    <w:rsid w:val="009D2B69"/>
    <w:rsid w:val="009D442B"/>
    <w:rsid w:val="009D527D"/>
    <w:rsid w:val="009E0DDA"/>
    <w:rsid w:val="009E41B8"/>
    <w:rsid w:val="009E5252"/>
    <w:rsid w:val="009E7E7B"/>
    <w:rsid w:val="009F0269"/>
    <w:rsid w:val="009F6EEC"/>
    <w:rsid w:val="00A05CA1"/>
    <w:rsid w:val="00A1120F"/>
    <w:rsid w:val="00A15791"/>
    <w:rsid w:val="00A20A38"/>
    <w:rsid w:val="00A241C8"/>
    <w:rsid w:val="00A24966"/>
    <w:rsid w:val="00A277FF"/>
    <w:rsid w:val="00A305FB"/>
    <w:rsid w:val="00A31171"/>
    <w:rsid w:val="00A32AC5"/>
    <w:rsid w:val="00A32FAB"/>
    <w:rsid w:val="00A3361A"/>
    <w:rsid w:val="00A3414E"/>
    <w:rsid w:val="00A347BD"/>
    <w:rsid w:val="00A45547"/>
    <w:rsid w:val="00A55B83"/>
    <w:rsid w:val="00A57A4E"/>
    <w:rsid w:val="00A60DB1"/>
    <w:rsid w:val="00A6464C"/>
    <w:rsid w:val="00A6606C"/>
    <w:rsid w:val="00A663F4"/>
    <w:rsid w:val="00A675C7"/>
    <w:rsid w:val="00A7077B"/>
    <w:rsid w:val="00A70F23"/>
    <w:rsid w:val="00A760D8"/>
    <w:rsid w:val="00A774A7"/>
    <w:rsid w:val="00A8021B"/>
    <w:rsid w:val="00A828DF"/>
    <w:rsid w:val="00A90822"/>
    <w:rsid w:val="00A917F5"/>
    <w:rsid w:val="00A948AF"/>
    <w:rsid w:val="00AA0C17"/>
    <w:rsid w:val="00AA7536"/>
    <w:rsid w:val="00AA760B"/>
    <w:rsid w:val="00AA79A6"/>
    <w:rsid w:val="00AB3B39"/>
    <w:rsid w:val="00AB40A2"/>
    <w:rsid w:val="00AB5E7C"/>
    <w:rsid w:val="00AB7E4A"/>
    <w:rsid w:val="00AC02AB"/>
    <w:rsid w:val="00AD1BE1"/>
    <w:rsid w:val="00AD4DA4"/>
    <w:rsid w:val="00AD5747"/>
    <w:rsid w:val="00AD798D"/>
    <w:rsid w:val="00AE78D5"/>
    <w:rsid w:val="00AF0138"/>
    <w:rsid w:val="00AF0C5F"/>
    <w:rsid w:val="00AF2130"/>
    <w:rsid w:val="00AF2E7D"/>
    <w:rsid w:val="00B0143A"/>
    <w:rsid w:val="00B067B7"/>
    <w:rsid w:val="00B07379"/>
    <w:rsid w:val="00B11998"/>
    <w:rsid w:val="00B15DA1"/>
    <w:rsid w:val="00B21ABA"/>
    <w:rsid w:val="00B30CAB"/>
    <w:rsid w:val="00B36639"/>
    <w:rsid w:val="00B40CB0"/>
    <w:rsid w:val="00B50272"/>
    <w:rsid w:val="00B54406"/>
    <w:rsid w:val="00B54584"/>
    <w:rsid w:val="00B6325C"/>
    <w:rsid w:val="00B636A2"/>
    <w:rsid w:val="00B6423E"/>
    <w:rsid w:val="00B6625B"/>
    <w:rsid w:val="00B71DBB"/>
    <w:rsid w:val="00B7556D"/>
    <w:rsid w:val="00B81F07"/>
    <w:rsid w:val="00B82BFA"/>
    <w:rsid w:val="00B848FD"/>
    <w:rsid w:val="00B85D8C"/>
    <w:rsid w:val="00B917DB"/>
    <w:rsid w:val="00B968A0"/>
    <w:rsid w:val="00BA0371"/>
    <w:rsid w:val="00BA3745"/>
    <w:rsid w:val="00BA3DAA"/>
    <w:rsid w:val="00BA732A"/>
    <w:rsid w:val="00BB13B0"/>
    <w:rsid w:val="00BB27CC"/>
    <w:rsid w:val="00BB2813"/>
    <w:rsid w:val="00BB3128"/>
    <w:rsid w:val="00BB3426"/>
    <w:rsid w:val="00BB35C1"/>
    <w:rsid w:val="00BB47DA"/>
    <w:rsid w:val="00BC0D54"/>
    <w:rsid w:val="00BC1425"/>
    <w:rsid w:val="00BC6B1E"/>
    <w:rsid w:val="00BC6C37"/>
    <w:rsid w:val="00BD2075"/>
    <w:rsid w:val="00BD2E14"/>
    <w:rsid w:val="00BD5A24"/>
    <w:rsid w:val="00BD6426"/>
    <w:rsid w:val="00BE3A18"/>
    <w:rsid w:val="00BE6351"/>
    <w:rsid w:val="00BE6E42"/>
    <w:rsid w:val="00BE7E6B"/>
    <w:rsid w:val="00BF39D2"/>
    <w:rsid w:val="00BF5B4D"/>
    <w:rsid w:val="00BF5BCE"/>
    <w:rsid w:val="00BF705E"/>
    <w:rsid w:val="00C077D6"/>
    <w:rsid w:val="00C117F0"/>
    <w:rsid w:val="00C12C57"/>
    <w:rsid w:val="00C1380C"/>
    <w:rsid w:val="00C17050"/>
    <w:rsid w:val="00C20D67"/>
    <w:rsid w:val="00C213D6"/>
    <w:rsid w:val="00C24540"/>
    <w:rsid w:val="00C2559B"/>
    <w:rsid w:val="00C25AFF"/>
    <w:rsid w:val="00C315E4"/>
    <w:rsid w:val="00C3629D"/>
    <w:rsid w:val="00C36B79"/>
    <w:rsid w:val="00C42315"/>
    <w:rsid w:val="00C4333A"/>
    <w:rsid w:val="00C433E2"/>
    <w:rsid w:val="00C43C41"/>
    <w:rsid w:val="00C50644"/>
    <w:rsid w:val="00C50B84"/>
    <w:rsid w:val="00C603E8"/>
    <w:rsid w:val="00C6267C"/>
    <w:rsid w:val="00C67003"/>
    <w:rsid w:val="00C72EFE"/>
    <w:rsid w:val="00C7565F"/>
    <w:rsid w:val="00C763EB"/>
    <w:rsid w:val="00C806FA"/>
    <w:rsid w:val="00C82E5C"/>
    <w:rsid w:val="00C83B64"/>
    <w:rsid w:val="00C83D2A"/>
    <w:rsid w:val="00C86D26"/>
    <w:rsid w:val="00C87B8C"/>
    <w:rsid w:val="00C912B7"/>
    <w:rsid w:val="00C93415"/>
    <w:rsid w:val="00C93B01"/>
    <w:rsid w:val="00C94D4D"/>
    <w:rsid w:val="00C959CD"/>
    <w:rsid w:val="00C96773"/>
    <w:rsid w:val="00CA07F0"/>
    <w:rsid w:val="00CA0FAA"/>
    <w:rsid w:val="00CA6EDA"/>
    <w:rsid w:val="00CB20D4"/>
    <w:rsid w:val="00CB4C67"/>
    <w:rsid w:val="00CB6594"/>
    <w:rsid w:val="00CB6DD9"/>
    <w:rsid w:val="00CC009F"/>
    <w:rsid w:val="00CC0A77"/>
    <w:rsid w:val="00CC0ABC"/>
    <w:rsid w:val="00CC12DA"/>
    <w:rsid w:val="00CC72E8"/>
    <w:rsid w:val="00CC7CAC"/>
    <w:rsid w:val="00CD053A"/>
    <w:rsid w:val="00CD0D1C"/>
    <w:rsid w:val="00CD1856"/>
    <w:rsid w:val="00CD3151"/>
    <w:rsid w:val="00CD3EF5"/>
    <w:rsid w:val="00CE18A5"/>
    <w:rsid w:val="00CE4D31"/>
    <w:rsid w:val="00CE5D8B"/>
    <w:rsid w:val="00CE66EB"/>
    <w:rsid w:val="00CE7A5C"/>
    <w:rsid w:val="00CF0164"/>
    <w:rsid w:val="00CF1A6F"/>
    <w:rsid w:val="00CF56AA"/>
    <w:rsid w:val="00CF7E2F"/>
    <w:rsid w:val="00D00032"/>
    <w:rsid w:val="00D0024A"/>
    <w:rsid w:val="00D03CCF"/>
    <w:rsid w:val="00D060B5"/>
    <w:rsid w:val="00D06730"/>
    <w:rsid w:val="00D1629E"/>
    <w:rsid w:val="00D20B3B"/>
    <w:rsid w:val="00D21C6F"/>
    <w:rsid w:val="00D3541E"/>
    <w:rsid w:val="00D366A2"/>
    <w:rsid w:val="00D43B0D"/>
    <w:rsid w:val="00D4741A"/>
    <w:rsid w:val="00D47BE0"/>
    <w:rsid w:val="00D502B5"/>
    <w:rsid w:val="00D53F57"/>
    <w:rsid w:val="00D577C9"/>
    <w:rsid w:val="00D57AAF"/>
    <w:rsid w:val="00D62620"/>
    <w:rsid w:val="00D63955"/>
    <w:rsid w:val="00D63B0B"/>
    <w:rsid w:val="00D65656"/>
    <w:rsid w:val="00D66B2D"/>
    <w:rsid w:val="00D715DE"/>
    <w:rsid w:val="00D72194"/>
    <w:rsid w:val="00D83974"/>
    <w:rsid w:val="00D8550A"/>
    <w:rsid w:val="00D86014"/>
    <w:rsid w:val="00D86DD2"/>
    <w:rsid w:val="00D90F98"/>
    <w:rsid w:val="00D92AEB"/>
    <w:rsid w:val="00D9325A"/>
    <w:rsid w:val="00D93C58"/>
    <w:rsid w:val="00D969A3"/>
    <w:rsid w:val="00DA10C9"/>
    <w:rsid w:val="00DA16D2"/>
    <w:rsid w:val="00DA3242"/>
    <w:rsid w:val="00DA42C0"/>
    <w:rsid w:val="00DA477A"/>
    <w:rsid w:val="00DA577B"/>
    <w:rsid w:val="00DA5E33"/>
    <w:rsid w:val="00DB09A7"/>
    <w:rsid w:val="00DB30D0"/>
    <w:rsid w:val="00DB4E34"/>
    <w:rsid w:val="00DB65E6"/>
    <w:rsid w:val="00DC0F76"/>
    <w:rsid w:val="00DC2AD2"/>
    <w:rsid w:val="00DC5A3E"/>
    <w:rsid w:val="00DC63A6"/>
    <w:rsid w:val="00DD049B"/>
    <w:rsid w:val="00DD0AEF"/>
    <w:rsid w:val="00DD2F38"/>
    <w:rsid w:val="00DD4FB2"/>
    <w:rsid w:val="00DD6DC2"/>
    <w:rsid w:val="00DD76D8"/>
    <w:rsid w:val="00DE0636"/>
    <w:rsid w:val="00DE0F9C"/>
    <w:rsid w:val="00DE16C6"/>
    <w:rsid w:val="00DE5D83"/>
    <w:rsid w:val="00DE5EF4"/>
    <w:rsid w:val="00DF181A"/>
    <w:rsid w:val="00DF4495"/>
    <w:rsid w:val="00DF718B"/>
    <w:rsid w:val="00E0010F"/>
    <w:rsid w:val="00E037D3"/>
    <w:rsid w:val="00E03AB2"/>
    <w:rsid w:val="00E04C5C"/>
    <w:rsid w:val="00E118C9"/>
    <w:rsid w:val="00E13532"/>
    <w:rsid w:val="00E1389A"/>
    <w:rsid w:val="00E152B8"/>
    <w:rsid w:val="00E257CC"/>
    <w:rsid w:val="00E27093"/>
    <w:rsid w:val="00E2760C"/>
    <w:rsid w:val="00E35DE6"/>
    <w:rsid w:val="00E36180"/>
    <w:rsid w:val="00E373A6"/>
    <w:rsid w:val="00E40562"/>
    <w:rsid w:val="00E41577"/>
    <w:rsid w:val="00E42E56"/>
    <w:rsid w:val="00E437D6"/>
    <w:rsid w:val="00E4690F"/>
    <w:rsid w:val="00E51B44"/>
    <w:rsid w:val="00E5492B"/>
    <w:rsid w:val="00E601ED"/>
    <w:rsid w:val="00E62D58"/>
    <w:rsid w:val="00E647F5"/>
    <w:rsid w:val="00E65FA6"/>
    <w:rsid w:val="00E737C3"/>
    <w:rsid w:val="00E73A17"/>
    <w:rsid w:val="00E753CD"/>
    <w:rsid w:val="00E76106"/>
    <w:rsid w:val="00E77150"/>
    <w:rsid w:val="00E82197"/>
    <w:rsid w:val="00E83633"/>
    <w:rsid w:val="00E83E93"/>
    <w:rsid w:val="00E85044"/>
    <w:rsid w:val="00E851DA"/>
    <w:rsid w:val="00E855E2"/>
    <w:rsid w:val="00E85A21"/>
    <w:rsid w:val="00E8744E"/>
    <w:rsid w:val="00E91116"/>
    <w:rsid w:val="00E92761"/>
    <w:rsid w:val="00E92CA6"/>
    <w:rsid w:val="00EA6AD6"/>
    <w:rsid w:val="00EB4FBF"/>
    <w:rsid w:val="00EB555A"/>
    <w:rsid w:val="00EB77FD"/>
    <w:rsid w:val="00EC0805"/>
    <w:rsid w:val="00EC5B04"/>
    <w:rsid w:val="00EC7507"/>
    <w:rsid w:val="00ED04F3"/>
    <w:rsid w:val="00ED5B7A"/>
    <w:rsid w:val="00EE1A85"/>
    <w:rsid w:val="00EE323F"/>
    <w:rsid w:val="00EF1482"/>
    <w:rsid w:val="00EF5313"/>
    <w:rsid w:val="00F00FED"/>
    <w:rsid w:val="00F02399"/>
    <w:rsid w:val="00F07B6E"/>
    <w:rsid w:val="00F1018D"/>
    <w:rsid w:val="00F10AF9"/>
    <w:rsid w:val="00F112CE"/>
    <w:rsid w:val="00F129A3"/>
    <w:rsid w:val="00F12F34"/>
    <w:rsid w:val="00F14ACF"/>
    <w:rsid w:val="00F17822"/>
    <w:rsid w:val="00F17D1F"/>
    <w:rsid w:val="00F226A6"/>
    <w:rsid w:val="00F24068"/>
    <w:rsid w:val="00F24A81"/>
    <w:rsid w:val="00F34E1C"/>
    <w:rsid w:val="00F43CB9"/>
    <w:rsid w:val="00F47C20"/>
    <w:rsid w:val="00F52282"/>
    <w:rsid w:val="00F65EC9"/>
    <w:rsid w:val="00F679E8"/>
    <w:rsid w:val="00F7099C"/>
    <w:rsid w:val="00F723BA"/>
    <w:rsid w:val="00F73419"/>
    <w:rsid w:val="00F76405"/>
    <w:rsid w:val="00F76B0A"/>
    <w:rsid w:val="00F779C3"/>
    <w:rsid w:val="00F810BA"/>
    <w:rsid w:val="00F8220E"/>
    <w:rsid w:val="00F85FBF"/>
    <w:rsid w:val="00F90714"/>
    <w:rsid w:val="00F915C6"/>
    <w:rsid w:val="00F92140"/>
    <w:rsid w:val="00F9228A"/>
    <w:rsid w:val="00F92587"/>
    <w:rsid w:val="00F92974"/>
    <w:rsid w:val="00F93801"/>
    <w:rsid w:val="00F93B5B"/>
    <w:rsid w:val="00F940D1"/>
    <w:rsid w:val="00F94F3B"/>
    <w:rsid w:val="00F95986"/>
    <w:rsid w:val="00F97553"/>
    <w:rsid w:val="00F97A53"/>
    <w:rsid w:val="00FA0003"/>
    <w:rsid w:val="00FA0737"/>
    <w:rsid w:val="00FA25B0"/>
    <w:rsid w:val="00FB1EFA"/>
    <w:rsid w:val="00FB2973"/>
    <w:rsid w:val="00FB60FE"/>
    <w:rsid w:val="00FB63D4"/>
    <w:rsid w:val="00FB6C3E"/>
    <w:rsid w:val="00FC1FF5"/>
    <w:rsid w:val="00FC3B6E"/>
    <w:rsid w:val="00FC4AE5"/>
    <w:rsid w:val="00FC7E2D"/>
    <w:rsid w:val="00FC7F07"/>
    <w:rsid w:val="00FD283E"/>
    <w:rsid w:val="00FD2DDF"/>
    <w:rsid w:val="00FD4067"/>
    <w:rsid w:val="00FE0A46"/>
    <w:rsid w:val="00FE0D79"/>
    <w:rsid w:val="00FE2430"/>
    <w:rsid w:val="00FE2918"/>
    <w:rsid w:val="00FE2942"/>
    <w:rsid w:val="00FE5C9E"/>
    <w:rsid w:val="00FF156D"/>
    <w:rsid w:val="00FF2A98"/>
    <w:rsid w:val="00FF5F18"/>
    <w:rsid w:val="00FF683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5CDBE3-42A0-4E32-BE2D-507F0360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6EEC"/>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link w:val="Ttulo2Car"/>
    <w:qFormat/>
    <w:rsid w:val="00E04C5C"/>
    <w:pPr>
      <w:keepNext/>
      <w:jc w:val="center"/>
      <w:outlineLvl w:val="1"/>
    </w:pPr>
    <w:rPr>
      <w:rFonts w:ascii="Arial" w:hAnsi="Arial"/>
      <w:b/>
      <w:sz w:val="32"/>
      <w:lang w:val="es-ES_tradnl"/>
    </w:rPr>
  </w:style>
  <w:style w:type="paragraph" w:styleId="Ttulo3">
    <w:name w:val="heading 3"/>
    <w:basedOn w:val="Normal"/>
    <w:next w:val="Normal"/>
    <w:link w:val="Ttulo3Car"/>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link w:val="EncabezadoCar"/>
    <w:uiPriority w:val="99"/>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link w:val="TextoindependienteCar"/>
    <w:uiPriority w:val="99"/>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Puesto">
    <w:name w:val="Title"/>
    <w:basedOn w:val="Normal"/>
    <w:link w:val="PuestoCar"/>
    <w:uiPriority w:val="10"/>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uiPriority w:val="99"/>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aliases w:val="referencia nota al pie,Footnote symbol,Footnote,BVI fnr,Texto nota al pie,Nota de pie,Texto de nota al pie,Ref,de nota al pie,Ref. de nota al pie2,normal,Ref. de nota al pieREF1, de nota al pie,16 Point,Superscript 6 Point,stylish,FC"/>
    <w:basedOn w:val="Fuentedeprrafopredeter"/>
    <w:uiPriority w:val="99"/>
    <w:qFormat/>
    <w:rsid w:val="00E04C5C"/>
    <w:rPr>
      <w:sz w:val="20"/>
      <w:vertAlign w:val="superscript"/>
    </w:rPr>
  </w:style>
  <w:style w:type="paragraph" w:styleId="Textonotapie">
    <w:name w:val="footnote text"/>
    <w:aliases w:val="texto de nota al pie,Nota a pie/Bibliog,Texto nota pie Car1,Texto nota pie Car Car,Car1 Car Car,Car1 Car2,Car1,ft Car Car,ft Car,Texto nota pie Car11,Texto nota pie Car Car1,Car1 Car Car1,Car1 Car21,Car11 Car Car,Car11 Car,ft,FA Fu,p,fn,f"/>
    <w:basedOn w:val="Normal"/>
    <w:link w:val="TextonotapieCar"/>
    <w:qFormat/>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uiPriority w:val="99"/>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uiPriority w:val="99"/>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uiPriority w:val="99"/>
    <w:rsid w:val="0077776E"/>
    <w:rPr>
      <w:rFonts w:ascii="Courier New" w:hAnsi="Courier New"/>
      <w:sz w:val="20"/>
    </w:rPr>
  </w:style>
  <w:style w:type="character" w:customStyle="1" w:styleId="TextosinformatoCar">
    <w:name w:val="Texto sin formato Car"/>
    <w:basedOn w:val="Fuentedeprrafopredeter"/>
    <w:link w:val="Textosinformato"/>
    <w:uiPriority w:val="99"/>
    <w:rsid w:val="0077776E"/>
    <w:rPr>
      <w:rFonts w:ascii="Courier New" w:hAnsi="Courier New"/>
    </w:rPr>
  </w:style>
  <w:style w:type="paragraph" w:customStyle="1" w:styleId="Default">
    <w:name w:val="Default"/>
    <w:link w:val="DefaultCar"/>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basedOn w:val="Normal"/>
    <w:link w:val="PrrafodelistaCar"/>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uiPriority w:val="99"/>
    <w:rsid w:val="003518BC"/>
    <w:rPr>
      <w:rFonts w:ascii="Tahoma" w:hAnsi="Tahoma" w:cs="Tahoma"/>
      <w:sz w:val="16"/>
      <w:szCs w:val="16"/>
    </w:rPr>
  </w:style>
  <w:style w:type="character" w:customStyle="1" w:styleId="TextodegloboCar">
    <w:name w:val="Texto de globo Car"/>
    <w:basedOn w:val="Fuentedeprrafopredeter"/>
    <w:link w:val="Textodeglobo"/>
    <w:uiPriority w:val="99"/>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uiPriority w:val="39"/>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uerpo">
    <w:name w:val="Cuerpo"/>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paragraph" w:customStyle="1" w:styleId="CuerpoA">
    <w:name w:val="Cuerpo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character" w:customStyle="1" w:styleId="TextonotapieCar">
    <w:name w:val="Texto nota pie Car"/>
    <w:aliases w:val="texto de nota al pie Car,Nota a pie/Bibliog Car,Texto nota pie Car1 Car,Texto nota pie Car Car Car,Car1 Car Car Car,Car1 Car2 Car,Car1 Car,ft Car Car Car,ft Car Car1,Texto nota pie Car11 Car,Texto nota pie Car Car1 Car,Car1 Car21 Car"/>
    <w:basedOn w:val="Fuentedeprrafopredeter"/>
    <w:link w:val="Textonotapie"/>
    <w:rsid w:val="007B2A8E"/>
    <w:rPr>
      <w:lang w:val="es-ES" w:eastAsia="es-ES"/>
    </w:rPr>
  </w:style>
  <w:style w:type="paragraph" w:customStyle="1" w:styleId="CuerpoAA">
    <w:name w:val="Cuerpo A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numbering" w:customStyle="1" w:styleId="Estiloimportado2">
    <w:name w:val="Estilo importado 2"/>
    <w:rsid w:val="007B2A8E"/>
    <w:pPr>
      <w:numPr>
        <w:numId w:val="2"/>
      </w:numPr>
    </w:pPr>
  </w:style>
  <w:style w:type="numbering" w:customStyle="1" w:styleId="Estiloimportado3">
    <w:name w:val="Estilo importado 3"/>
    <w:rsid w:val="007B2A8E"/>
    <w:pPr>
      <w:numPr>
        <w:numId w:val="3"/>
      </w:numPr>
    </w:pPr>
  </w:style>
  <w:style w:type="paragraph" w:styleId="Textocomentario">
    <w:name w:val="annotation text"/>
    <w:link w:val="TextocomentarioCar"/>
    <w:rsid w:val="007B2A8E"/>
    <w:pPr>
      <w:pBdr>
        <w:top w:val="nil"/>
        <w:left w:val="nil"/>
        <w:bottom w:val="nil"/>
        <w:right w:val="nil"/>
        <w:between w:val="nil"/>
        <w:bar w:val="nil"/>
      </w:pBdr>
    </w:pPr>
    <w:rPr>
      <w:rFonts w:eastAsia="Arial Unicode MS" w:cs="Arial Unicode MS"/>
      <w:color w:val="000000"/>
      <w:sz w:val="24"/>
      <w:szCs w:val="24"/>
      <w:u w:color="000000"/>
      <w:bdr w:val="nil"/>
      <w:lang w:val="en-US"/>
    </w:rPr>
  </w:style>
  <w:style w:type="character" w:customStyle="1" w:styleId="TextocomentarioCar">
    <w:name w:val="Texto comentario Car"/>
    <w:basedOn w:val="Fuentedeprrafopredeter"/>
    <w:link w:val="Textocomentario"/>
    <w:rsid w:val="007B2A8E"/>
    <w:rPr>
      <w:rFonts w:eastAsia="Arial Unicode MS" w:cs="Arial Unicode MS"/>
      <w:color w:val="000000"/>
      <w:sz w:val="24"/>
      <w:szCs w:val="24"/>
      <w:u w:color="000000"/>
      <w:bdr w:val="nil"/>
      <w:lang w:val="en-US"/>
    </w:rPr>
  </w:style>
  <w:style w:type="numbering" w:customStyle="1" w:styleId="Estiloimportado4">
    <w:name w:val="Estilo importado 4"/>
    <w:rsid w:val="007B2A8E"/>
    <w:pPr>
      <w:numPr>
        <w:numId w:val="4"/>
      </w:numPr>
    </w:pPr>
  </w:style>
  <w:style w:type="paragraph" w:styleId="Asuntodelcomentario">
    <w:name w:val="annotation subject"/>
    <w:basedOn w:val="Textocomentario"/>
    <w:next w:val="Textocomentario"/>
    <w:link w:val="AsuntodelcomentarioCar"/>
    <w:semiHidden/>
    <w:unhideWhenUsed/>
    <w:rsid w:val="00326B9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bCs/>
      <w:color w:val="auto"/>
      <w:sz w:val="20"/>
      <w:szCs w:val="20"/>
      <w:bdr w:val="none" w:sz="0" w:space="0" w:color="auto"/>
      <w:lang w:val="es-ES" w:eastAsia="es-ES"/>
    </w:rPr>
  </w:style>
  <w:style w:type="character" w:customStyle="1" w:styleId="AsuntodelcomentarioCar">
    <w:name w:val="Asunto del comentario Car"/>
    <w:basedOn w:val="TextocomentarioCar"/>
    <w:link w:val="Asuntodelcomentario"/>
    <w:semiHidden/>
    <w:rsid w:val="00326B9A"/>
    <w:rPr>
      <w:rFonts w:eastAsia="Arial Unicode MS" w:cs="Arial Unicode MS"/>
      <w:b/>
      <w:bCs/>
      <w:color w:val="000000"/>
      <w:sz w:val="24"/>
      <w:szCs w:val="24"/>
      <w:u w:color="000000"/>
      <w:bdr w:val="nil"/>
      <w:lang w:val="es-ES" w:eastAsia="es-ES"/>
    </w:rPr>
  </w:style>
  <w:style w:type="paragraph" w:customStyle="1" w:styleId="Textoindependiente1">
    <w:name w:val="Texto independiente/”%Ÿ"/>
    <w:basedOn w:val="Normal"/>
    <w:rsid w:val="00A15791"/>
    <w:pPr>
      <w:widowControl w:val="0"/>
      <w:jc w:val="both"/>
    </w:pPr>
    <w:rPr>
      <w:rFonts w:ascii="Arial" w:hAnsi="Arial"/>
      <w:sz w:val="22"/>
      <w:lang w:val="es-ES_tradnl"/>
    </w:rPr>
  </w:style>
  <w:style w:type="paragraph" w:styleId="Revisin">
    <w:name w:val="Revision"/>
    <w:hidden/>
    <w:uiPriority w:val="99"/>
    <w:semiHidden/>
    <w:rsid w:val="006D5346"/>
    <w:rPr>
      <w:lang w:val="es-ES_tradnl" w:eastAsia="es-ES"/>
    </w:rPr>
  </w:style>
  <w:style w:type="character" w:customStyle="1" w:styleId="iaj">
    <w:name w:val="i_aj"/>
    <w:basedOn w:val="Fuentedeprrafopredeter"/>
    <w:rsid w:val="002155CF"/>
  </w:style>
  <w:style w:type="character" w:customStyle="1" w:styleId="Ninguno">
    <w:name w:val="Ninguno"/>
    <w:rsid w:val="002155CF"/>
  </w:style>
  <w:style w:type="paragraph" w:styleId="Descripcin">
    <w:name w:val="caption"/>
    <w:aliases w:val="Epígrafe,Car,Epígrafe Car Car,Car Car Car Car Car, Car Car Car Car Car,Epígrafe Tabla,A, Car Car Car Car1, Car Car Car,Título tabla/gráfica,Título tabla/gráfica1,Título tabla/gráfica2,Título tabla/gráfica3,Título tabla/gráfica4,Car11"/>
    <w:next w:val="Cuerpo"/>
    <w:link w:val="DescripcinCar"/>
    <w:uiPriority w:val="35"/>
    <w:qFormat/>
    <w:rsid w:val="009859C7"/>
    <w:pPr>
      <w:pBdr>
        <w:top w:val="nil"/>
        <w:left w:val="nil"/>
        <w:bottom w:val="nil"/>
        <w:right w:val="nil"/>
        <w:between w:val="nil"/>
        <w:bar w:val="nil"/>
      </w:pBdr>
    </w:pPr>
    <w:rPr>
      <w:rFonts w:ascii="Cambria" w:eastAsia="Cambria" w:hAnsi="Cambria" w:cs="Cambria"/>
      <w:b/>
      <w:bCs/>
      <w:color w:val="000000"/>
      <w:u w:color="000000"/>
      <w:bdr w:val="nil"/>
      <w:lang w:val="es-ES_tradnl"/>
    </w:rPr>
  </w:style>
  <w:style w:type="character" w:customStyle="1" w:styleId="DescripcinCar">
    <w:name w:val="Descripción Car"/>
    <w:aliases w:val="Epígrafe Car,Car Car,Epígrafe Car Car Car,Car Car Car Car Car Car, Car Car Car Car Car Car,Epígrafe Tabla Car,A Car, Car Car Car Car1 Car, Car Car Car Car,Título tabla/gráfica Car,Título tabla/gráfica1 Car,Título tabla/gráfica2 Car"/>
    <w:link w:val="Descripcin"/>
    <w:uiPriority w:val="35"/>
    <w:rsid w:val="009859C7"/>
    <w:rPr>
      <w:rFonts w:ascii="Cambria" w:eastAsia="Cambria" w:hAnsi="Cambria" w:cs="Cambria"/>
      <w:b/>
      <w:bCs/>
      <w:color w:val="000000"/>
      <w:u w:color="000000"/>
      <w:bdr w:val="nil"/>
      <w:lang w:val="es-ES_tradnl"/>
    </w:rPr>
  </w:style>
  <w:style w:type="character" w:customStyle="1" w:styleId="Hyperlink0">
    <w:name w:val="Hyperlink.0"/>
    <w:basedOn w:val="Ninguno"/>
    <w:rsid w:val="002618DA"/>
    <w:rPr>
      <w:rFonts w:ascii="Arial Narrow" w:eastAsia="Arial Narrow" w:hAnsi="Arial Narrow" w:cs="Arial Narrow"/>
    </w:rPr>
  </w:style>
  <w:style w:type="character" w:customStyle="1" w:styleId="apple-converted-space">
    <w:name w:val="apple-converted-space"/>
    <w:basedOn w:val="Fuentedeprrafopredeter"/>
    <w:rsid w:val="00777A32"/>
  </w:style>
  <w:style w:type="character" w:customStyle="1" w:styleId="DefaultCar">
    <w:name w:val="Default Car"/>
    <w:link w:val="Default"/>
    <w:locked/>
    <w:rsid w:val="00BD2075"/>
    <w:rPr>
      <w:color w:val="000000"/>
      <w:sz w:val="24"/>
      <w:szCs w:val="24"/>
      <w:lang w:val="es-ES" w:eastAsia="es-ES"/>
    </w:rPr>
  </w:style>
  <w:style w:type="character" w:customStyle="1" w:styleId="PrrafodelistaCar">
    <w:name w:val="Párrafo de lista Car"/>
    <w:link w:val="Prrafodelista"/>
    <w:uiPriority w:val="34"/>
    <w:locked/>
    <w:rsid w:val="00915522"/>
    <w:rPr>
      <w:rFonts w:ascii="Calibri" w:eastAsia="Calibri" w:hAnsi="Calibri"/>
      <w:sz w:val="22"/>
      <w:szCs w:val="22"/>
    </w:rPr>
  </w:style>
  <w:style w:type="paragraph" w:customStyle="1" w:styleId="pa14">
    <w:name w:val="pa14"/>
    <w:basedOn w:val="Normal"/>
    <w:rsid w:val="00915522"/>
    <w:pPr>
      <w:autoSpaceDE w:val="0"/>
      <w:autoSpaceDN w:val="0"/>
    </w:pPr>
    <w:rPr>
      <w:szCs w:val="24"/>
    </w:rPr>
  </w:style>
  <w:style w:type="character" w:customStyle="1" w:styleId="Fuentedeprrafopr">
    <w:name w:val="Fuente de párrafo pr"/>
    <w:basedOn w:val="Fuentedeprrafopredeter"/>
    <w:rsid w:val="00915522"/>
    <w:rPr>
      <w:rFonts w:cs="Times New Roman"/>
    </w:rPr>
  </w:style>
  <w:style w:type="character" w:styleId="Hipervnculo">
    <w:name w:val="Hyperlink"/>
    <w:basedOn w:val="Fuentedeprrafopredeter"/>
    <w:uiPriority w:val="99"/>
    <w:unhideWhenUsed/>
    <w:rsid w:val="000743AB"/>
    <w:rPr>
      <w:color w:val="0000FF"/>
      <w:u w:val="single"/>
    </w:rPr>
  </w:style>
  <w:style w:type="character" w:customStyle="1" w:styleId="Ttulo2Car">
    <w:name w:val="Título 2 Car"/>
    <w:basedOn w:val="Fuentedeprrafopredeter"/>
    <w:link w:val="Ttulo2"/>
    <w:rsid w:val="002D717A"/>
    <w:rPr>
      <w:rFonts w:ascii="Arial" w:hAnsi="Arial"/>
      <w:b/>
      <w:sz w:val="32"/>
      <w:lang w:val="es-ES_tradnl" w:eastAsia="es-ES"/>
    </w:rPr>
  </w:style>
  <w:style w:type="character" w:customStyle="1" w:styleId="Ttulo3Car">
    <w:name w:val="Título 3 Car"/>
    <w:basedOn w:val="Fuentedeprrafopredeter"/>
    <w:link w:val="Ttulo3"/>
    <w:rsid w:val="002D717A"/>
    <w:rPr>
      <w:rFonts w:ascii="Arial" w:hAnsi="Arial"/>
      <w:sz w:val="24"/>
      <w:lang w:val="es-ES_tradnl" w:eastAsia="es-ES"/>
    </w:rPr>
  </w:style>
  <w:style w:type="character" w:customStyle="1" w:styleId="PuestoCar">
    <w:name w:val="Puesto Car"/>
    <w:basedOn w:val="Fuentedeprrafopredeter"/>
    <w:link w:val="Puesto"/>
    <w:uiPriority w:val="10"/>
    <w:rsid w:val="002D717A"/>
    <w:rPr>
      <w:rFonts w:ascii="Arial" w:hAnsi="Arial"/>
      <w:b/>
      <w:sz w:val="24"/>
      <w:lang w:val="es-MX" w:eastAsia="es-ES"/>
    </w:rPr>
  </w:style>
  <w:style w:type="character" w:customStyle="1" w:styleId="EncabezadoCar">
    <w:name w:val="Encabezado Car"/>
    <w:aliases w:val="Encabezado1 Car"/>
    <w:basedOn w:val="Fuentedeprrafopredeter"/>
    <w:link w:val="Encabezado"/>
    <w:uiPriority w:val="99"/>
    <w:rsid w:val="002D717A"/>
    <w:rPr>
      <w:lang w:val="es-ES_tradnl" w:eastAsia="es-ES"/>
    </w:rPr>
  </w:style>
  <w:style w:type="character" w:customStyle="1" w:styleId="letra14pt">
    <w:name w:val="letra14pt"/>
    <w:basedOn w:val="Fuentedeprrafopredeter"/>
    <w:rsid w:val="002D717A"/>
  </w:style>
  <w:style w:type="paragraph" w:customStyle="1" w:styleId="margenizq0punto5">
    <w:name w:val="margen_izq_0punto5"/>
    <w:basedOn w:val="Normal"/>
    <w:rsid w:val="002D717A"/>
    <w:pPr>
      <w:spacing w:before="100" w:beforeAutospacing="1" w:after="100" w:afterAutospacing="1"/>
    </w:pPr>
    <w:rPr>
      <w:szCs w:val="24"/>
      <w:lang w:val="es-CO" w:eastAsia="es-CO"/>
    </w:rPr>
  </w:style>
  <w:style w:type="character" w:customStyle="1" w:styleId="baj">
    <w:name w:val="b_aj"/>
    <w:basedOn w:val="Fuentedeprrafopredeter"/>
    <w:rsid w:val="002D717A"/>
  </w:style>
  <w:style w:type="character" w:customStyle="1" w:styleId="TextoindependienteCar">
    <w:name w:val="Texto independiente Car"/>
    <w:basedOn w:val="Fuentedeprrafopredeter"/>
    <w:link w:val="Textoindependiente"/>
    <w:uiPriority w:val="99"/>
    <w:rsid w:val="002D717A"/>
    <w:rPr>
      <w:sz w:val="24"/>
      <w:lang w:val="es-ES" w:eastAsia="es-ES"/>
    </w:rPr>
  </w:style>
  <w:style w:type="character" w:styleId="Hipervnculovisitado">
    <w:name w:val="FollowedHyperlink"/>
    <w:basedOn w:val="Fuentedeprrafopredeter"/>
    <w:uiPriority w:val="99"/>
    <w:semiHidden/>
    <w:unhideWhenUsed/>
    <w:rsid w:val="002D717A"/>
    <w:rPr>
      <w:color w:val="800080"/>
      <w:u w:val="single"/>
    </w:rPr>
  </w:style>
  <w:style w:type="paragraph" w:customStyle="1" w:styleId="xl63">
    <w:name w:val="xl63"/>
    <w:basedOn w:val="Normal"/>
    <w:rsid w:val="002D717A"/>
    <w:pPr>
      <w:spacing w:before="100" w:beforeAutospacing="1" w:after="100" w:afterAutospacing="1"/>
      <w:jc w:val="center"/>
      <w:textAlignment w:val="center"/>
    </w:pPr>
    <w:rPr>
      <w:szCs w:val="24"/>
      <w:lang w:val="es-CO" w:eastAsia="es-CO"/>
    </w:rPr>
  </w:style>
  <w:style w:type="paragraph" w:customStyle="1" w:styleId="xl64">
    <w:name w:val="xl64"/>
    <w:basedOn w:val="Normal"/>
    <w:rsid w:val="002D71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s-CO" w:eastAsia="es-CO"/>
    </w:rPr>
  </w:style>
  <w:style w:type="paragraph" w:customStyle="1" w:styleId="xl65">
    <w:name w:val="xl65"/>
    <w:basedOn w:val="Normal"/>
    <w:rsid w:val="002D71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s-CO" w:eastAsia="es-CO"/>
    </w:rPr>
  </w:style>
  <w:style w:type="paragraph" w:customStyle="1" w:styleId="xl66">
    <w:name w:val="xl66"/>
    <w:basedOn w:val="Normal"/>
    <w:rsid w:val="002D717A"/>
    <w:pPr>
      <w:pBdr>
        <w:bottom w:val="single" w:sz="4" w:space="0" w:color="auto"/>
      </w:pBdr>
      <w:spacing w:before="100" w:beforeAutospacing="1" w:after="100" w:afterAutospacing="1"/>
      <w:jc w:val="center"/>
    </w:pPr>
    <w:rPr>
      <w:b/>
      <w:bCs/>
      <w:szCs w:val="24"/>
      <w:lang w:val="es-CO" w:eastAsia="es-CO"/>
    </w:rPr>
  </w:style>
  <w:style w:type="paragraph" w:customStyle="1" w:styleId="xl67">
    <w:name w:val="xl67"/>
    <w:basedOn w:val="Normal"/>
    <w:rsid w:val="002D717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lang w:val="es-CO" w:eastAsia="es-CO"/>
    </w:rPr>
  </w:style>
  <w:style w:type="paragraph" w:customStyle="1" w:styleId="xl68">
    <w:name w:val="xl68"/>
    <w:basedOn w:val="Normal"/>
    <w:rsid w:val="002D71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CO" w:eastAsia="es-CO"/>
    </w:rPr>
  </w:style>
  <w:style w:type="paragraph" w:customStyle="1" w:styleId="xl69">
    <w:name w:val="xl69"/>
    <w:basedOn w:val="Normal"/>
    <w:rsid w:val="002D717A"/>
    <w:pPr>
      <w:spacing w:before="100" w:beforeAutospacing="1" w:after="100" w:afterAutospacing="1"/>
      <w:jc w:val="center"/>
      <w:textAlignment w:val="center"/>
    </w:pPr>
    <w:rPr>
      <w:sz w:val="16"/>
      <w:szCs w:val="16"/>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899443129">
      <w:bodyDiv w:val="1"/>
      <w:marLeft w:val="0"/>
      <w:marRight w:val="0"/>
      <w:marTop w:val="0"/>
      <w:marBottom w:val="0"/>
      <w:divBdr>
        <w:top w:val="none" w:sz="0" w:space="0" w:color="auto"/>
        <w:left w:val="none" w:sz="0" w:space="0" w:color="auto"/>
        <w:bottom w:val="none" w:sz="0" w:space="0" w:color="auto"/>
        <w:right w:val="none" w:sz="0" w:space="0" w:color="auto"/>
      </w:divBdr>
    </w:div>
    <w:div w:id="1238057194">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491021144">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577059039">
      <w:bodyDiv w:val="1"/>
      <w:marLeft w:val="0"/>
      <w:marRight w:val="0"/>
      <w:marTop w:val="0"/>
      <w:marBottom w:val="0"/>
      <w:divBdr>
        <w:top w:val="none" w:sz="0" w:space="0" w:color="auto"/>
        <w:left w:val="none" w:sz="0" w:space="0" w:color="auto"/>
        <w:bottom w:val="none" w:sz="0" w:space="0" w:color="auto"/>
        <w:right w:val="none" w:sz="0" w:space="0" w:color="auto"/>
      </w:divBdr>
    </w:div>
    <w:div w:id="1890264967">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62572553">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Ins15</b:Tag>
    <b:SourceType>Report</b:SourceType>
    <b:Guid>{6CE2CF26-A7A9-4B98-8FED-65C4A04FC2CA}</b:Guid>
    <b:Author>
      <b:Author>
        <b:Corporate>Instituto Alexander Von Humboldt  </b:Corporate>
      </b:Author>
    </b:Author>
    <b:Title>Recomendación para la delimitación, por parte del Ministerio de Ambiente y Desarrollo Sostenible Complejo de páramos Los Picachos a escala 1:25.000 </b:Title>
    <b:Year>2015</b:Year>
    <b:City>Bogota D.C</b:City>
    <b:ThesisType>Convenio interadministrativo 13-014 (FA 005 de 2013)</b:ThesisType>
    <b:RefOrder>1</b:RefOrder>
  </b:Source>
</b:Sources>
</file>

<file path=customXml/itemProps1.xml><?xml version="1.0" encoding="utf-8"?>
<ds:datastoreItem xmlns:ds="http://schemas.openxmlformats.org/officeDocument/2006/customXml" ds:itemID="{0D9196FC-C731-44B4-B8A8-44701399D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3752</Words>
  <Characters>20639</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24343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Alexander Ibagon Montes</cp:lastModifiedBy>
  <cp:revision>2</cp:revision>
  <cp:lastPrinted>2019-04-05T21:03:00Z</cp:lastPrinted>
  <dcterms:created xsi:type="dcterms:W3CDTF">2019-06-28T00:08:00Z</dcterms:created>
  <dcterms:modified xsi:type="dcterms:W3CDTF">2019-06-28T00:08:00Z</dcterms:modified>
</cp:coreProperties>
</file>