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85A" w:rsidRPr="00BE18F3" w:rsidRDefault="005F185A" w:rsidP="00BE18F3">
      <w:pPr>
        <w:spacing w:after="0"/>
        <w:jc w:val="center"/>
      </w:pPr>
      <w:r w:rsidRPr="00BE18F3">
        <w:t>República de Colombia</w:t>
      </w:r>
    </w:p>
    <w:p w:rsidR="005F185A" w:rsidRDefault="005F185A" w:rsidP="00BE18F3">
      <w:pPr>
        <w:jc w:val="center"/>
        <w:rPr>
          <w:bCs/>
        </w:rPr>
      </w:pPr>
      <w:r w:rsidRPr="00BE18F3">
        <w:t>Formato Común de Hoja Metodológica de Indicadores Ambientales</w:t>
      </w:r>
    </w:p>
    <w:p w:rsidR="005F185A" w:rsidRPr="00551672" w:rsidRDefault="007D65E3" w:rsidP="00BE18F3">
      <w:pPr>
        <w:spacing w:after="0"/>
        <w:jc w:val="center"/>
        <w:rPr>
          <w:b/>
          <w:sz w:val="20"/>
        </w:rPr>
      </w:pPr>
      <w:r>
        <w:rPr>
          <w:b/>
          <w:sz w:val="20"/>
          <w:lang w:eastAsia="ar-SA"/>
        </w:rPr>
        <w:t xml:space="preserve">Porcentaje de </w:t>
      </w:r>
      <w:r w:rsidR="002708EF">
        <w:rPr>
          <w:b/>
          <w:sz w:val="20"/>
          <w:lang w:eastAsia="ar-SA"/>
        </w:rPr>
        <w:t xml:space="preserve">municipios asesorados o asistidos </w:t>
      </w:r>
      <w:r w:rsidR="002708EF" w:rsidRPr="00594481">
        <w:rPr>
          <w:b/>
          <w:sz w:val="20"/>
          <w:lang w:eastAsia="ar-SA"/>
        </w:rPr>
        <w:t>en la</w:t>
      </w:r>
      <w:r w:rsidR="00594481" w:rsidRPr="00594481">
        <w:rPr>
          <w:b/>
          <w:sz w:val="20"/>
          <w:lang w:eastAsia="ar-SA"/>
        </w:rPr>
        <w:t xml:space="preserve"> </w:t>
      </w:r>
      <w:r w:rsidR="00594481" w:rsidRPr="00594481">
        <w:rPr>
          <w:b/>
          <w:lang w:val="es-ES"/>
        </w:rPr>
        <w:t xml:space="preserve">inclusión del componente ambiental en los procesos de planificación y ordenamiento territorial, con énfasis en la incorporación de las determinantes </w:t>
      </w:r>
      <w:r w:rsidR="00594481" w:rsidRPr="00594481">
        <w:rPr>
          <w:b/>
        </w:rPr>
        <w:t xml:space="preserve">ambientales </w:t>
      </w:r>
      <w:r w:rsidR="002708EF" w:rsidRPr="00594481">
        <w:rPr>
          <w:b/>
          <w:sz w:val="20"/>
          <w:lang w:eastAsia="ar-SA"/>
        </w:rPr>
        <w:t>para</w:t>
      </w:r>
      <w:r w:rsidR="002708EF">
        <w:rPr>
          <w:b/>
          <w:sz w:val="20"/>
          <w:lang w:eastAsia="ar-SA"/>
        </w:rPr>
        <w:t xml:space="preserve"> la revisión y ajuste de los POT</w:t>
      </w:r>
      <w:r w:rsidR="009301A3">
        <w:rPr>
          <w:b/>
          <w:sz w:val="20"/>
          <w:lang w:eastAsia="ar-SA"/>
        </w:rPr>
        <w:t xml:space="preserve"> </w:t>
      </w:r>
      <w:r w:rsidR="00C907EC" w:rsidRPr="00C907EC">
        <w:rPr>
          <w:b/>
          <w:sz w:val="20"/>
          <w:lang w:eastAsia="ar-SA"/>
        </w:rPr>
        <w:t xml:space="preserve"> </w:t>
      </w:r>
    </w:p>
    <w:p w:rsidR="005F185A" w:rsidRDefault="005F185A" w:rsidP="00BE18F3">
      <w:pPr>
        <w:jc w:val="center"/>
      </w:pPr>
      <w:r w:rsidRPr="00B771A6">
        <w:t xml:space="preserve">(Hoja metodológica versión </w:t>
      </w:r>
      <w:r w:rsidR="006855FB">
        <w:t>1</w:t>
      </w:r>
      <w:r>
        <w:t>,</w:t>
      </w:r>
      <w:r w:rsidR="006855FB">
        <w:t>00</w:t>
      </w:r>
      <w:r w:rsidRPr="00B771A6">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rsidTr="00CA1A57">
        <w:trPr>
          <w:jc w:val="center"/>
        </w:trPr>
        <w:tc>
          <w:tcPr>
            <w:tcW w:w="4575" w:type="dxa"/>
          </w:tcPr>
          <w:p w:rsidR="005F185A" w:rsidRPr="00BC6A80" w:rsidRDefault="005F185A" w:rsidP="00BE18F3">
            <w:pPr>
              <w:spacing w:after="0"/>
              <w:jc w:val="center"/>
              <w:rPr>
                <w:i/>
                <w:lang w:val="es-ES" w:eastAsia="ar-SA"/>
              </w:rPr>
            </w:pPr>
            <w:r w:rsidRPr="00BC6A80">
              <w:rPr>
                <w:lang w:eastAsia="ar-SA"/>
              </w:rPr>
              <w:t>Código Único Nacional del Indicador</w:t>
            </w:r>
          </w:p>
          <w:p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rsidR="005F185A" w:rsidRPr="00B771A6" w:rsidRDefault="005F185A" w:rsidP="00CA1A57">
      <w:pPr>
        <w:spacing w:after="0"/>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280"/>
        <w:gridCol w:w="8686"/>
      </w:tblGrid>
      <w:tr w:rsidR="005F185A" w:rsidRPr="00485431" w:rsidTr="00C20065">
        <w:trPr>
          <w:trHeight w:val="20"/>
          <w:jc w:val="center"/>
        </w:trPr>
        <w:tc>
          <w:tcPr>
            <w:tcW w:w="5000" w:type="pct"/>
            <w:gridSpan w:val="2"/>
            <w:vAlign w:val="center"/>
          </w:tcPr>
          <w:p w:rsidR="005F185A" w:rsidRPr="003D5913" w:rsidRDefault="005F185A" w:rsidP="00BE18F3">
            <w:pPr>
              <w:pStyle w:val="Ttulo5"/>
            </w:pPr>
            <w:r w:rsidRPr="003D5913">
              <w:t>Identificación del Indicador</w:t>
            </w:r>
          </w:p>
        </w:tc>
      </w:tr>
      <w:tr w:rsidR="00121693" w:rsidRPr="00B771A6" w:rsidTr="00C20065">
        <w:trPr>
          <w:trHeight w:val="20"/>
          <w:jc w:val="center"/>
        </w:trPr>
        <w:tc>
          <w:tcPr>
            <w:tcW w:w="1166" w:type="pct"/>
            <w:vAlign w:val="center"/>
          </w:tcPr>
          <w:p w:rsidR="005F185A" w:rsidRDefault="005F185A" w:rsidP="00D124E1">
            <w:pPr>
              <w:spacing w:after="0"/>
              <w:jc w:val="left"/>
              <w:rPr>
                <w:lang w:eastAsia="ar-SA"/>
              </w:rPr>
            </w:pPr>
            <w:r>
              <w:rPr>
                <w:lang w:eastAsia="ar-SA"/>
              </w:rPr>
              <w:t>Co</w:t>
            </w:r>
            <w:r w:rsidR="00D124E1">
              <w:rPr>
                <w:lang w:eastAsia="ar-SA"/>
              </w:rPr>
              <w:t>ntexto nacional o internacional</w:t>
            </w:r>
          </w:p>
        </w:tc>
        <w:tc>
          <w:tcPr>
            <w:tcW w:w="3834" w:type="pct"/>
            <w:vAlign w:val="center"/>
          </w:tcPr>
          <w:p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121693" w:rsidRPr="00B771A6" w:rsidTr="00584AA8">
        <w:trPr>
          <w:trHeight w:val="386"/>
          <w:jc w:val="center"/>
        </w:trPr>
        <w:tc>
          <w:tcPr>
            <w:tcW w:w="1166" w:type="pct"/>
            <w:vAlign w:val="center"/>
          </w:tcPr>
          <w:p w:rsidR="00EB1836" w:rsidRDefault="00EB1836" w:rsidP="00584AA8">
            <w:pPr>
              <w:spacing w:after="0"/>
              <w:jc w:val="left"/>
              <w:rPr>
                <w:lang w:eastAsia="ar-SA"/>
              </w:rPr>
            </w:pPr>
            <w:r w:rsidRPr="00B771A6">
              <w:rPr>
                <w:lang w:eastAsia="ar-SA"/>
              </w:rPr>
              <w:t>Tema de referencia</w:t>
            </w:r>
          </w:p>
        </w:tc>
        <w:tc>
          <w:tcPr>
            <w:tcW w:w="3834" w:type="pct"/>
            <w:vAlign w:val="center"/>
          </w:tcPr>
          <w:p w:rsidR="00EB1836" w:rsidRPr="00485431" w:rsidRDefault="00EB1836" w:rsidP="00BE18F3">
            <w:pPr>
              <w:rPr>
                <w:lang w:val="es-ES" w:eastAsia="ar-SA"/>
              </w:rPr>
            </w:pPr>
          </w:p>
        </w:tc>
      </w:tr>
      <w:tr w:rsidR="00121693" w:rsidRPr="005B05C5" w:rsidTr="00C20065">
        <w:trPr>
          <w:trHeight w:val="20"/>
          <w:jc w:val="center"/>
        </w:trPr>
        <w:tc>
          <w:tcPr>
            <w:tcW w:w="1166" w:type="pct"/>
            <w:vAlign w:val="center"/>
          </w:tcPr>
          <w:p w:rsidR="005F185A" w:rsidRDefault="005F185A" w:rsidP="00D124E1">
            <w:pPr>
              <w:spacing w:after="0"/>
              <w:jc w:val="left"/>
              <w:rPr>
                <w:lang w:eastAsia="ar-SA"/>
              </w:rPr>
            </w:pPr>
            <w:r w:rsidRPr="00C45EE8">
              <w:rPr>
                <w:lang w:eastAsia="ar-SA"/>
              </w:rPr>
              <w:t xml:space="preserve">Código de identificación </w:t>
            </w:r>
          </w:p>
        </w:tc>
        <w:tc>
          <w:tcPr>
            <w:tcW w:w="3834" w:type="pct"/>
            <w:vAlign w:val="center"/>
          </w:tcPr>
          <w:p w:rsidR="005F185A" w:rsidRDefault="005F185A" w:rsidP="00BE18F3">
            <w:pPr>
              <w:rPr>
                <w:lang w:eastAsia="ar-SA"/>
              </w:rPr>
            </w:pPr>
          </w:p>
        </w:tc>
      </w:tr>
      <w:tr w:rsidR="00121693" w:rsidRPr="00B771A6" w:rsidTr="00C20065">
        <w:trPr>
          <w:trHeight w:val="20"/>
          <w:jc w:val="center"/>
        </w:trPr>
        <w:tc>
          <w:tcPr>
            <w:tcW w:w="1166" w:type="pct"/>
            <w:vAlign w:val="center"/>
          </w:tcPr>
          <w:p w:rsidR="005F185A" w:rsidRPr="00746D28" w:rsidRDefault="005F185A" w:rsidP="00584AA8">
            <w:pPr>
              <w:spacing w:after="0"/>
              <w:jc w:val="left"/>
            </w:pPr>
            <w:r w:rsidRPr="00C115B5">
              <w:rPr>
                <w:lang w:eastAsia="ar-SA"/>
              </w:rPr>
              <w:t>Unidad de medida</w:t>
            </w:r>
          </w:p>
        </w:tc>
        <w:tc>
          <w:tcPr>
            <w:tcW w:w="3834" w:type="pct"/>
            <w:vAlign w:val="center"/>
          </w:tcPr>
          <w:p w:rsidR="005F185A" w:rsidRPr="00485431" w:rsidRDefault="00C67129" w:rsidP="00BE18F3">
            <w:pPr>
              <w:rPr>
                <w:i/>
                <w:lang w:eastAsia="ar-SA"/>
              </w:rPr>
            </w:pPr>
            <w:r>
              <w:rPr>
                <w:lang w:eastAsia="ar-SA"/>
              </w:rPr>
              <w:t>Porcentaje</w:t>
            </w:r>
          </w:p>
        </w:tc>
      </w:tr>
      <w:tr w:rsidR="00121693" w:rsidRPr="00B771A6" w:rsidTr="00C20065">
        <w:trPr>
          <w:trHeight w:val="20"/>
          <w:jc w:val="center"/>
        </w:trPr>
        <w:tc>
          <w:tcPr>
            <w:tcW w:w="1166" w:type="pct"/>
            <w:vAlign w:val="center"/>
          </w:tcPr>
          <w:p w:rsidR="005F185A" w:rsidRPr="009050CC" w:rsidRDefault="005F185A" w:rsidP="00BE18F3">
            <w:pPr>
              <w:rPr>
                <w:i/>
                <w:lang w:eastAsia="ar-SA"/>
              </w:rPr>
            </w:pPr>
            <w:r w:rsidRPr="00B771A6">
              <w:rPr>
                <w:lang w:eastAsia="ar-SA"/>
              </w:rPr>
              <w:t>Periodicidad</w:t>
            </w:r>
          </w:p>
        </w:tc>
        <w:tc>
          <w:tcPr>
            <w:tcW w:w="3834"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7055B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7055B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rsidR="005F185A" w:rsidRPr="00CF34F9" w:rsidRDefault="00E63DD5" w:rsidP="00CE322E">
                  <w:pPr>
                    <w:pStyle w:val="Sinespaciado1"/>
                    <w:tabs>
                      <w:tab w:val="left" w:pos="279"/>
                    </w:tabs>
                    <w:ind w:left="143" w:right="-720"/>
                    <w:rPr>
                      <w:sz w:val="18"/>
                      <w:szCs w:val="18"/>
                      <w:lang w:val="es-CR" w:eastAsia="ar-SA"/>
                    </w:rPr>
                  </w:pPr>
                  <w:r>
                    <w:rPr>
                      <w:sz w:val="18"/>
                      <w:szCs w:val="18"/>
                      <w:lang w:val="es-CR" w:eastAsia="ar-SA"/>
                    </w:rPr>
                    <w:t>Cuatrienal</w:t>
                  </w:r>
                </w:p>
              </w:tc>
            </w:tr>
          </w:tbl>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CE322E">
            <w:pPr>
              <w:pStyle w:val="Sinespaciado1"/>
              <w:rPr>
                <w:rFonts w:cs="Arial"/>
                <w:sz w:val="18"/>
                <w:szCs w:val="18"/>
                <w:lang w:eastAsia="ar-SA"/>
              </w:rPr>
            </w:pPr>
          </w:p>
        </w:tc>
      </w:tr>
      <w:tr w:rsidR="00121693" w:rsidRPr="00B771A6" w:rsidTr="00C67129">
        <w:trPr>
          <w:trHeight w:val="1936"/>
          <w:jc w:val="center"/>
        </w:trPr>
        <w:tc>
          <w:tcPr>
            <w:tcW w:w="1166" w:type="pct"/>
            <w:vAlign w:val="center"/>
          </w:tcPr>
          <w:p w:rsidR="005F185A" w:rsidRPr="009050CC" w:rsidRDefault="005F185A" w:rsidP="00BE18F3">
            <w:pPr>
              <w:rPr>
                <w:i/>
                <w:lang w:val="es-MX" w:eastAsia="ar-SA"/>
              </w:rPr>
            </w:pPr>
            <w:r w:rsidRPr="00B771A6">
              <w:rPr>
                <w:lang w:val="es-MX" w:eastAsia="ar-SA"/>
              </w:rPr>
              <w:t>Cobertura geográfica</w:t>
            </w:r>
          </w:p>
        </w:tc>
        <w:tc>
          <w:tcPr>
            <w:tcW w:w="3834" w:type="pct"/>
          </w:tcPr>
          <w:tbl>
            <w:tblPr>
              <w:tblpPr w:leftFromText="142" w:rightFromText="142" w:topFromText="539" w:vertAnchor="text" w:horzAnchor="margin" w:tblpY="1"/>
              <w:tblOverlap w:val="never"/>
              <w:tblW w:w="7787" w:type="dxa"/>
              <w:tblCellMar>
                <w:left w:w="0" w:type="dxa"/>
                <w:right w:w="0" w:type="dxa"/>
              </w:tblCellMar>
              <w:tblLook w:val="01E0" w:firstRow="1" w:lastRow="1" w:firstColumn="1" w:lastColumn="1" w:noHBand="0" w:noVBand="0"/>
            </w:tblPr>
            <w:tblGrid>
              <w:gridCol w:w="228"/>
              <w:gridCol w:w="1260"/>
              <w:gridCol w:w="6299"/>
            </w:tblGrid>
            <w:tr w:rsidR="005F185A" w:rsidRPr="00B32D35" w:rsidTr="00206E1B">
              <w:trPr>
                <w:gridAfter w:val="1"/>
                <w:wAfter w:w="6299" w:type="dxa"/>
                <w:cantSplit/>
                <w:trHeight w:hRule="exact" w:val="368"/>
              </w:trPr>
              <w:tc>
                <w:tcPr>
                  <w:tcW w:w="228"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rsidTr="00206E1B">
              <w:trPr>
                <w:gridAfter w:val="1"/>
                <w:wAfter w:w="6299" w:type="dxa"/>
                <w:cantSplit/>
                <w:trHeight w:hRule="exact" w:val="92"/>
              </w:trPr>
              <w:tc>
                <w:tcPr>
                  <w:tcW w:w="228"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206E1B">
              <w:trPr>
                <w:gridAfter w:val="1"/>
                <w:wAfter w:w="6299" w:type="dxa"/>
                <w:cantSplit/>
                <w:trHeight w:hRule="exact" w:val="368"/>
              </w:trPr>
              <w:tc>
                <w:tcPr>
                  <w:tcW w:w="228"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rsidTr="00206E1B">
              <w:trPr>
                <w:gridAfter w:val="1"/>
                <w:wAfter w:w="6299" w:type="dxa"/>
                <w:cantSplit/>
                <w:trHeight w:hRule="exact" w:val="92"/>
              </w:trPr>
              <w:tc>
                <w:tcPr>
                  <w:tcW w:w="228"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206E1B">
              <w:trPr>
                <w:gridAfter w:val="1"/>
                <w:wAfter w:w="6299" w:type="dxa"/>
                <w:cantSplit/>
                <w:trHeight w:hRule="exact" w:val="368"/>
              </w:trPr>
              <w:tc>
                <w:tcPr>
                  <w:tcW w:w="228"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rsidTr="00206E1B">
              <w:trPr>
                <w:gridAfter w:val="1"/>
                <w:wAfter w:w="6299" w:type="dxa"/>
                <w:cantSplit/>
                <w:trHeight w:hRule="exact" w:val="92"/>
              </w:trPr>
              <w:tc>
                <w:tcPr>
                  <w:tcW w:w="228"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206E1B">
              <w:trPr>
                <w:cantSplit/>
                <w:trHeight w:hRule="exact" w:val="368"/>
              </w:trPr>
              <w:tc>
                <w:tcPr>
                  <w:tcW w:w="228"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60"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6299" w:type="dxa"/>
                  <w:tcBorders>
                    <w:bottom w:val="single" w:sz="8" w:space="0" w:color="auto"/>
                  </w:tcBorders>
                </w:tcPr>
                <w:p w:rsidR="005F185A" w:rsidRPr="00CF34F9" w:rsidRDefault="00C67129" w:rsidP="00CE322E">
                  <w:pPr>
                    <w:pStyle w:val="Sinespaciado1"/>
                    <w:tabs>
                      <w:tab w:val="left" w:pos="279"/>
                    </w:tabs>
                    <w:ind w:left="143" w:right="-720"/>
                    <w:rPr>
                      <w:sz w:val="18"/>
                      <w:szCs w:val="18"/>
                      <w:lang w:val="es-CR" w:eastAsia="ar-SA"/>
                    </w:rPr>
                  </w:pPr>
                  <w:r>
                    <w:rPr>
                      <w:sz w:val="18"/>
                      <w:szCs w:val="18"/>
                      <w:lang w:val="es-CR" w:eastAsia="ar-SA"/>
                    </w:rPr>
                    <w:t>Jurisdicci</w:t>
                  </w:r>
                  <w:r w:rsidR="00F76105">
                    <w:rPr>
                      <w:sz w:val="18"/>
                      <w:szCs w:val="18"/>
                      <w:lang w:val="es-CR" w:eastAsia="ar-SA"/>
                    </w:rPr>
                    <w:t>ón de las Corporacione</w:t>
                  </w:r>
                  <w:r w:rsidR="00206E1B">
                    <w:rPr>
                      <w:sz w:val="18"/>
                      <w:szCs w:val="18"/>
                      <w:lang w:val="es-CR" w:eastAsia="ar-SA"/>
                    </w:rPr>
                    <w:t>s Autónomas Regionales y de Desarrollo Sostenible</w:t>
                  </w:r>
                </w:p>
              </w:tc>
            </w:tr>
          </w:tbl>
          <w:p w:rsidR="005F185A" w:rsidRPr="00BD0FB2" w:rsidRDefault="005F185A" w:rsidP="00CE322E">
            <w:pPr>
              <w:pStyle w:val="Sinespaciado1"/>
              <w:rPr>
                <w:rFonts w:cs="Arial"/>
                <w:sz w:val="18"/>
                <w:szCs w:val="18"/>
                <w:lang w:eastAsia="ar-SA"/>
              </w:rPr>
            </w:pPr>
          </w:p>
        </w:tc>
      </w:tr>
      <w:tr w:rsidR="00121693" w:rsidRPr="00B771A6" w:rsidTr="00C20065">
        <w:trPr>
          <w:trHeight w:val="20"/>
          <w:jc w:val="center"/>
        </w:trPr>
        <w:tc>
          <w:tcPr>
            <w:tcW w:w="1166" w:type="pct"/>
            <w:vAlign w:val="center"/>
          </w:tcPr>
          <w:p w:rsidR="005F185A" w:rsidRPr="00D948CB" w:rsidRDefault="005F185A" w:rsidP="00BE18F3">
            <w:pPr>
              <w:rPr>
                <w:szCs w:val="20"/>
                <w:lang w:val="es-MX" w:eastAsia="ar-SA"/>
              </w:rPr>
            </w:pPr>
            <w:r w:rsidRPr="00D948CB">
              <w:rPr>
                <w:lang w:val="es-MX" w:eastAsia="ar-SA"/>
              </w:rPr>
              <w:t>Cobertura temporal</w:t>
            </w:r>
          </w:p>
        </w:tc>
        <w:tc>
          <w:tcPr>
            <w:tcW w:w="3834" w:type="pct"/>
            <w:vAlign w:val="center"/>
          </w:tcPr>
          <w:p w:rsidR="005F185A" w:rsidRPr="004E3984" w:rsidRDefault="007003E8" w:rsidP="00BE18F3">
            <w:pPr>
              <w:rPr>
                <w:lang w:eastAsia="ar-SA"/>
              </w:rPr>
            </w:pPr>
            <w:r>
              <w:rPr>
                <w:lang w:eastAsia="ar-SA"/>
              </w:rPr>
              <w:t>2016</w:t>
            </w:r>
            <w:r w:rsidR="000A75C4">
              <w:rPr>
                <w:lang w:eastAsia="ar-SA"/>
              </w:rPr>
              <w:t>-</w:t>
            </w:r>
          </w:p>
        </w:tc>
      </w:tr>
      <w:tr w:rsidR="005F185A" w:rsidRPr="000E652E" w:rsidTr="00C20065">
        <w:trPr>
          <w:trHeight w:val="20"/>
          <w:jc w:val="center"/>
        </w:trPr>
        <w:tc>
          <w:tcPr>
            <w:tcW w:w="5000" w:type="pct"/>
            <w:gridSpan w:val="2"/>
            <w:vAlign w:val="center"/>
          </w:tcPr>
          <w:p w:rsidR="005F185A" w:rsidRPr="00D77866" w:rsidRDefault="005F185A" w:rsidP="00BE18F3">
            <w:pPr>
              <w:pStyle w:val="Ttulo5"/>
            </w:pPr>
            <w:r w:rsidRPr="00D77866">
              <w:t>Descripción del Indicador</w:t>
            </w:r>
          </w:p>
        </w:tc>
      </w:tr>
      <w:tr w:rsidR="00121693" w:rsidRPr="00B771A6" w:rsidTr="00C20065">
        <w:trPr>
          <w:trHeight w:val="20"/>
          <w:jc w:val="center"/>
        </w:trPr>
        <w:tc>
          <w:tcPr>
            <w:tcW w:w="1166" w:type="pct"/>
            <w:vAlign w:val="center"/>
          </w:tcPr>
          <w:p w:rsidR="005F185A" w:rsidRPr="00746D28" w:rsidRDefault="005F185A" w:rsidP="00982A21">
            <w:pPr>
              <w:jc w:val="left"/>
            </w:pPr>
            <w:r w:rsidRPr="00C115B5">
              <w:rPr>
                <w:lang w:eastAsia="ar-SA"/>
              </w:rPr>
              <w:t>Definición</w:t>
            </w:r>
          </w:p>
        </w:tc>
        <w:tc>
          <w:tcPr>
            <w:tcW w:w="3834" w:type="pct"/>
          </w:tcPr>
          <w:p w:rsidR="00BA0F89" w:rsidRPr="00BA0F89" w:rsidRDefault="00C67129" w:rsidP="006D1431">
            <w:pPr>
              <w:rPr>
                <w:lang w:val="es-ES"/>
              </w:rPr>
            </w:pPr>
            <w:r>
              <w:rPr>
                <w:lang w:val="es-ES"/>
              </w:rPr>
              <w:t xml:space="preserve">Es </w:t>
            </w:r>
            <w:r w:rsidR="00D95F64">
              <w:rPr>
                <w:lang w:val="es-ES"/>
              </w:rPr>
              <w:t xml:space="preserve">la relación entre el número de </w:t>
            </w:r>
            <w:r w:rsidR="002708EF">
              <w:rPr>
                <w:lang w:val="es-ES"/>
              </w:rPr>
              <w:t xml:space="preserve">municipios asesorados o </w:t>
            </w:r>
            <w:r w:rsidR="002708EF" w:rsidRPr="006D1431">
              <w:rPr>
                <w:lang w:val="es-ES"/>
              </w:rPr>
              <w:t xml:space="preserve">asistidos en </w:t>
            </w:r>
            <w:r w:rsidR="00626D32" w:rsidRPr="006D1431">
              <w:rPr>
                <w:lang w:val="es-ES"/>
              </w:rPr>
              <w:t xml:space="preserve">temas relacionados con </w:t>
            </w:r>
            <w:r w:rsidR="006D1431" w:rsidRPr="006D1431">
              <w:rPr>
                <w:lang w:val="es-ES"/>
              </w:rPr>
              <w:t xml:space="preserve">la </w:t>
            </w:r>
            <w:r w:rsidR="006D1431">
              <w:rPr>
                <w:lang w:val="es-ES"/>
              </w:rPr>
              <w:t xml:space="preserve">inclusión del componente ambiental en los procesos de planificación y ordenamiento territorial, con énfasis en </w:t>
            </w:r>
            <w:r w:rsidR="002708EF">
              <w:rPr>
                <w:lang w:val="es-ES"/>
              </w:rPr>
              <w:t>la incorporación de l</w:t>
            </w:r>
            <w:r w:rsidR="00CC124A">
              <w:rPr>
                <w:lang w:val="es-ES"/>
              </w:rPr>
              <w:t>a</w:t>
            </w:r>
            <w:r w:rsidR="002708EF">
              <w:rPr>
                <w:lang w:val="es-ES"/>
              </w:rPr>
              <w:t>s determinantes ambientales para la revisión y ajuste de los POT</w:t>
            </w:r>
            <w:r w:rsidR="00D95F64">
              <w:t>,</w:t>
            </w:r>
            <w:r w:rsidR="00D95F64">
              <w:rPr>
                <w:lang w:val="es-ES"/>
              </w:rPr>
              <w:t xml:space="preserve"> </w:t>
            </w:r>
            <w:r w:rsidR="007D65E3">
              <w:rPr>
                <w:lang w:val="es-ES"/>
              </w:rPr>
              <w:t xml:space="preserve">con respecto a la meta de </w:t>
            </w:r>
            <w:r w:rsidR="002708EF">
              <w:rPr>
                <w:lang w:val="es-ES"/>
              </w:rPr>
              <w:t>municipios</w:t>
            </w:r>
            <w:r w:rsidR="007D65E3">
              <w:rPr>
                <w:lang w:val="es-ES"/>
              </w:rPr>
              <w:t xml:space="preserve"> </w:t>
            </w:r>
            <w:r w:rsidR="001F755C">
              <w:rPr>
                <w:lang w:val="es-ES"/>
              </w:rPr>
              <w:t xml:space="preserve">a ser asesorados </w:t>
            </w:r>
            <w:r w:rsidR="007D65E3">
              <w:rPr>
                <w:lang w:val="es-ES"/>
              </w:rPr>
              <w:t xml:space="preserve">en </w:t>
            </w:r>
            <w:r w:rsidR="00D95F64">
              <w:rPr>
                <w:lang w:val="es-ES"/>
              </w:rPr>
              <w:t>dicha incorporación</w:t>
            </w:r>
            <w:r w:rsidR="00BA0F89">
              <w:rPr>
                <w:lang w:val="es-ES"/>
              </w:rPr>
              <w:t>.</w:t>
            </w:r>
          </w:p>
        </w:tc>
      </w:tr>
      <w:tr w:rsidR="00121693" w:rsidRPr="00B771A6" w:rsidTr="00C20065">
        <w:trPr>
          <w:trHeight w:val="20"/>
          <w:jc w:val="center"/>
        </w:trPr>
        <w:tc>
          <w:tcPr>
            <w:tcW w:w="1166" w:type="pct"/>
            <w:vAlign w:val="center"/>
          </w:tcPr>
          <w:p w:rsidR="005F185A" w:rsidRPr="00B771A6" w:rsidRDefault="005F185A" w:rsidP="00982A21">
            <w:pPr>
              <w:jc w:val="left"/>
              <w:rPr>
                <w:lang w:eastAsia="ar-SA"/>
              </w:rPr>
            </w:pPr>
            <w:r w:rsidRPr="00B771A6">
              <w:rPr>
                <w:lang w:eastAsia="ar-SA"/>
              </w:rPr>
              <w:t>Pertinencia</w:t>
            </w:r>
          </w:p>
        </w:tc>
        <w:tc>
          <w:tcPr>
            <w:tcW w:w="3834" w:type="pct"/>
          </w:tcPr>
          <w:p w:rsidR="005F185A" w:rsidRPr="00C67129" w:rsidRDefault="005F185A" w:rsidP="00BE18F3">
            <w:pPr>
              <w:rPr>
                <w:b/>
                <w:lang w:val="es-MX" w:eastAsia="ar-SA"/>
              </w:rPr>
            </w:pPr>
            <w:r w:rsidRPr="00C67129">
              <w:rPr>
                <w:b/>
                <w:lang w:val="es-MX" w:eastAsia="ar-SA"/>
              </w:rPr>
              <w:t>Finalidad / Propósito</w:t>
            </w:r>
            <w:r w:rsidR="00C67129" w:rsidRPr="00C67129">
              <w:rPr>
                <w:b/>
                <w:lang w:val="es-MX" w:eastAsia="ar-SA"/>
              </w:rPr>
              <w:t>:</w:t>
            </w:r>
          </w:p>
          <w:p w:rsidR="002708EF" w:rsidRDefault="007D65E3" w:rsidP="00BE18F3">
            <w:pPr>
              <w:rPr>
                <w:lang w:eastAsia="ar-SA"/>
              </w:rPr>
            </w:pPr>
            <w:r>
              <w:rPr>
                <w:lang w:val="es-MX" w:eastAsia="ar-SA"/>
              </w:rPr>
              <w:t xml:space="preserve">El indicador mide </w:t>
            </w:r>
            <w:r w:rsidR="001F755C">
              <w:rPr>
                <w:lang w:val="es-MX" w:eastAsia="ar-SA"/>
              </w:rPr>
              <w:t>el cumplimiento de las metas establecidas</w:t>
            </w:r>
            <w:r w:rsidR="00D95F64">
              <w:rPr>
                <w:lang w:val="es-MX" w:eastAsia="ar-SA"/>
              </w:rPr>
              <w:t>, por parte de la Corporación Autónoma Regional,</w:t>
            </w:r>
            <w:r w:rsidR="001F755C">
              <w:rPr>
                <w:lang w:val="es-MX" w:eastAsia="ar-SA"/>
              </w:rPr>
              <w:t xml:space="preserve"> en relación con la asesoría a los </w:t>
            </w:r>
            <w:r w:rsidR="002708EF">
              <w:rPr>
                <w:lang w:eastAsia="ar-SA"/>
              </w:rPr>
              <w:t>municipios</w:t>
            </w:r>
            <w:r w:rsidR="00D95F64">
              <w:rPr>
                <w:lang w:eastAsia="ar-SA"/>
              </w:rPr>
              <w:t xml:space="preserve"> en la </w:t>
            </w:r>
            <w:r w:rsidR="006D1431">
              <w:rPr>
                <w:lang w:val="es-ES"/>
              </w:rPr>
              <w:t xml:space="preserve">inclusión del componente ambiental en los procesos de planificación y ordenamiento territorial, con énfasis en la </w:t>
            </w:r>
            <w:r w:rsidR="00D95F64">
              <w:rPr>
                <w:lang w:eastAsia="ar-SA"/>
              </w:rPr>
              <w:t xml:space="preserve">incorporación de </w:t>
            </w:r>
            <w:r w:rsidR="002708EF">
              <w:rPr>
                <w:lang w:eastAsia="ar-SA"/>
              </w:rPr>
              <w:t>l</w:t>
            </w:r>
            <w:r w:rsidR="006D1431">
              <w:rPr>
                <w:lang w:eastAsia="ar-SA"/>
              </w:rPr>
              <w:t>a</w:t>
            </w:r>
            <w:r w:rsidR="002708EF">
              <w:rPr>
                <w:lang w:eastAsia="ar-SA"/>
              </w:rPr>
              <w:t>s determinantes ambientales en la actualización o revisión de los planes de ordenamiento territoria</w:t>
            </w:r>
            <w:r w:rsidR="00594481">
              <w:rPr>
                <w:lang w:eastAsia="ar-SA"/>
              </w:rPr>
              <w:t xml:space="preserve">l. (Incluye POT, PBOT, EOT) </w:t>
            </w:r>
          </w:p>
          <w:p w:rsidR="00E05B87" w:rsidRDefault="00E05B87" w:rsidP="00BE18F3">
            <w:pPr>
              <w:rPr>
                <w:b/>
                <w:lang w:val="es-MX" w:eastAsia="ar-SA"/>
              </w:rPr>
            </w:pPr>
          </w:p>
          <w:p w:rsidR="005F185A" w:rsidRDefault="00C67129" w:rsidP="00BE18F3">
            <w:pPr>
              <w:rPr>
                <w:b/>
                <w:lang w:val="es-MX" w:eastAsia="ar-SA"/>
              </w:rPr>
            </w:pPr>
            <w:r w:rsidRPr="00C67129">
              <w:rPr>
                <w:b/>
                <w:lang w:val="es-MX" w:eastAsia="ar-SA"/>
              </w:rPr>
              <w:t>Normatividad de soporte:</w:t>
            </w:r>
          </w:p>
          <w:p w:rsidR="00F04EDB" w:rsidRPr="00E80CF6" w:rsidRDefault="007D65E3" w:rsidP="005C3A5A">
            <w:pPr>
              <w:spacing w:after="0"/>
              <w:rPr>
                <w:lang w:val="es-MX" w:eastAsia="ar-SA"/>
              </w:rPr>
            </w:pPr>
            <w:r>
              <w:rPr>
                <w:lang w:val="es-MX" w:eastAsia="ar-SA"/>
              </w:rPr>
              <w:t>Ley 99 de 1993, Ley Marco del Medio Ambiente</w:t>
            </w:r>
            <w:r w:rsidR="00FD5D61">
              <w:rPr>
                <w:lang w:val="es-MX" w:eastAsia="ar-SA"/>
              </w:rPr>
              <w:t>.</w:t>
            </w:r>
            <w:r w:rsidR="00626D32">
              <w:rPr>
                <w:lang w:val="es-MX" w:eastAsia="ar-SA"/>
              </w:rPr>
              <w:t xml:space="preserve"> artículo 31</w:t>
            </w:r>
            <w:r w:rsidR="00626D32" w:rsidRPr="00E80CF6">
              <w:rPr>
                <w:lang w:val="es-MX" w:eastAsia="ar-SA"/>
              </w:rPr>
              <w:t>, Numerales 4) , 5) y 29) en cuanto a funciones de las CAR  (Coordinar el proceso de preparación de los planes, programas y proyectos de desarrollo medioambiental que deban formular los diferentes organismos y entidades integrantes del Sistema Nacional Ambiental (SINA) en el área de su jurisdicción y en especial, asesorar a los Departamentos, Distritos y Municipios de su comprensión territorial en la definición de los planes de desarrollo ambiental y en sus programas y proyectos en materia de protección del medio ambiente y los recursos naturales renovables, de manera que se asegure la armonía y coherencia de las políticas y acciones adoptadas por las distintas entidades territoriales;  Participar </w:t>
            </w:r>
            <w:bookmarkStart w:id="0" w:name="31.5"/>
            <w:r w:rsidR="00626D32" w:rsidRPr="00E80CF6">
              <w:rPr>
                <w:lang w:val="es-MX" w:eastAsia="ar-SA"/>
              </w:rPr>
              <w:t> </w:t>
            </w:r>
            <w:bookmarkEnd w:id="0"/>
            <w:r w:rsidR="00626D32" w:rsidRPr="00E80CF6">
              <w:rPr>
                <w:lang w:val="es-MX" w:eastAsia="ar-SA"/>
              </w:rPr>
              <w:t xml:space="preserve">con los demás organismos y entes </w:t>
            </w:r>
            <w:r w:rsidR="00626D32" w:rsidRPr="00E80CF6">
              <w:rPr>
                <w:lang w:val="es-MX" w:eastAsia="ar-SA"/>
              </w:rPr>
              <w:lastRenderedPageBreak/>
              <w:t xml:space="preserve">competentes en el ámbito de su jurisdicción, en los procesos de planificación y ordenamiento territorial a fin de que el factor ambiental sea tenido en cuenta en las decisiones que se adopten; </w:t>
            </w:r>
            <w:r w:rsidR="00E80CF6">
              <w:rPr>
                <w:lang w:val="es-MX" w:eastAsia="ar-SA"/>
              </w:rPr>
              <w:t xml:space="preserve"> </w:t>
            </w:r>
            <w:r w:rsidR="00626D32" w:rsidRPr="00E80CF6">
              <w:rPr>
                <w:lang w:val="es-MX" w:eastAsia="ar-SA"/>
              </w:rPr>
              <w:t>y Apoyar a los concejos municipales, a las asambleas departamentales y a los consejos de las entidades territoriales indígenas en las funciones de planificación que les otorga la Constitución Nacional)</w:t>
            </w:r>
          </w:p>
          <w:p w:rsidR="00A7496B" w:rsidRDefault="00FD5D61" w:rsidP="00E80CF6">
            <w:pPr>
              <w:pStyle w:val="NormalWeb"/>
              <w:shd w:val="clear" w:color="auto" w:fill="FFFFFF"/>
              <w:jc w:val="both"/>
              <w:rPr>
                <w:rFonts w:ascii="Calibri" w:hAnsi="Calibri"/>
                <w:sz w:val="18"/>
                <w:szCs w:val="18"/>
                <w:lang w:val="es-MX" w:eastAsia="ar-SA"/>
              </w:rPr>
            </w:pPr>
            <w:r w:rsidRPr="00626D32">
              <w:rPr>
                <w:rFonts w:ascii="Calibri" w:hAnsi="Calibri"/>
                <w:sz w:val="18"/>
                <w:szCs w:val="18"/>
                <w:lang w:val="es-MX" w:eastAsia="ar-SA"/>
              </w:rPr>
              <w:t>Ley 388 de 1997, Planes de Ordenamiento Territorial</w:t>
            </w:r>
            <w:r w:rsidRPr="00E80CF6">
              <w:rPr>
                <w:rFonts w:ascii="Calibri" w:hAnsi="Calibri"/>
                <w:sz w:val="18"/>
                <w:szCs w:val="18"/>
                <w:lang w:val="es-MX" w:eastAsia="ar-SA"/>
              </w:rPr>
              <w:t>.</w:t>
            </w:r>
            <w:r w:rsidR="00626D32" w:rsidRPr="00E80CF6">
              <w:rPr>
                <w:rFonts w:ascii="Calibri" w:hAnsi="Calibri"/>
                <w:sz w:val="18"/>
                <w:szCs w:val="18"/>
                <w:lang w:val="es-MX" w:eastAsia="ar-SA"/>
              </w:rPr>
              <w:t xml:space="preserve"> Art</w:t>
            </w:r>
            <w:r w:rsidR="00A7496B" w:rsidRPr="00E80CF6">
              <w:rPr>
                <w:rFonts w:ascii="Calibri" w:hAnsi="Calibri"/>
                <w:sz w:val="18"/>
                <w:szCs w:val="18"/>
                <w:lang w:val="es-MX" w:eastAsia="ar-SA"/>
              </w:rPr>
              <w:t>ículo 10, numeral</w:t>
            </w:r>
            <w:r w:rsidR="00626D32" w:rsidRPr="00E80CF6">
              <w:rPr>
                <w:rFonts w:ascii="Calibri" w:hAnsi="Calibri"/>
                <w:sz w:val="18"/>
                <w:szCs w:val="18"/>
                <w:lang w:val="es-MX" w:eastAsia="ar-SA"/>
              </w:rPr>
              <w:t xml:space="preserve"> 1</w:t>
            </w:r>
            <w:r w:rsidR="00A7496B" w:rsidRPr="00E80CF6">
              <w:rPr>
                <w:rFonts w:ascii="Calibri" w:hAnsi="Calibri"/>
                <w:sz w:val="18"/>
                <w:szCs w:val="18"/>
                <w:lang w:val="es-MX" w:eastAsia="ar-SA"/>
              </w:rPr>
              <w:t>)</w:t>
            </w:r>
            <w:r w:rsidR="00626D32" w:rsidRPr="00E80CF6">
              <w:rPr>
                <w:rFonts w:ascii="Calibri" w:hAnsi="Calibri"/>
                <w:sz w:val="18"/>
                <w:szCs w:val="18"/>
                <w:lang w:val="es-MX" w:eastAsia="ar-SA"/>
              </w:rPr>
              <w:t xml:space="preserve"> Determinantes de los planes de ordenamiento territorial. En la elaboración y adopción de sus planes de ordenamiento territorial los municipios y distritos deberán tener en cuenta las siguientes determinantes, que constituyen normas de superior jerarquía, en sus propios ámbitos de competencia, de acuerdo con la Constitución y las </w:t>
            </w:r>
            <w:proofErr w:type="gramStart"/>
            <w:r w:rsidR="00626D32" w:rsidRPr="00E80CF6">
              <w:rPr>
                <w:rFonts w:ascii="Calibri" w:hAnsi="Calibri"/>
                <w:sz w:val="18"/>
                <w:szCs w:val="18"/>
                <w:lang w:val="es-MX" w:eastAsia="ar-SA"/>
              </w:rPr>
              <w:t>leyes</w:t>
            </w:r>
            <w:r w:rsidR="00A7496B" w:rsidRPr="00E80CF6">
              <w:rPr>
                <w:rFonts w:ascii="Calibri" w:hAnsi="Calibri"/>
                <w:sz w:val="18"/>
                <w:szCs w:val="18"/>
                <w:lang w:val="es-MX" w:eastAsia="ar-SA"/>
              </w:rPr>
              <w:t xml:space="preserve"> </w:t>
            </w:r>
            <w:r w:rsidR="00626D32" w:rsidRPr="00E80CF6">
              <w:rPr>
                <w:rFonts w:ascii="Calibri" w:hAnsi="Calibri"/>
                <w:sz w:val="18"/>
                <w:szCs w:val="18"/>
                <w:lang w:val="es-MX" w:eastAsia="ar-SA"/>
              </w:rPr>
              <w:t>:</w:t>
            </w:r>
            <w:proofErr w:type="gramEnd"/>
            <w:r w:rsidR="00E80CF6" w:rsidRPr="00E80CF6">
              <w:rPr>
                <w:rFonts w:ascii="Calibri" w:hAnsi="Calibri"/>
                <w:sz w:val="18"/>
                <w:szCs w:val="18"/>
                <w:lang w:val="es-MX" w:eastAsia="ar-SA"/>
              </w:rPr>
              <w:t xml:space="preserve"> </w:t>
            </w:r>
            <w:r w:rsidR="00626D32" w:rsidRPr="00E80CF6">
              <w:rPr>
                <w:rFonts w:ascii="Calibri" w:hAnsi="Calibri"/>
                <w:sz w:val="18"/>
                <w:szCs w:val="18"/>
                <w:lang w:val="es-MX" w:eastAsia="ar-SA"/>
              </w:rPr>
              <w:t>1.</w:t>
            </w:r>
            <w:r w:rsidR="00A7496B" w:rsidRPr="00E80CF6">
              <w:rPr>
                <w:rFonts w:ascii="Calibri" w:hAnsi="Calibri"/>
                <w:sz w:val="18"/>
                <w:szCs w:val="18"/>
                <w:lang w:val="es-MX" w:eastAsia="ar-SA"/>
              </w:rPr>
              <w:t>)</w:t>
            </w:r>
            <w:r w:rsidR="00626D32" w:rsidRPr="00E80CF6">
              <w:rPr>
                <w:rFonts w:ascii="Calibri" w:hAnsi="Calibri"/>
                <w:sz w:val="18"/>
                <w:szCs w:val="18"/>
                <w:lang w:val="es-MX" w:eastAsia="ar-SA"/>
              </w:rPr>
              <w:t xml:space="preserve"> Las relacionadas con la conservación y protección del medio ambiente, los recursos naturales la prevención de amenazas y riesgos naturales</w:t>
            </w:r>
            <w:r w:rsidR="00A7496B" w:rsidRPr="00E80CF6">
              <w:rPr>
                <w:rFonts w:ascii="Calibri" w:hAnsi="Calibri"/>
                <w:sz w:val="18"/>
                <w:szCs w:val="18"/>
                <w:lang w:val="es-MX" w:eastAsia="ar-SA"/>
              </w:rPr>
              <w:t xml:space="preserve">;  </w:t>
            </w:r>
            <w:r w:rsidR="00E80CF6">
              <w:rPr>
                <w:rFonts w:ascii="Calibri" w:hAnsi="Calibri"/>
                <w:sz w:val="18"/>
                <w:szCs w:val="18"/>
                <w:lang w:val="es-MX" w:eastAsia="ar-SA"/>
              </w:rPr>
              <w:t>A</w:t>
            </w:r>
            <w:r w:rsidR="00A7496B" w:rsidRPr="00E80CF6">
              <w:rPr>
                <w:rFonts w:ascii="Calibri" w:hAnsi="Calibri"/>
                <w:sz w:val="18"/>
                <w:szCs w:val="18"/>
                <w:lang w:val="es-MX" w:eastAsia="ar-SA"/>
              </w:rPr>
              <w:t>rtículo 24) Instancias de concertación y consulta. El alcalde distrital o municipal, a través de las oficinas de planeación o de la dependencia que haga sus veces, será responsable de coordinar la formulación oportuna del proyecto del plan de Ordenamiento Territorial, y de someterlo a consideración del Consejo de Gobierno.</w:t>
            </w:r>
            <w:r w:rsidR="00E16497" w:rsidRPr="00E80CF6">
              <w:rPr>
                <w:rFonts w:ascii="Calibri" w:hAnsi="Calibri"/>
                <w:sz w:val="18"/>
                <w:szCs w:val="18"/>
                <w:lang w:val="es-MX" w:eastAsia="ar-SA"/>
              </w:rPr>
              <w:t xml:space="preserve"> </w:t>
            </w:r>
            <w:r w:rsidR="00A7496B" w:rsidRPr="00E80CF6">
              <w:rPr>
                <w:rFonts w:ascii="Calibri" w:hAnsi="Calibri"/>
                <w:sz w:val="18"/>
                <w:szCs w:val="18"/>
                <w:lang w:val="es-MX" w:eastAsia="ar-SA"/>
              </w:rPr>
              <w:t>En todo caso, antes de la presentación del proyecto de plan de ordenamiento territorial a consideración del concejo distrital o municipal, se surtirán los trámites de concertación interinstitucional y consulta ciudadana, de acuerdo con el siguiente procedimiento</w:t>
            </w:r>
            <w:proofErr w:type="gramStart"/>
            <w:r w:rsidR="00A7496B" w:rsidRPr="00E80CF6">
              <w:rPr>
                <w:rFonts w:ascii="Calibri" w:hAnsi="Calibri"/>
                <w:sz w:val="18"/>
                <w:szCs w:val="18"/>
                <w:lang w:val="es-MX" w:eastAsia="ar-SA"/>
              </w:rPr>
              <w:t>:1</w:t>
            </w:r>
            <w:proofErr w:type="gramEnd"/>
            <w:r w:rsidR="00A7496B" w:rsidRPr="00E80CF6">
              <w:rPr>
                <w:rFonts w:ascii="Calibri" w:hAnsi="Calibri"/>
                <w:sz w:val="18"/>
                <w:szCs w:val="18"/>
                <w:lang w:val="es-MX" w:eastAsia="ar-SA"/>
              </w:rPr>
              <w:t>. El proyecto de Plan se someterá a consideración de la Corporación Autónoma Regional o autoridad ambiental correspondiente, para su aprobación en lo concerniente a los asuntos exclusivamente ambientales, dentro del ámbito de su competencia de acuerdo con lo dispuesto por la Ley 99 de 1993 y en especial por su artículo 66</w:t>
            </w:r>
            <w:r w:rsidR="00E80CF6">
              <w:rPr>
                <w:rFonts w:ascii="Calibri" w:hAnsi="Calibri"/>
                <w:sz w:val="18"/>
                <w:szCs w:val="18"/>
                <w:lang w:val="es-MX" w:eastAsia="ar-SA"/>
              </w:rPr>
              <w:t>.</w:t>
            </w:r>
            <w:r w:rsidR="00A7496B" w:rsidRPr="00E80CF6">
              <w:rPr>
                <w:rFonts w:ascii="Calibri" w:hAnsi="Calibri"/>
                <w:sz w:val="18"/>
                <w:szCs w:val="18"/>
                <w:lang w:val="es-MX" w:eastAsia="ar-SA"/>
              </w:rPr>
              <w:t>, para lo cual dispondrá de treinta (30) días; sólo podrá ser objetado por razones técnicas y fundadas en los estudios previos. Esta decisión será, en todo caso, será apelable ante el Ministerio del Medio Ambiente. En los casos que la segunda instancia corresponde al Ministerio del Medio Ambiente, éste podrá asumir la competencia para considerar el Plan de Ordenamiento Territorial cuando transcurra treinta (30) días hábiles sin que la Corporación Autónoma Regional o autoridad ambiental competente haya adoptado una decisión.</w:t>
            </w:r>
          </w:p>
          <w:p w:rsidR="00E80CF6" w:rsidRPr="00E80CF6" w:rsidRDefault="00E80CF6" w:rsidP="00E80CF6">
            <w:pPr>
              <w:pStyle w:val="NormalWeb"/>
              <w:shd w:val="clear" w:color="auto" w:fill="FFFFFF"/>
              <w:jc w:val="both"/>
              <w:rPr>
                <w:rFonts w:ascii="Arial" w:hAnsi="Arial" w:cs="Arial"/>
                <w:color w:val="000000"/>
                <w:sz w:val="27"/>
                <w:szCs w:val="27"/>
              </w:rPr>
            </w:pPr>
            <w:r>
              <w:rPr>
                <w:rFonts w:ascii="Calibri" w:hAnsi="Calibri"/>
                <w:sz w:val="18"/>
                <w:szCs w:val="18"/>
                <w:lang w:val="es-MX" w:eastAsia="ar-SA"/>
              </w:rPr>
              <w:t xml:space="preserve">Ley 507 de 1999, Artículo 1, parágrafo 6. </w:t>
            </w:r>
            <w:r w:rsidRPr="00E80CF6">
              <w:rPr>
                <w:rFonts w:ascii="Calibri" w:hAnsi="Calibri"/>
                <w:sz w:val="18"/>
                <w:szCs w:val="18"/>
                <w:lang w:val="es-MX" w:eastAsia="ar-SA"/>
              </w:rPr>
              <w:t>Parágrafo</w:t>
            </w:r>
            <w:proofErr w:type="gramStart"/>
            <w:r w:rsidRPr="00E80CF6">
              <w:rPr>
                <w:rFonts w:ascii="Calibri" w:hAnsi="Calibri"/>
                <w:sz w:val="18"/>
                <w:szCs w:val="18"/>
                <w:lang w:val="es-MX" w:eastAsia="ar-SA"/>
              </w:rPr>
              <w:t> </w:t>
            </w:r>
            <w:bookmarkStart w:id="1" w:name="6"/>
            <w:r w:rsidRPr="00E80CF6">
              <w:rPr>
                <w:rFonts w:ascii="Calibri" w:hAnsi="Calibri"/>
                <w:sz w:val="18"/>
                <w:szCs w:val="18"/>
                <w:lang w:val="es-MX" w:eastAsia="ar-SA"/>
              </w:rPr>
              <w:t> </w:t>
            </w:r>
            <w:bookmarkEnd w:id="1"/>
            <w:r w:rsidRPr="00E80CF6">
              <w:rPr>
                <w:rFonts w:ascii="Calibri" w:hAnsi="Calibri"/>
                <w:sz w:val="18"/>
                <w:szCs w:val="18"/>
                <w:lang w:val="es-MX" w:eastAsia="ar-SA"/>
              </w:rPr>
              <w:t>6</w:t>
            </w:r>
            <w:proofErr w:type="gramEnd"/>
            <w:r w:rsidRPr="00E80CF6">
              <w:rPr>
                <w:rFonts w:ascii="Calibri" w:hAnsi="Calibri"/>
                <w:sz w:val="18"/>
                <w:szCs w:val="18"/>
                <w:lang w:val="es-MX" w:eastAsia="ar-SA"/>
              </w:rPr>
              <w:t>. El Proyecto de Plan de Ordenamiento Territorial (POT) se someterá a consideración de la Corporación Autónoma Regional o autoridad ambiental competente a efectos de que conjuntamente con el municipio y/o distrito concerten lo concerniente a los asuntos exclusivamente ambientales, dentro del ámbito de su competencia de acuerdo con lo dispuesto en la Ley 99 de 1993, para lo cual dispondrán, de treinta (30) días. En relación con los temas sobre los cuales no se logre la concertación, el Ministerio del Medio Ambiente intervendrá con el fin de decidir sobre los puntos de desacuerdo para lo cual dispondrá de un término máximo de treinta (30) días contados a partir del vencimiento del plazo anteriormente señalado en este parágrafo</w:t>
            </w:r>
            <w:r w:rsidRPr="00E80CF6">
              <w:rPr>
                <w:rFonts w:ascii="Arial" w:hAnsi="Arial" w:cs="Arial"/>
                <w:color w:val="000000"/>
                <w:sz w:val="27"/>
                <w:szCs w:val="27"/>
              </w:rPr>
              <w:t>.</w:t>
            </w:r>
          </w:p>
          <w:p w:rsidR="00A7496B" w:rsidRPr="006D1431" w:rsidRDefault="007D65E3" w:rsidP="00A7496B">
            <w:pPr>
              <w:pStyle w:val="NormalWeb"/>
              <w:shd w:val="clear" w:color="auto" w:fill="FFFFFF"/>
              <w:rPr>
                <w:rFonts w:ascii="Calibri" w:hAnsi="Calibri"/>
                <w:sz w:val="18"/>
                <w:szCs w:val="18"/>
                <w:lang w:val="es-MX" w:eastAsia="ar-SA"/>
              </w:rPr>
            </w:pPr>
            <w:r w:rsidRPr="00A7496B">
              <w:rPr>
                <w:rFonts w:ascii="Calibri" w:hAnsi="Calibri"/>
                <w:sz w:val="18"/>
                <w:szCs w:val="18"/>
                <w:lang w:val="es-MX" w:eastAsia="ar-SA"/>
              </w:rPr>
              <w:t xml:space="preserve">Ley 1753 de 2015, Plan Nacional de </w:t>
            </w:r>
            <w:r w:rsidRPr="006D1431">
              <w:rPr>
                <w:rFonts w:ascii="Calibri" w:hAnsi="Calibri"/>
                <w:sz w:val="18"/>
                <w:szCs w:val="18"/>
                <w:lang w:val="es-MX" w:eastAsia="ar-SA"/>
              </w:rPr>
              <w:t>Desarrollo</w:t>
            </w:r>
            <w:r w:rsidR="00D2269E" w:rsidRPr="006D1431">
              <w:rPr>
                <w:rFonts w:ascii="Calibri" w:hAnsi="Calibri"/>
                <w:sz w:val="18"/>
                <w:szCs w:val="18"/>
                <w:lang w:val="es-MX" w:eastAsia="ar-SA"/>
              </w:rPr>
              <w:t>, bases PND</w:t>
            </w:r>
            <w:r w:rsidR="00077899" w:rsidRPr="006D1431">
              <w:rPr>
                <w:rFonts w:ascii="Calibri" w:hAnsi="Calibri"/>
                <w:sz w:val="18"/>
                <w:szCs w:val="18"/>
                <w:lang w:val="es-MX" w:eastAsia="ar-SA"/>
              </w:rPr>
              <w:t xml:space="preserve"> estrategia Territorial A y E</w:t>
            </w:r>
          </w:p>
          <w:p w:rsidR="007D65E3" w:rsidRPr="00A7496B" w:rsidRDefault="00F4720E" w:rsidP="00A7496B">
            <w:pPr>
              <w:pStyle w:val="NormalWeb"/>
              <w:shd w:val="clear" w:color="auto" w:fill="FFFFFF"/>
              <w:rPr>
                <w:rFonts w:ascii="Calibri" w:hAnsi="Calibri"/>
                <w:sz w:val="18"/>
                <w:szCs w:val="18"/>
                <w:lang w:val="es-MX" w:eastAsia="ar-SA"/>
              </w:rPr>
            </w:pPr>
            <w:r w:rsidRPr="00A7496B">
              <w:rPr>
                <w:rFonts w:ascii="Calibri" w:hAnsi="Calibri"/>
                <w:sz w:val="18"/>
                <w:szCs w:val="18"/>
                <w:lang w:val="es-MX" w:eastAsia="ar-SA"/>
              </w:rPr>
              <w:t>Decreto 1076 de 2015</w:t>
            </w:r>
            <w:r w:rsidR="007D65E3" w:rsidRPr="00A7496B">
              <w:rPr>
                <w:rFonts w:ascii="Calibri" w:hAnsi="Calibri"/>
                <w:sz w:val="18"/>
                <w:szCs w:val="18"/>
                <w:lang w:val="es-MX" w:eastAsia="ar-SA"/>
              </w:rPr>
              <w:t>, Decreto Único Reglamentario del Ambiente</w:t>
            </w:r>
            <w:r w:rsidR="00FD5D61" w:rsidRPr="00A7496B">
              <w:rPr>
                <w:rFonts w:ascii="Calibri" w:hAnsi="Calibri"/>
                <w:sz w:val="18"/>
                <w:szCs w:val="18"/>
                <w:lang w:val="es-MX" w:eastAsia="ar-SA"/>
              </w:rPr>
              <w:t>.</w:t>
            </w:r>
          </w:p>
          <w:p w:rsidR="00AE5BEA" w:rsidRPr="00AE5BEA" w:rsidRDefault="00AE5BEA" w:rsidP="001F755C">
            <w:pPr>
              <w:spacing w:before="240"/>
              <w:rPr>
                <w:b/>
                <w:lang w:val="es-ES"/>
              </w:rPr>
            </w:pPr>
            <w:r w:rsidRPr="00AE5BEA">
              <w:rPr>
                <w:b/>
                <w:lang w:val="es-ES"/>
              </w:rPr>
              <w:t>Documentos de referencia:</w:t>
            </w:r>
          </w:p>
          <w:p w:rsidR="007D65E3" w:rsidRPr="00C67129" w:rsidRDefault="007D65E3" w:rsidP="002A4FB1">
            <w:pPr>
              <w:rPr>
                <w:b/>
                <w:sz w:val="20"/>
                <w:szCs w:val="20"/>
                <w:lang w:val="es-MX" w:eastAsia="ar-SA"/>
              </w:rPr>
            </w:pPr>
            <w:r w:rsidRPr="007D65E3">
              <w:rPr>
                <w:lang w:val="es-MX" w:eastAsia="ar-SA"/>
              </w:rPr>
              <w:t>Plan Nacional de Desarrollo</w:t>
            </w:r>
          </w:p>
        </w:tc>
      </w:tr>
      <w:tr w:rsidR="00121693" w:rsidRPr="00B771A6" w:rsidTr="00C20065">
        <w:trPr>
          <w:trHeight w:val="20"/>
          <w:jc w:val="center"/>
        </w:trPr>
        <w:tc>
          <w:tcPr>
            <w:tcW w:w="1166" w:type="pct"/>
            <w:vAlign w:val="center"/>
          </w:tcPr>
          <w:p w:rsidR="005F185A" w:rsidRPr="00B771A6" w:rsidRDefault="005F185A" w:rsidP="00982A21">
            <w:pPr>
              <w:jc w:val="left"/>
              <w:rPr>
                <w:bCs/>
                <w:lang w:eastAsia="ar-SA"/>
              </w:rPr>
            </w:pPr>
            <w:r w:rsidRPr="00B771A6">
              <w:rPr>
                <w:lang w:val="es-MX" w:eastAsia="ar-SA"/>
              </w:rPr>
              <w:lastRenderedPageBreak/>
              <w:t>Metas / Estándares</w:t>
            </w:r>
          </w:p>
        </w:tc>
        <w:tc>
          <w:tcPr>
            <w:tcW w:w="3834" w:type="pct"/>
            <w:vAlign w:val="center"/>
          </w:tcPr>
          <w:p w:rsidR="00FD5D61" w:rsidRPr="006855FB" w:rsidRDefault="00FD5D61" w:rsidP="00FE7C18">
            <w:pPr>
              <w:rPr>
                <w:lang w:eastAsia="ar-SA"/>
              </w:rPr>
            </w:pPr>
          </w:p>
        </w:tc>
      </w:tr>
      <w:tr w:rsidR="00121693" w:rsidRPr="00B771A6" w:rsidTr="00C20065">
        <w:trPr>
          <w:trHeight w:val="20"/>
          <w:jc w:val="center"/>
        </w:trPr>
        <w:tc>
          <w:tcPr>
            <w:tcW w:w="1166" w:type="pct"/>
            <w:vAlign w:val="center"/>
          </w:tcPr>
          <w:p w:rsidR="005F185A" w:rsidRPr="00B771A6" w:rsidRDefault="005F185A" w:rsidP="00982A21">
            <w:pPr>
              <w:jc w:val="left"/>
              <w:rPr>
                <w:lang w:eastAsia="ar-SA"/>
              </w:rPr>
            </w:pPr>
            <w:r w:rsidRPr="00B771A6">
              <w:rPr>
                <w:lang w:eastAsia="ar-SA"/>
              </w:rPr>
              <w:t>Marco conceptual</w:t>
            </w:r>
          </w:p>
        </w:tc>
        <w:tc>
          <w:tcPr>
            <w:tcW w:w="3834" w:type="pct"/>
          </w:tcPr>
          <w:p w:rsidR="006D1431" w:rsidRDefault="006D1431" w:rsidP="002A4FB1">
            <w:pPr>
              <w:rPr>
                <w:lang w:eastAsia="ar-SA"/>
              </w:rPr>
            </w:pPr>
            <w:r w:rsidRPr="006D1431">
              <w:rPr>
                <w:lang w:eastAsia="ar-SA"/>
              </w:rPr>
              <w:t xml:space="preserve">De acuerdo con la Ley 99 de 1993, el objeto de las Corporaciones Autónomas Regionales y las de Desarrollo Sostenible, es la ejecución de políticas, planes, programas y proyectos sobre medio ambiente y recursos naturales renovables en lo relacionado con su administración, manejo y aprovechamiento. Así, las corporaciones son las encargadas de administrar, dentro del área de su jurisdicción, el medio ambiente y los recursos naturales renovables y propender por su desarrollo sostenible, de conformidad con las disposiciones legales y las políticas del Ministerio del Medio Ambiente. Esto significa que las CAR tienen un rol preponderante en la incorporación de los temas ambientales en los ejercicios de </w:t>
            </w:r>
            <w:r>
              <w:rPr>
                <w:lang w:eastAsia="ar-SA"/>
              </w:rPr>
              <w:t xml:space="preserve">planificación y </w:t>
            </w:r>
            <w:r w:rsidRPr="006D1431">
              <w:rPr>
                <w:lang w:eastAsia="ar-SA"/>
              </w:rPr>
              <w:t xml:space="preserve">ordenamiento territorial de los municipios y distritos, principalmente, en los modelos de ocupación territorial por ellos propuestos. Para lo anterior, las CAR en conjunto con los organismos nacionales adscritos y vinculados al MADS y con las entidades técnicas y científicas del SINA, deben adelantar estudios e investigaciones, enfocadas al análisis territorial que le permita tomar decisiones y emprender las acciones pertinentes para identificar las determinantes ambientales </w:t>
            </w:r>
            <w:bookmarkStart w:id="2" w:name="_GoBack"/>
            <w:bookmarkEnd w:id="2"/>
            <w:r w:rsidRPr="006D1431">
              <w:rPr>
                <w:lang w:eastAsia="ar-SA"/>
              </w:rPr>
              <w:t>de su jurisdicción.</w:t>
            </w:r>
          </w:p>
          <w:p w:rsidR="00E05B87" w:rsidRDefault="00E05B87" w:rsidP="002A4FB1">
            <w:pPr>
              <w:rPr>
                <w:lang w:eastAsia="ar-SA"/>
              </w:rPr>
            </w:pPr>
          </w:p>
          <w:p w:rsidR="00E05B87" w:rsidRDefault="006D1431" w:rsidP="002A4FB1">
            <w:pPr>
              <w:rPr>
                <w:lang w:eastAsia="ar-SA"/>
              </w:rPr>
            </w:pPr>
            <w:r w:rsidRPr="006D1431">
              <w:rPr>
                <w:lang w:eastAsia="ar-SA"/>
              </w:rPr>
              <w:t>E</w:t>
            </w:r>
            <w:r>
              <w:rPr>
                <w:lang w:eastAsia="ar-SA"/>
              </w:rPr>
              <w:t xml:space="preserve">l factor ambiental es fundamental para asegurar el desarrollo sostenible y la resiliencia territorial de los ejercicios </w:t>
            </w:r>
            <w:proofErr w:type="gramStart"/>
            <w:r>
              <w:rPr>
                <w:lang w:eastAsia="ar-SA"/>
              </w:rPr>
              <w:t xml:space="preserve">de </w:t>
            </w:r>
            <w:r w:rsidRPr="006D1431">
              <w:rPr>
                <w:lang w:eastAsia="ar-SA"/>
              </w:rPr>
              <w:t xml:space="preserve"> </w:t>
            </w:r>
            <w:r>
              <w:rPr>
                <w:lang w:eastAsia="ar-SA"/>
              </w:rPr>
              <w:t>planificaci</w:t>
            </w:r>
            <w:r w:rsidR="00DD6FC3">
              <w:rPr>
                <w:lang w:eastAsia="ar-SA"/>
              </w:rPr>
              <w:t>ón</w:t>
            </w:r>
            <w:proofErr w:type="gramEnd"/>
            <w:r w:rsidR="00DD6FC3">
              <w:rPr>
                <w:lang w:eastAsia="ar-SA"/>
              </w:rPr>
              <w:t xml:space="preserve"> territorial de los municipios y distritos.</w:t>
            </w:r>
            <w:r w:rsidRPr="006D1431">
              <w:rPr>
                <w:lang w:eastAsia="ar-SA"/>
              </w:rPr>
              <w:t xml:space="preserve"> </w:t>
            </w:r>
            <w:r w:rsidR="00DD6FC3">
              <w:rPr>
                <w:lang w:eastAsia="ar-SA"/>
              </w:rPr>
              <w:t xml:space="preserve">Complementario a lo anterior, </w:t>
            </w:r>
            <w:r w:rsidRPr="006D1431">
              <w:rPr>
                <w:lang w:eastAsia="ar-SA"/>
              </w:rPr>
              <w:t>la Ley 388 de 1997 fijó los objetivos, principios y fines del ordenamiento territorial que rigen las actuaciones de las autoridades municipales y</w:t>
            </w:r>
          </w:p>
          <w:p w:rsidR="006D1431" w:rsidRDefault="006D1431" w:rsidP="002A4FB1">
            <w:pPr>
              <w:rPr>
                <w:lang w:eastAsia="ar-SA"/>
              </w:rPr>
            </w:pPr>
            <w:r w:rsidRPr="006D1431">
              <w:rPr>
                <w:lang w:eastAsia="ar-SA"/>
              </w:rPr>
              <w:lastRenderedPageBreak/>
              <w:t xml:space="preserve"> distritales para alcanzar el objeto del ordenamiento del territorio municipal o distrital, esto es, complementar la planificación económica y social con la dimensión territorial, racionalizar las intervenciones sobre el territorio y orientar su desarrollo y aprovechamiento sostenible en los términos de los artículos 1 º, 2 º, 3 º y 6 º de la mencionada ley.</w:t>
            </w:r>
          </w:p>
          <w:p w:rsidR="00500833" w:rsidRDefault="00FE7C18" w:rsidP="002A4FB1">
            <w:pPr>
              <w:rPr>
                <w:lang w:eastAsia="ar-SA"/>
              </w:rPr>
            </w:pPr>
            <w:r w:rsidRPr="00FD5D61">
              <w:rPr>
                <w:lang w:eastAsia="ar-SA"/>
              </w:rPr>
              <w:t xml:space="preserve">La ley 388 de 1997 en su artículo 10º establece los Determinantes </w:t>
            </w:r>
            <w:r w:rsidR="00FA24AE">
              <w:rPr>
                <w:lang w:eastAsia="ar-SA"/>
              </w:rPr>
              <w:t>ambientales</w:t>
            </w:r>
            <w:r w:rsidR="00500833">
              <w:rPr>
                <w:lang w:eastAsia="ar-SA"/>
              </w:rPr>
              <w:t xml:space="preserve">, los </w:t>
            </w:r>
            <w:r w:rsidR="00500833" w:rsidRPr="00500833">
              <w:rPr>
                <w:lang w:eastAsia="ar-SA"/>
              </w:rPr>
              <w:t>constituyen un conjunto de directrices, orientaciones, conceptos y normas que permiten el adecuado reconocimiento del Componente Ambiental en los Planes, Planes Básicos y Esquemas de Ordenamiento Territorial, y su articulación con otros instrumentos de planificación y uso del territorio</w:t>
            </w:r>
            <w:r w:rsidR="00500833">
              <w:rPr>
                <w:lang w:eastAsia="ar-SA"/>
              </w:rPr>
              <w:t>.</w:t>
            </w:r>
          </w:p>
          <w:p w:rsidR="00FE7C18" w:rsidRDefault="00FE7C18" w:rsidP="002A4FB1">
            <w:pPr>
              <w:rPr>
                <w:lang w:eastAsia="ar-SA"/>
              </w:rPr>
            </w:pPr>
            <w:r w:rsidRPr="00FD5D61">
              <w:rPr>
                <w:lang w:eastAsia="ar-SA"/>
              </w:rPr>
              <w:t>La mencionada Ley plantea que en la elaboración y adopción de los planes de ordenamiento territorial los municipios y distritos deberán tener en cuenta</w:t>
            </w:r>
            <w:r w:rsidR="00500833">
              <w:rPr>
                <w:lang w:eastAsia="ar-SA"/>
              </w:rPr>
              <w:t>,</w:t>
            </w:r>
            <w:r w:rsidRPr="00FD5D61">
              <w:rPr>
                <w:lang w:eastAsia="ar-SA"/>
              </w:rPr>
              <w:t xml:space="preserve"> entre otros determinantes</w:t>
            </w:r>
            <w:r w:rsidR="00500833">
              <w:rPr>
                <w:lang w:eastAsia="ar-SA"/>
              </w:rPr>
              <w:t>,</w:t>
            </w:r>
            <w:r w:rsidRPr="00FD5D61">
              <w:rPr>
                <w:lang w:eastAsia="ar-SA"/>
              </w:rPr>
              <w:t xml:space="preserve"> </w:t>
            </w:r>
            <w:proofErr w:type="gramStart"/>
            <w:r w:rsidRPr="00FD5D61">
              <w:rPr>
                <w:lang w:eastAsia="ar-SA"/>
              </w:rPr>
              <w:t>los</w:t>
            </w:r>
            <w:proofErr w:type="gramEnd"/>
            <w:r w:rsidRPr="00FD5D61">
              <w:rPr>
                <w:lang w:eastAsia="ar-SA"/>
              </w:rPr>
              <w:t xml:space="preserve"> relacionadas con la conservación y protección del medio ambiente, los recursos naturales la prevención de amenazas y riesgos naturales.</w:t>
            </w:r>
          </w:p>
          <w:p w:rsidR="002A4FB1" w:rsidRPr="00DD6FC3" w:rsidRDefault="002A4FB1" w:rsidP="002A4FB1">
            <w:pPr>
              <w:rPr>
                <w:lang w:val="es-MX" w:eastAsia="ar-SA"/>
              </w:rPr>
            </w:pPr>
            <w:r w:rsidRPr="002A4FB1">
              <w:rPr>
                <w:lang w:val="es-MX" w:eastAsia="ar-SA"/>
              </w:rPr>
              <w:t>Las autoridades ambientales juegan un papel central como asesores</w:t>
            </w:r>
            <w:r w:rsidR="00007B02">
              <w:rPr>
                <w:lang w:val="es-MX" w:eastAsia="ar-SA"/>
              </w:rPr>
              <w:t xml:space="preserve"> técnicos</w:t>
            </w:r>
            <w:r w:rsidR="00DD6FC3">
              <w:rPr>
                <w:lang w:val="es-MX" w:eastAsia="ar-SA"/>
              </w:rPr>
              <w:t xml:space="preserve"> para procurar la </w:t>
            </w:r>
            <w:r w:rsidR="00DD6FC3">
              <w:rPr>
                <w:lang w:val="es-ES"/>
              </w:rPr>
              <w:t xml:space="preserve">inclusión del componente ambiental en los procesos de planificación y ordenamiento de las entidades territoriales, en especial en lo relacionado con la incorporación </w:t>
            </w:r>
            <w:r w:rsidR="00F8082B">
              <w:rPr>
                <w:lang w:val="es-MX" w:eastAsia="ar-SA"/>
              </w:rPr>
              <w:t>de</w:t>
            </w:r>
            <w:r w:rsidR="002708EF">
              <w:rPr>
                <w:lang w:val="es-MX" w:eastAsia="ar-SA"/>
              </w:rPr>
              <w:t xml:space="preserve"> </w:t>
            </w:r>
            <w:r w:rsidR="00F8082B">
              <w:rPr>
                <w:lang w:val="es-MX" w:eastAsia="ar-SA"/>
              </w:rPr>
              <w:t>l</w:t>
            </w:r>
            <w:r w:rsidR="00DD6FC3">
              <w:rPr>
                <w:lang w:val="es-MX" w:eastAsia="ar-SA"/>
              </w:rPr>
              <w:t>a</w:t>
            </w:r>
            <w:r w:rsidR="002708EF">
              <w:rPr>
                <w:lang w:val="es-MX" w:eastAsia="ar-SA"/>
              </w:rPr>
              <w:t xml:space="preserve">s determinantes ambientales en los </w:t>
            </w:r>
            <w:r w:rsidRPr="002A4FB1">
              <w:rPr>
                <w:lang w:val="es-MX" w:eastAsia="ar-SA"/>
              </w:rPr>
              <w:t>instrumentos de planificac</w:t>
            </w:r>
            <w:r w:rsidR="00F8082B">
              <w:rPr>
                <w:lang w:val="es-MX" w:eastAsia="ar-SA"/>
              </w:rPr>
              <w:t xml:space="preserve">ión </w:t>
            </w:r>
            <w:r w:rsidR="002708EF">
              <w:rPr>
                <w:lang w:val="es-MX" w:eastAsia="ar-SA"/>
              </w:rPr>
              <w:t xml:space="preserve">territorial </w:t>
            </w:r>
            <w:r w:rsidR="00F8082B">
              <w:rPr>
                <w:lang w:val="es-MX" w:eastAsia="ar-SA"/>
              </w:rPr>
              <w:t xml:space="preserve">de los </w:t>
            </w:r>
            <w:r w:rsidR="002708EF">
              <w:rPr>
                <w:lang w:val="es-MX" w:eastAsia="ar-SA"/>
              </w:rPr>
              <w:t>municipios</w:t>
            </w:r>
            <w:r w:rsidR="00F8082B">
              <w:rPr>
                <w:lang w:val="es-MX" w:eastAsia="ar-SA"/>
              </w:rPr>
              <w:t>.</w:t>
            </w:r>
            <w:r w:rsidR="00496316">
              <w:rPr>
                <w:lang w:val="es-MX" w:eastAsia="ar-SA"/>
              </w:rPr>
              <w:t xml:space="preserve"> </w:t>
            </w:r>
            <w:r w:rsidR="00496316" w:rsidRPr="00496316">
              <w:rPr>
                <w:lang w:val="es-MX" w:eastAsia="ar-SA"/>
              </w:rPr>
              <w:t xml:space="preserve">Una asistencia técnica de las CAR a los municipios y distritos en </w:t>
            </w:r>
            <w:r w:rsidR="00DD6FC3">
              <w:rPr>
                <w:lang w:val="es-MX" w:eastAsia="ar-SA"/>
              </w:rPr>
              <w:t>este sentido</w:t>
            </w:r>
            <w:r w:rsidR="00496316" w:rsidRPr="00496316">
              <w:rPr>
                <w:lang w:val="es-MX" w:eastAsia="ar-SA"/>
              </w:rPr>
              <w:t xml:space="preserve">, permite a la autoridad ambiental incidir favorablemente en las decisiones sobre aprovechamiento racional de recursos naturales renovables y en su inclusión como elementos estructurantes y articuladores del territorio municipal o </w:t>
            </w:r>
            <w:r w:rsidR="00496316" w:rsidRPr="00DD6FC3">
              <w:rPr>
                <w:lang w:val="es-MX" w:eastAsia="ar-SA"/>
              </w:rPr>
              <w:t>distrital</w:t>
            </w:r>
            <w:r w:rsidR="00A7496B" w:rsidRPr="00DD6FC3">
              <w:rPr>
                <w:lang w:val="es-MX" w:eastAsia="ar-SA"/>
              </w:rPr>
              <w:t>, buscando de esta forma garantizar que los procesos de desarrollo territorial sea</w:t>
            </w:r>
            <w:r w:rsidR="00DD6FC3" w:rsidRPr="00DD6FC3">
              <w:rPr>
                <w:lang w:val="es-MX" w:eastAsia="ar-SA"/>
              </w:rPr>
              <w:t>n</w:t>
            </w:r>
            <w:r w:rsidR="00A7496B" w:rsidRPr="00DD6FC3">
              <w:rPr>
                <w:lang w:val="es-MX" w:eastAsia="ar-SA"/>
              </w:rPr>
              <w:t xml:space="preserve"> ambientalmente sostenible</w:t>
            </w:r>
            <w:r w:rsidR="00DD6FC3" w:rsidRPr="00DD6FC3">
              <w:rPr>
                <w:lang w:val="es-MX" w:eastAsia="ar-SA"/>
              </w:rPr>
              <w:t>s</w:t>
            </w:r>
            <w:r w:rsidR="00A7496B" w:rsidRPr="00DD6FC3">
              <w:rPr>
                <w:lang w:val="es-MX" w:eastAsia="ar-SA"/>
              </w:rPr>
              <w:t>.</w:t>
            </w:r>
          </w:p>
          <w:p w:rsidR="002A4FB1" w:rsidRPr="00FD5E51" w:rsidRDefault="002A4FB1" w:rsidP="002A4FB1">
            <w:pPr>
              <w:rPr>
                <w:lang w:val="es-MX" w:eastAsia="ar-SA"/>
              </w:rPr>
            </w:pPr>
            <w:r>
              <w:rPr>
                <w:lang w:val="es-MX" w:eastAsia="ar-SA"/>
              </w:rPr>
              <w:t xml:space="preserve">Por </w:t>
            </w:r>
            <w:r w:rsidR="00221C4A">
              <w:rPr>
                <w:lang w:val="es-MX" w:eastAsia="ar-SA"/>
              </w:rPr>
              <w:t xml:space="preserve">acciones de </w:t>
            </w:r>
            <w:r>
              <w:rPr>
                <w:lang w:val="es-MX" w:eastAsia="ar-SA"/>
              </w:rPr>
              <w:t xml:space="preserve">asesoría </w:t>
            </w:r>
            <w:r w:rsidR="002708EF">
              <w:rPr>
                <w:lang w:val="es-MX" w:eastAsia="ar-SA"/>
              </w:rPr>
              <w:t xml:space="preserve">y asistencia </w:t>
            </w:r>
            <w:r w:rsidR="00221C4A">
              <w:rPr>
                <w:lang w:val="es-MX" w:eastAsia="ar-SA"/>
              </w:rPr>
              <w:t xml:space="preserve">por parte de la Corporación Autónoma Regional, </w:t>
            </w:r>
            <w:r>
              <w:rPr>
                <w:lang w:val="es-MX" w:eastAsia="ar-SA"/>
              </w:rPr>
              <w:t>se entienden</w:t>
            </w:r>
            <w:r w:rsidR="00CC124A">
              <w:rPr>
                <w:lang w:val="es-MX" w:eastAsia="ar-SA"/>
              </w:rPr>
              <w:t xml:space="preserve"> </w:t>
            </w:r>
            <w:r w:rsidR="00023DC9">
              <w:rPr>
                <w:lang w:val="es-MX" w:eastAsia="ar-SA"/>
              </w:rPr>
              <w:t>las siguientes acciones:</w:t>
            </w:r>
          </w:p>
          <w:p w:rsidR="00023DC9" w:rsidRPr="00FD5E51" w:rsidRDefault="00221C4A" w:rsidP="00023DC9">
            <w:pPr>
              <w:pStyle w:val="Prrafodelista"/>
              <w:numPr>
                <w:ilvl w:val="0"/>
                <w:numId w:val="38"/>
              </w:numPr>
              <w:rPr>
                <w:rFonts w:ascii="Calibri" w:hAnsi="Calibri"/>
                <w:sz w:val="18"/>
                <w:szCs w:val="18"/>
                <w:lang w:val="es-MX" w:eastAsia="ar-SA"/>
              </w:rPr>
            </w:pPr>
            <w:r w:rsidRPr="00FD5E51">
              <w:rPr>
                <w:rFonts w:ascii="Calibri" w:hAnsi="Calibri"/>
                <w:sz w:val="18"/>
                <w:szCs w:val="18"/>
                <w:lang w:val="es-MX" w:eastAsia="ar-SA"/>
              </w:rPr>
              <w:t xml:space="preserve">Realizar eventos de socialización y capacitación a los municipios </w:t>
            </w:r>
            <w:r w:rsidR="00DD6FC3" w:rsidRPr="00FD5E51">
              <w:rPr>
                <w:rFonts w:ascii="Calibri" w:hAnsi="Calibri"/>
                <w:sz w:val="18"/>
                <w:szCs w:val="18"/>
                <w:lang w:val="es-MX" w:eastAsia="ar-SA"/>
              </w:rPr>
              <w:t xml:space="preserve">y distritos </w:t>
            </w:r>
            <w:r w:rsidRPr="00FD5E51">
              <w:rPr>
                <w:rFonts w:ascii="Calibri" w:hAnsi="Calibri"/>
                <w:sz w:val="18"/>
                <w:szCs w:val="18"/>
                <w:lang w:val="es-MX" w:eastAsia="ar-SA"/>
              </w:rPr>
              <w:t>en</w:t>
            </w:r>
            <w:r w:rsidR="00DD6FC3" w:rsidRPr="00FD5E51">
              <w:rPr>
                <w:rFonts w:ascii="Calibri" w:hAnsi="Calibri"/>
                <w:sz w:val="18"/>
                <w:szCs w:val="18"/>
                <w:lang w:val="es-MX" w:eastAsia="ar-SA"/>
              </w:rPr>
              <w:t xml:space="preserve"> la</w:t>
            </w:r>
            <w:r w:rsidRPr="00FD5E51">
              <w:rPr>
                <w:rFonts w:ascii="Calibri" w:hAnsi="Calibri"/>
                <w:sz w:val="18"/>
                <w:szCs w:val="18"/>
                <w:lang w:val="es-MX" w:eastAsia="ar-SA"/>
              </w:rPr>
              <w:t xml:space="preserve"> </w:t>
            </w:r>
            <w:r w:rsidR="00DD6FC3" w:rsidRPr="00FD5E51">
              <w:rPr>
                <w:rFonts w:ascii="Calibri" w:hAnsi="Calibri"/>
                <w:sz w:val="18"/>
                <w:szCs w:val="18"/>
                <w:lang w:val="es-MX" w:eastAsia="ar-SA"/>
              </w:rPr>
              <w:t xml:space="preserve">inclusión del componente ambiental en los procesos de planificación y ordenamiento territorial, con énfasis en la incorporación de las </w:t>
            </w:r>
            <w:r w:rsidR="00DF35DA" w:rsidRPr="00FD5E51">
              <w:rPr>
                <w:rFonts w:ascii="Calibri" w:hAnsi="Calibri"/>
                <w:sz w:val="18"/>
                <w:szCs w:val="18"/>
                <w:lang w:val="es-MX" w:eastAsia="ar-SA"/>
              </w:rPr>
              <w:t>determinantes ambientales para el ord</w:t>
            </w:r>
            <w:r w:rsidR="00023DC9" w:rsidRPr="00FD5E51">
              <w:rPr>
                <w:rFonts w:ascii="Calibri" w:hAnsi="Calibri"/>
                <w:sz w:val="18"/>
                <w:szCs w:val="18"/>
                <w:lang w:val="es-MX" w:eastAsia="ar-SA"/>
              </w:rPr>
              <w:t>enamiento territorial municipal</w:t>
            </w:r>
            <w:r w:rsidRPr="00FD5E51">
              <w:rPr>
                <w:rFonts w:ascii="Calibri" w:hAnsi="Calibri"/>
                <w:sz w:val="18"/>
                <w:szCs w:val="18"/>
                <w:lang w:val="es-MX" w:eastAsia="ar-SA"/>
              </w:rPr>
              <w:t xml:space="preserve">. </w:t>
            </w:r>
          </w:p>
          <w:p w:rsidR="007D6A3D" w:rsidRPr="00FD5E51" w:rsidRDefault="00DD6FC3" w:rsidP="007D6A3D">
            <w:pPr>
              <w:pStyle w:val="Prrafodelista"/>
              <w:numPr>
                <w:ilvl w:val="0"/>
                <w:numId w:val="38"/>
              </w:numPr>
              <w:rPr>
                <w:rFonts w:ascii="Calibri" w:hAnsi="Calibri"/>
                <w:sz w:val="18"/>
                <w:szCs w:val="18"/>
                <w:lang w:val="es-MX" w:eastAsia="ar-SA"/>
              </w:rPr>
            </w:pPr>
            <w:r w:rsidRPr="00FD5E51">
              <w:rPr>
                <w:rFonts w:ascii="Calibri" w:hAnsi="Calibri"/>
                <w:sz w:val="18"/>
                <w:szCs w:val="18"/>
                <w:lang w:val="es-MX" w:eastAsia="ar-SA"/>
              </w:rPr>
              <w:t xml:space="preserve">Socializar con los municipios de su jurisdicción la información derivada de sus </w:t>
            </w:r>
            <w:r w:rsidR="007D6A3D" w:rsidRPr="00FD5E51">
              <w:rPr>
                <w:rFonts w:ascii="Calibri" w:hAnsi="Calibri"/>
                <w:sz w:val="18"/>
                <w:szCs w:val="18"/>
                <w:lang w:val="es-MX" w:eastAsia="ar-SA"/>
              </w:rPr>
              <w:t>sistema</w:t>
            </w:r>
            <w:r w:rsidR="005376AA" w:rsidRPr="00FD5E51">
              <w:rPr>
                <w:rFonts w:ascii="Calibri" w:hAnsi="Calibri"/>
                <w:sz w:val="18"/>
                <w:szCs w:val="18"/>
                <w:lang w:val="es-MX" w:eastAsia="ar-SA"/>
              </w:rPr>
              <w:t>s de información</w:t>
            </w:r>
            <w:proofErr w:type="gramStart"/>
            <w:r w:rsidRPr="00FD5E51">
              <w:rPr>
                <w:rFonts w:ascii="Calibri" w:hAnsi="Calibri"/>
                <w:sz w:val="18"/>
                <w:szCs w:val="18"/>
                <w:lang w:val="es-MX" w:eastAsia="ar-SA"/>
              </w:rPr>
              <w:t xml:space="preserve">, </w:t>
            </w:r>
            <w:r w:rsidR="005376AA" w:rsidRPr="00FD5E51">
              <w:rPr>
                <w:rFonts w:ascii="Calibri" w:hAnsi="Calibri"/>
                <w:sz w:val="18"/>
                <w:szCs w:val="18"/>
                <w:lang w:val="es-MX" w:eastAsia="ar-SA"/>
              </w:rPr>
              <w:t xml:space="preserve"> </w:t>
            </w:r>
            <w:r w:rsidRPr="00FD5E51">
              <w:rPr>
                <w:rFonts w:ascii="Calibri" w:hAnsi="Calibri"/>
                <w:sz w:val="18"/>
                <w:szCs w:val="18"/>
                <w:lang w:val="es-MX" w:eastAsia="ar-SA"/>
              </w:rPr>
              <w:t>relacionado</w:t>
            </w:r>
            <w:proofErr w:type="gramEnd"/>
            <w:r w:rsidRPr="00FD5E51">
              <w:rPr>
                <w:rFonts w:ascii="Calibri" w:hAnsi="Calibri"/>
                <w:sz w:val="18"/>
                <w:szCs w:val="18"/>
                <w:lang w:val="es-MX" w:eastAsia="ar-SA"/>
              </w:rPr>
              <w:t xml:space="preserve"> con el </w:t>
            </w:r>
            <w:r w:rsidR="007D6A3D" w:rsidRPr="00FD5E51">
              <w:rPr>
                <w:rFonts w:ascii="Calibri" w:hAnsi="Calibri"/>
                <w:sz w:val="18"/>
                <w:szCs w:val="18"/>
                <w:lang w:val="es-MX" w:eastAsia="ar-SA"/>
              </w:rPr>
              <w:t xml:space="preserve">conocimiento del </w:t>
            </w:r>
            <w:r w:rsidR="002708EF" w:rsidRPr="00FD5E51">
              <w:rPr>
                <w:rFonts w:ascii="Calibri" w:hAnsi="Calibri"/>
                <w:sz w:val="18"/>
                <w:szCs w:val="18"/>
                <w:lang w:val="es-MX" w:eastAsia="ar-SA"/>
              </w:rPr>
              <w:t xml:space="preserve">estado del ambiente </w:t>
            </w:r>
            <w:r w:rsidR="007D6A3D" w:rsidRPr="00FD5E51">
              <w:rPr>
                <w:rFonts w:ascii="Calibri" w:hAnsi="Calibri"/>
                <w:sz w:val="18"/>
                <w:szCs w:val="18"/>
                <w:lang w:val="es-MX" w:eastAsia="ar-SA"/>
              </w:rPr>
              <w:t>a nivel regional y lo</w:t>
            </w:r>
            <w:r w:rsidR="00DF35DA" w:rsidRPr="00FD5E51">
              <w:rPr>
                <w:rFonts w:ascii="Calibri" w:hAnsi="Calibri"/>
                <w:sz w:val="18"/>
                <w:szCs w:val="18"/>
                <w:lang w:val="es-MX" w:eastAsia="ar-SA"/>
              </w:rPr>
              <w:t>cal</w:t>
            </w:r>
            <w:r w:rsidRPr="00FD5E51">
              <w:rPr>
                <w:rFonts w:ascii="Calibri" w:hAnsi="Calibri"/>
                <w:sz w:val="18"/>
                <w:szCs w:val="18"/>
                <w:lang w:val="es-MX" w:eastAsia="ar-SA"/>
              </w:rPr>
              <w:t xml:space="preserve">. </w:t>
            </w:r>
          </w:p>
          <w:p w:rsidR="00496316" w:rsidRPr="00FD5E51" w:rsidRDefault="00221C4A" w:rsidP="00221C4A">
            <w:pPr>
              <w:pStyle w:val="Prrafodelista"/>
              <w:numPr>
                <w:ilvl w:val="0"/>
                <w:numId w:val="38"/>
              </w:numPr>
              <w:rPr>
                <w:rFonts w:ascii="Calibri" w:hAnsi="Calibri"/>
                <w:sz w:val="18"/>
                <w:szCs w:val="18"/>
                <w:lang w:val="es-MX" w:eastAsia="ar-SA"/>
              </w:rPr>
            </w:pPr>
            <w:r w:rsidRPr="00FD5E51">
              <w:rPr>
                <w:rFonts w:ascii="Calibri" w:hAnsi="Calibri"/>
                <w:sz w:val="18"/>
                <w:szCs w:val="18"/>
                <w:lang w:val="es-MX" w:eastAsia="ar-SA"/>
              </w:rPr>
              <w:t xml:space="preserve">Capacitar a los municipios y Distritos en lo relacionado con el proceso de </w:t>
            </w:r>
            <w:r w:rsidR="00143A87" w:rsidRPr="00FD5E51">
              <w:rPr>
                <w:rFonts w:ascii="Calibri" w:hAnsi="Calibri"/>
                <w:sz w:val="18"/>
                <w:szCs w:val="18"/>
                <w:lang w:val="es-MX" w:eastAsia="ar-SA"/>
              </w:rPr>
              <w:t>Concerta</w:t>
            </w:r>
            <w:r w:rsidRPr="00FD5E51">
              <w:rPr>
                <w:rFonts w:ascii="Calibri" w:hAnsi="Calibri"/>
                <w:sz w:val="18"/>
                <w:szCs w:val="18"/>
                <w:lang w:val="es-MX" w:eastAsia="ar-SA"/>
              </w:rPr>
              <w:t xml:space="preserve">ción de </w:t>
            </w:r>
            <w:r w:rsidR="00143A87" w:rsidRPr="00FD5E51">
              <w:rPr>
                <w:rFonts w:ascii="Calibri" w:hAnsi="Calibri"/>
                <w:sz w:val="18"/>
                <w:szCs w:val="18"/>
                <w:lang w:val="es-MX" w:eastAsia="ar-SA"/>
              </w:rPr>
              <w:t xml:space="preserve">los asuntos exclusivamente ambientales de los POT </w:t>
            </w:r>
          </w:p>
          <w:p w:rsidR="00221C4A" w:rsidRPr="0012101B" w:rsidRDefault="00221C4A" w:rsidP="00221C4A">
            <w:pPr>
              <w:pStyle w:val="Prrafodelista"/>
              <w:rPr>
                <w:rFonts w:ascii="Calibri" w:hAnsi="Calibri"/>
                <w:sz w:val="18"/>
                <w:szCs w:val="18"/>
                <w:lang w:val="es-MX" w:eastAsia="ar-SA"/>
              </w:rPr>
            </w:pPr>
          </w:p>
        </w:tc>
      </w:tr>
      <w:tr w:rsidR="00121693" w:rsidRPr="00B771A6" w:rsidTr="00C20065">
        <w:trPr>
          <w:trHeight w:val="20"/>
          <w:jc w:val="center"/>
        </w:trPr>
        <w:tc>
          <w:tcPr>
            <w:tcW w:w="1166" w:type="pct"/>
            <w:vAlign w:val="center"/>
          </w:tcPr>
          <w:p w:rsidR="005F185A" w:rsidRPr="00B771A6" w:rsidRDefault="005F185A" w:rsidP="00982A21">
            <w:pPr>
              <w:jc w:val="left"/>
              <w:rPr>
                <w:lang w:eastAsia="ar-SA"/>
              </w:rPr>
            </w:pPr>
            <w:r w:rsidRPr="00B771A6">
              <w:rPr>
                <w:lang w:eastAsia="ar-SA"/>
              </w:rPr>
              <w:lastRenderedPageBreak/>
              <w:t>Fórmula de cálculo</w:t>
            </w:r>
          </w:p>
        </w:tc>
        <w:tc>
          <w:tcPr>
            <w:tcW w:w="3834" w:type="pct"/>
          </w:tcPr>
          <w:p w:rsidR="001F755C" w:rsidRPr="001F755C" w:rsidRDefault="00731470" w:rsidP="001F755C">
            <w:pPr>
              <w:tabs>
                <w:tab w:val="left" w:pos="601"/>
              </w:tabs>
            </w:pPr>
            <w:r>
              <w:rPr>
                <w:b/>
                <w:sz w:val="20"/>
                <w:lang w:eastAsia="ar-SA"/>
              </w:rPr>
              <w:t>Porcentaje de municipios asesorados o asistidos en la incorporación de los determinantes ambientales para la revisión y ajuste de los POT</w:t>
            </w:r>
          </w:p>
          <w:p w:rsidR="001F755C" w:rsidRPr="001F755C" w:rsidRDefault="002A01AD" w:rsidP="001F755C">
            <w:pPr>
              <w:tabs>
                <w:tab w:val="left" w:pos="601"/>
              </w:tabs>
            </w:pPr>
            <m:oMathPara>
              <m:oMathParaPr>
                <m:jc m:val="left"/>
              </m:oMathParaPr>
              <m:oMath>
                <m:sSub>
                  <m:sSubPr>
                    <m:ctrlPr>
                      <w:rPr>
                        <w:rFonts w:ascii="Cambria Math" w:hAnsi="Cambria Math"/>
                        <w:i/>
                      </w:rPr>
                    </m:ctrlPr>
                  </m:sSubPr>
                  <m:e>
                    <m:r>
                      <w:rPr>
                        <w:rFonts w:ascii="Cambria Math" w:hAnsi="Cambria Math"/>
                      </w:rPr>
                      <m:t>PMAPOT</m:t>
                    </m:r>
                  </m:e>
                  <m:sub>
                    <m:r>
                      <w:rPr>
                        <w:rFonts w:ascii="Cambria Math" w:hAnsi="Cambria Math"/>
                      </w:rPr>
                      <m:t>t</m:t>
                    </m:r>
                  </m:sub>
                </m:sSub>
                <m:r>
                  <w:rPr>
                    <w:rFonts w:ascii="Cambria Math" w:hAnsi="Cambria Math"/>
                  </w:rPr>
                  <m:t xml:space="preserve">= </m:t>
                </m:r>
                <m:f>
                  <m:fPr>
                    <m:ctrlPr>
                      <w:rPr>
                        <w:rFonts w:ascii="Cambria Math" w:hAnsi="Cambria Math"/>
                      </w:rPr>
                    </m:ctrlPr>
                  </m:fPr>
                  <m:num>
                    <m:nary>
                      <m:naryPr>
                        <m:chr m:val="∑"/>
                        <m:limLoc m:val="undOvr"/>
                        <m:subHide m:val="1"/>
                        <m:supHide m:val="1"/>
                        <m:ctrlPr>
                          <w:rPr>
                            <w:rFonts w:ascii="Cambria Math" w:hAnsi="Cambria Math"/>
                          </w:rPr>
                        </m:ctrlPr>
                      </m:naryPr>
                      <m:sub/>
                      <m:sup/>
                      <m:e>
                        <m:r>
                          <m:rPr>
                            <m:sty m:val="p"/>
                          </m:rPr>
                          <w:rPr>
                            <w:rFonts w:ascii="Cambria Math" w:hAnsi="Cambria Math"/>
                          </w:rPr>
                          <m:t>MAPOT</m:t>
                        </m:r>
                      </m:e>
                    </m:nary>
                  </m:num>
                  <m:den>
                    <m:r>
                      <m:rPr>
                        <m:sty m:val="p"/>
                      </m:rPr>
                      <w:rPr>
                        <w:rFonts w:ascii="Cambria Math" w:hAnsi="Cambria Math"/>
                      </w:rPr>
                      <m:t>MMAPOT</m:t>
                    </m:r>
                  </m:den>
                </m:f>
                <m:r>
                  <m:rPr>
                    <m:sty m:val="p"/>
                  </m:rPr>
                  <w:rPr>
                    <w:rFonts w:ascii="Cambria Math" w:hAnsi="Cambria Math"/>
                  </w:rPr>
                  <m:t xml:space="preserve"> ×  100</m:t>
                </m:r>
                <m:r>
                  <w:rPr>
                    <w:rFonts w:ascii="Cambria Math" w:hAnsi="Cambria Math"/>
                  </w:rPr>
                  <m:t xml:space="preserve"> </m:t>
                </m:r>
              </m:oMath>
            </m:oMathPara>
          </w:p>
          <w:p w:rsidR="001F755C" w:rsidRPr="001F755C" w:rsidRDefault="001F755C" w:rsidP="001F755C">
            <w:pPr>
              <w:tabs>
                <w:tab w:val="left" w:pos="601"/>
              </w:tabs>
            </w:pPr>
            <w:r w:rsidRPr="001F755C">
              <w:t>Donde:</w:t>
            </w:r>
          </w:p>
          <w:p w:rsidR="001F755C" w:rsidRPr="001F755C" w:rsidRDefault="001F755C" w:rsidP="001F755C">
            <w:pPr>
              <w:tabs>
                <w:tab w:val="left" w:pos="601"/>
              </w:tabs>
            </w:pPr>
            <w:r w:rsidRPr="001F755C">
              <w:t>P</w:t>
            </w:r>
            <w:r w:rsidR="00643827">
              <w:t>M</w:t>
            </w:r>
            <w:r>
              <w:t>A</w:t>
            </w:r>
            <w:r w:rsidR="00643827">
              <w:t>POT</w:t>
            </w:r>
            <w:r w:rsidRPr="001F755C">
              <w:t xml:space="preserve"> </w:t>
            </w:r>
            <w:r w:rsidRPr="001F755C">
              <w:rPr>
                <w:vertAlign w:val="subscript"/>
              </w:rPr>
              <w:t>t</w:t>
            </w:r>
            <w:r w:rsidRPr="001F755C">
              <w:t xml:space="preserve"> = Porcentaje de </w:t>
            </w:r>
            <w:r w:rsidR="002708EF">
              <w:t>municipios asesorados o asistidos</w:t>
            </w:r>
            <w:r w:rsidR="00594481">
              <w:t xml:space="preserve"> </w:t>
            </w:r>
            <w:r w:rsidR="00594481">
              <w:rPr>
                <w:lang w:val="es-ES"/>
              </w:rPr>
              <w:t xml:space="preserve">asesorados o </w:t>
            </w:r>
            <w:r w:rsidR="00594481" w:rsidRPr="006D1431">
              <w:rPr>
                <w:lang w:val="es-ES"/>
              </w:rPr>
              <w:t xml:space="preserve">asistidos en la </w:t>
            </w:r>
            <w:r w:rsidR="00594481">
              <w:rPr>
                <w:lang w:val="es-ES"/>
              </w:rPr>
              <w:t>inclusión del componente ambiental en los procesos de planificación y ordenamiento territorial, con énfasis en la incorporación de las determinantes ambientales para la revisión y ajuste de los POT</w:t>
            </w:r>
            <w:r w:rsidRPr="001F755C">
              <w:t>, en el tiempo t.</w:t>
            </w:r>
          </w:p>
          <w:p w:rsidR="001F755C" w:rsidRPr="001F755C" w:rsidRDefault="00643827" w:rsidP="001F755C">
            <w:pPr>
              <w:tabs>
                <w:tab w:val="left" w:pos="601"/>
              </w:tabs>
            </w:pPr>
            <w:r>
              <w:t>M</w:t>
            </w:r>
            <w:r w:rsidR="001F755C">
              <w:t>A</w:t>
            </w:r>
            <w:r>
              <w:t>POT</w:t>
            </w:r>
            <w:r w:rsidR="001F755C" w:rsidRPr="001F755C">
              <w:t xml:space="preserve"> </w:t>
            </w:r>
            <w:r w:rsidR="001F755C" w:rsidRPr="001F755C">
              <w:rPr>
                <w:vertAlign w:val="subscript"/>
              </w:rPr>
              <w:t>t</w:t>
            </w:r>
            <w:r w:rsidR="001F755C" w:rsidRPr="001F755C">
              <w:t xml:space="preserve"> = Número de </w:t>
            </w:r>
            <w:r w:rsidR="002708EF">
              <w:t>municipios</w:t>
            </w:r>
            <w:r w:rsidR="001F755C">
              <w:rPr>
                <w:lang w:eastAsia="ar-SA"/>
              </w:rPr>
              <w:t xml:space="preserve"> asesorados</w:t>
            </w:r>
            <w:r w:rsidR="00D95F64">
              <w:rPr>
                <w:lang w:eastAsia="ar-SA"/>
              </w:rPr>
              <w:t xml:space="preserve"> en la</w:t>
            </w:r>
            <w:r w:rsidR="001F755C">
              <w:rPr>
                <w:lang w:eastAsia="ar-SA"/>
              </w:rPr>
              <w:t xml:space="preserve"> </w:t>
            </w:r>
            <w:r w:rsidR="00594481">
              <w:rPr>
                <w:lang w:val="es-ES"/>
              </w:rPr>
              <w:t xml:space="preserve">inclusión del componente ambiental en los procesos de planificación y ordenamiento territorial, con énfasis en la incorporación de las determinantes </w:t>
            </w:r>
            <w:r w:rsidR="002708EF">
              <w:t xml:space="preserve">ambientales </w:t>
            </w:r>
            <w:r w:rsidR="00594481">
              <w:rPr>
                <w:lang w:val="es-ES"/>
              </w:rPr>
              <w:t>para la revisión y ajuste de los POT</w:t>
            </w:r>
            <w:r w:rsidR="001F755C" w:rsidRPr="001F755C">
              <w:t>, en el tiempo t.</w:t>
            </w:r>
          </w:p>
          <w:p w:rsidR="005F185A" w:rsidRPr="002708EF" w:rsidRDefault="001F755C" w:rsidP="00594481">
            <w:pPr>
              <w:tabs>
                <w:tab w:val="left" w:pos="601"/>
              </w:tabs>
              <w:rPr>
                <w:lang w:eastAsia="ar-SA"/>
              </w:rPr>
            </w:pPr>
            <w:r w:rsidRPr="001F755C">
              <w:t>M</w:t>
            </w:r>
            <w:r w:rsidR="00643827">
              <w:t>MAPOT</w:t>
            </w:r>
            <w:r w:rsidRPr="001F755C">
              <w:t xml:space="preserve"> </w:t>
            </w:r>
            <w:r w:rsidRPr="001F755C">
              <w:rPr>
                <w:vertAlign w:val="subscript"/>
              </w:rPr>
              <w:t>t</w:t>
            </w:r>
            <w:r w:rsidRPr="001F755C">
              <w:t xml:space="preserve"> = </w:t>
            </w:r>
            <w:r>
              <w:t xml:space="preserve">Meta de </w:t>
            </w:r>
            <w:r w:rsidR="002708EF">
              <w:rPr>
                <w:lang w:eastAsia="ar-SA"/>
              </w:rPr>
              <w:t>municipios</w:t>
            </w:r>
            <w:r>
              <w:rPr>
                <w:lang w:eastAsia="ar-SA"/>
              </w:rPr>
              <w:t xml:space="preserve"> a ser asesorados </w:t>
            </w:r>
            <w:r w:rsidR="00594481">
              <w:rPr>
                <w:lang w:eastAsia="ar-SA"/>
              </w:rPr>
              <w:t xml:space="preserve">en la </w:t>
            </w:r>
            <w:r w:rsidR="00594481">
              <w:rPr>
                <w:lang w:val="es-ES"/>
              </w:rPr>
              <w:t xml:space="preserve">inclusión del componente ambiental en los procesos de planificación y ordenamiento territorial, con énfasis en la incorporación de las determinantes </w:t>
            </w:r>
            <w:r w:rsidR="00594481">
              <w:t xml:space="preserve">ambientales </w:t>
            </w:r>
            <w:r w:rsidR="00594481">
              <w:rPr>
                <w:lang w:val="es-ES"/>
              </w:rPr>
              <w:t>para la revisión y ajuste de los POT</w:t>
            </w:r>
            <w:r w:rsidRPr="001F755C">
              <w:t>, en el tiempo t</w:t>
            </w:r>
            <w:r w:rsidR="00594481">
              <w:t>.</w:t>
            </w:r>
          </w:p>
        </w:tc>
      </w:tr>
      <w:tr w:rsidR="00121693" w:rsidRPr="00B771A6" w:rsidTr="00C20065">
        <w:trPr>
          <w:trHeight w:val="20"/>
          <w:jc w:val="center"/>
        </w:trPr>
        <w:tc>
          <w:tcPr>
            <w:tcW w:w="1166" w:type="pct"/>
            <w:vAlign w:val="center"/>
          </w:tcPr>
          <w:p w:rsidR="005F185A" w:rsidRPr="00B771A6" w:rsidRDefault="005F185A" w:rsidP="00982A21">
            <w:pPr>
              <w:jc w:val="left"/>
              <w:rPr>
                <w:lang w:eastAsia="ar-SA"/>
              </w:rPr>
            </w:pPr>
            <w:r w:rsidRPr="00B771A6">
              <w:rPr>
                <w:lang w:eastAsia="ar-SA"/>
              </w:rPr>
              <w:t>Metodología de cálculo</w:t>
            </w:r>
          </w:p>
        </w:tc>
        <w:tc>
          <w:tcPr>
            <w:tcW w:w="3834" w:type="pct"/>
          </w:tcPr>
          <w:p w:rsidR="00576DA6" w:rsidRDefault="00576DA6" w:rsidP="00C77427">
            <w:pPr>
              <w:rPr>
                <w:lang w:eastAsia="ar-SA"/>
              </w:rPr>
            </w:pPr>
            <w:r>
              <w:rPr>
                <w:lang w:eastAsia="ar-SA"/>
              </w:rPr>
              <w:t>Para su cálculo, se diligencia la siguiente información:</w:t>
            </w:r>
          </w:p>
          <w:tbl>
            <w:tblPr>
              <w:tblW w:w="8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9"/>
              <w:gridCol w:w="5409"/>
              <w:gridCol w:w="541"/>
              <w:gridCol w:w="541"/>
              <w:gridCol w:w="541"/>
              <w:gridCol w:w="541"/>
              <w:gridCol w:w="498"/>
            </w:tblGrid>
            <w:tr w:rsidR="00AD0793" w:rsidRPr="00EB4CFA" w:rsidTr="008061A7">
              <w:trPr>
                <w:trHeight w:val="290"/>
                <w:tblHeader/>
              </w:trPr>
              <w:tc>
                <w:tcPr>
                  <w:tcW w:w="389" w:type="dxa"/>
                </w:tcPr>
                <w:p w:rsidR="00AD0793" w:rsidRDefault="00AD0793" w:rsidP="007409CA">
                  <w:pPr>
                    <w:spacing w:after="0"/>
                    <w:jc w:val="left"/>
                    <w:rPr>
                      <w:color w:val="000000"/>
                      <w:szCs w:val="22"/>
                      <w:lang w:eastAsia="es-CO"/>
                    </w:rPr>
                  </w:pPr>
                  <w:r>
                    <w:rPr>
                      <w:color w:val="000000"/>
                      <w:szCs w:val="22"/>
                      <w:lang w:eastAsia="es-CO"/>
                    </w:rPr>
                    <w:t>N</w:t>
                  </w:r>
                </w:p>
              </w:tc>
              <w:tc>
                <w:tcPr>
                  <w:tcW w:w="5409" w:type="dxa"/>
                  <w:vAlign w:val="center"/>
                  <w:hideMark/>
                </w:tcPr>
                <w:p w:rsidR="00AD0793" w:rsidRPr="00EB4CFA" w:rsidRDefault="00AD0793" w:rsidP="007409CA">
                  <w:pPr>
                    <w:spacing w:after="0"/>
                    <w:jc w:val="left"/>
                    <w:rPr>
                      <w:color w:val="000000"/>
                      <w:szCs w:val="22"/>
                      <w:lang w:eastAsia="es-CO"/>
                    </w:rPr>
                  </w:pPr>
                  <w:r>
                    <w:rPr>
                      <w:color w:val="000000"/>
                      <w:szCs w:val="22"/>
                      <w:lang w:eastAsia="es-CO"/>
                    </w:rPr>
                    <w:t>Variable</w:t>
                  </w:r>
                </w:p>
              </w:tc>
              <w:tc>
                <w:tcPr>
                  <w:tcW w:w="541" w:type="dxa"/>
                  <w:shd w:val="clear" w:color="auto" w:fill="auto"/>
                  <w:noWrap/>
                  <w:vAlign w:val="bottom"/>
                  <w:hideMark/>
                </w:tcPr>
                <w:p w:rsidR="00AD0793" w:rsidRPr="00EB4CFA" w:rsidRDefault="00AD0793" w:rsidP="007409CA">
                  <w:pPr>
                    <w:spacing w:after="0"/>
                    <w:jc w:val="left"/>
                    <w:rPr>
                      <w:color w:val="000000"/>
                      <w:sz w:val="14"/>
                      <w:szCs w:val="22"/>
                      <w:lang w:eastAsia="es-CO"/>
                    </w:rPr>
                  </w:pPr>
                  <w:r>
                    <w:rPr>
                      <w:color w:val="000000"/>
                      <w:sz w:val="14"/>
                      <w:szCs w:val="22"/>
                      <w:lang w:eastAsia="es-CO"/>
                    </w:rPr>
                    <w:t>Año 1</w:t>
                  </w:r>
                </w:p>
              </w:tc>
              <w:tc>
                <w:tcPr>
                  <w:tcW w:w="541" w:type="dxa"/>
                  <w:shd w:val="clear" w:color="auto" w:fill="auto"/>
                  <w:noWrap/>
                  <w:vAlign w:val="bottom"/>
                  <w:hideMark/>
                </w:tcPr>
                <w:p w:rsidR="00AD0793" w:rsidRPr="00EB4CFA" w:rsidRDefault="00AD0793" w:rsidP="007409CA">
                  <w:pPr>
                    <w:spacing w:after="0"/>
                    <w:jc w:val="left"/>
                    <w:rPr>
                      <w:color w:val="000000"/>
                      <w:sz w:val="14"/>
                      <w:szCs w:val="22"/>
                      <w:lang w:eastAsia="es-CO"/>
                    </w:rPr>
                  </w:pPr>
                  <w:r>
                    <w:rPr>
                      <w:color w:val="000000"/>
                      <w:sz w:val="14"/>
                      <w:szCs w:val="22"/>
                      <w:lang w:eastAsia="es-CO"/>
                    </w:rPr>
                    <w:t>Año 2</w:t>
                  </w:r>
                </w:p>
              </w:tc>
              <w:tc>
                <w:tcPr>
                  <w:tcW w:w="541" w:type="dxa"/>
                  <w:shd w:val="clear" w:color="auto" w:fill="auto"/>
                  <w:noWrap/>
                  <w:vAlign w:val="bottom"/>
                  <w:hideMark/>
                </w:tcPr>
                <w:p w:rsidR="00AD0793" w:rsidRPr="00EB4CFA" w:rsidRDefault="00AD0793" w:rsidP="007409CA">
                  <w:pPr>
                    <w:spacing w:after="0"/>
                    <w:jc w:val="left"/>
                    <w:rPr>
                      <w:color w:val="000000"/>
                      <w:sz w:val="14"/>
                      <w:szCs w:val="22"/>
                      <w:lang w:eastAsia="es-CO"/>
                    </w:rPr>
                  </w:pPr>
                  <w:r>
                    <w:rPr>
                      <w:color w:val="000000"/>
                      <w:sz w:val="14"/>
                      <w:szCs w:val="22"/>
                      <w:lang w:eastAsia="es-CO"/>
                    </w:rPr>
                    <w:t>Año 3</w:t>
                  </w:r>
                </w:p>
              </w:tc>
              <w:tc>
                <w:tcPr>
                  <w:tcW w:w="541" w:type="dxa"/>
                  <w:shd w:val="clear" w:color="auto" w:fill="auto"/>
                  <w:noWrap/>
                  <w:vAlign w:val="bottom"/>
                  <w:hideMark/>
                </w:tcPr>
                <w:p w:rsidR="00AD0793" w:rsidRPr="00EB4CFA" w:rsidRDefault="00AD0793" w:rsidP="007409CA">
                  <w:pPr>
                    <w:spacing w:after="0"/>
                    <w:jc w:val="left"/>
                    <w:rPr>
                      <w:color w:val="000000"/>
                      <w:sz w:val="14"/>
                      <w:szCs w:val="22"/>
                      <w:lang w:eastAsia="es-CO"/>
                    </w:rPr>
                  </w:pPr>
                  <w:r>
                    <w:rPr>
                      <w:color w:val="000000"/>
                      <w:sz w:val="14"/>
                      <w:szCs w:val="22"/>
                      <w:lang w:eastAsia="es-CO"/>
                    </w:rPr>
                    <w:t>Año 4</w:t>
                  </w:r>
                </w:p>
              </w:tc>
              <w:tc>
                <w:tcPr>
                  <w:tcW w:w="498" w:type="dxa"/>
                  <w:shd w:val="clear" w:color="auto" w:fill="auto"/>
                  <w:noWrap/>
                  <w:vAlign w:val="bottom"/>
                  <w:hideMark/>
                </w:tcPr>
                <w:p w:rsidR="00AD0793" w:rsidRPr="00EB4CFA" w:rsidRDefault="00AD0793" w:rsidP="007409CA">
                  <w:pPr>
                    <w:spacing w:after="0"/>
                    <w:jc w:val="left"/>
                    <w:rPr>
                      <w:color w:val="000000"/>
                      <w:sz w:val="14"/>
                      <w:szCs w:val="22"/>
                      <w:lang w:eastAsia="es-CO"/>
                    </w:rPr>
                  </w:pPr>
                  <w:r>
                    <w:rPr>
                      <w:color w:val="000000"/>
                      <w:sz w:val="14"/>
                      <w:szCs w:val="22"/>
                      <w:lang w:eastAsia="es-CO"/>
                    </w:rPr>
                    <w:t>Total</w:t>
                  </w:r>
                </w:p>
              </w:tc>
            </w:tr>
            <w:tr w:rsidR="00AD0793" w:rsidRPr="00EB4CFA" w:rsidTr="00AD0793">
              <w:trPr>
                <w:trHeight w:val="290"/>
              </w:trPr>
              <w:tc>
                <w:tcPr>
                  <w:tcW w:w="389" w:type="dxa"/>
                </w:tcPr>
                <w:p w:rsidR="00AD0793" w:rsidRDefault="00AD0793" w:rsidP="00643827">
                  <w:pPr>
                    <w:spacing w:after="0"/>
                    <w:jc w:val="left"/>
                  </w:pPr>
                  <w:r>
                    <w:t>A</w:t>
                  </w:r>
                </w:p>
              </w:tc>
              <w:tc>
                <w:tcPr>
                  <w:tcW w:w="5409" w:type="dxa"/>
                  <w:shd w:val="clear" w:color="auto" w:fill="auto"/>
                  <w:noWrap/>
                  <w:vAlign w:val="bottom"/>
                  <w:hideMark/>
                </w:tcPr>
                <w:p w:rsidR="00AD0793" w:rsidRPr="00850B44" w:rsidRDefault="00AD0793" w:rsidP="00594481">
                  <w:pPr>
                    <w:spacing w:after="0"/>
                    <w:jc w:val="left"/>
                  </w:pPr>
                  <w:r>
                    <w:t xml:space="preserve">Meta de </w:t>
                  </w:r>
                  <w:r>
                    <w:rPr>
                      <w:lang w:eastAsia="ar-SA"/>
                    </w:rPr>
                    <w:t xml:space="preserve">municipios </w:t>
                  </w:r>
                  <w:r w:rsidR="00594481">
                    <w:rPr>
                      <w:lang w:eastAsia="ar-SA"/>
                    </w:rPr>
                    <w:t xml:space="preserve">a ser asesorados o asistidos en la </w:t>
                  </w:r>
                  <w:r w:rsidR="00594481">
                    <w:rPr>
                      <w:lang w:val="es-ES"/>
                    </w:rPr>
                    <w:t xml:space="preserve">inclusión del componente ambiental en los procesos de planificación y ordenamiento territorial, con énfasis en la incorporación de las determinantes </w:t>
                  </w:r>
                  <w:r w:rsidR="00594481">
                    <w:t xml:space="preserve">ambientales </w:t>
                  </w:r>
                  <w:r w:rsidR="00594481">
                    <w:rPr>
                      <w:lang w:val="es-ES"/>
                    </w:rPr>
                    <w:t>para la revisión y ajuste de los POT</w:t>
                  </w:r>
                  <w:r>
                    <w:rPr>
                      <w:lang w:eastAsia="ar-SA"/>
                    </w:rPr>
                    <w:t xml:space="preserve"> (MMAPOT)</w:t>
                  </w:r>
                </w:p>
              </w:tc>
              <w:tc>
                <w:tcPr>
                  <w:tcW w:w="541" w:type="dxa"/>
                  <w:shd w:val="clear" w:color="auto" w:fill="auto"/>
                  <w:noWrap/>
                  <w:vAlign w:val="bottom"/>
                </w:tcPr>
                <w:p w:rsidR="00AD0793" w:rsidRPr="00EB4CFA" w:rsidRDefault="00AD0793" w:rsidP="007409CA">
                  <w:pPr>
                    <w:spacing w:after="0"/>
                    <w:jc w:val="center"/>
                    <w:rPr>
                      <w:color w:val="000000"/>
                      <w:szCs w:val="22"/>
                      <w:lang w:eastAsia="es-CO"/>
                    </w:rPr>
                  </w:pPr>
                </w:p>
              </w:tc>
              <w:tc>
                <w:tcPr>
                  <w:tcW w:w="541" w:type="dxa"/>
                  <w:shd w:val="clear" w:color="auto" w:fill="auto"/>
                  <w:noWrap/>
                  <w:vAlign w:val="bottom"/>
                </w:tcPr>
                <w:p w:rsidR="00AD0793" w:rsidRPr="00EB4CFA" w:rsidRDefault="00AD0793" w:rsidP="007409CA">
                  <w:pPr>
                    <w:spacing w:after="0"/>
                    <w:jc w:val="center"/>
                    <w:rPr>
                      <w:color w:val="000000"/>
                      <w:szCs w:val="22"/>
                      <w:lang w:eastAsia="es-CO"/>
                    </w:rPr>
                  </w:pPr>
                </w:p>
              </w:tc>
              <w:tc>
                <w:tcPr>
                  <w:tcW w:w="541" w:type="dxa"/>
                  <w:shd w:val="clear" w:color="auto" w:fill="auto"/>
                  <w:noWrap/>
                  <w:vAlign w:val="bottom"/>
                </w:tcPr>
                <w:p w:rsidR="00AD0793" w:rsidRPr="00EB4CFA" w:rsidRDefault="00AD0793" w:rsidP="007409CA">
                  <w:pPr>
                    <w:spacing w:after="0"/>
                    <w:jc w:val="center"/>
                    <w:rPr>
                      <w:color w:val="000000"/>
                      <w:szCs w:val="22"/>
                      <w:lang w:eastAsia="es-CO"/>
                    </w:rPr>
                  </w:pPr>
                </w:p>
              </w:tc>
              <w:tc>
                <w:tcPr>
                  <w:tcW w:w="541" w:type="dxa"/>
                  <w:shd w:val="clear" w:color="auto" w:fill="auto"/>
                  <w:noWrap/>
                  <w:vAlign w:val="bottom"/>
                </w:tcPr>
                <w:p w:rsidR="00AD0793" w:rsidRPr="00EB4CFA" w:rsidRDefault="00AD0793" w:rsidP="007409CA">
                  <w:pPr>
                    <w:spacing w:after="0"/>
                    <w:jc w:val="center"/>
                    <w:rPr>
                      <w:color w:val="000000"/>
                      <w:szCs w:val="22"/>
                      <w:lang w:eastAsia="es-CO"/>
                    </w:rPr>
                  </w:pPr>
                </w:p>
              </w:tc>
              <w:tc>
                <w:tcPr>
                  <w:tcW w:w="498" w:type="dxa"/>
                  <w:shd w:val="clear" w:color="auto" w:fill="auto"/>
                  <w:noWrap/>
                  <w:vAlign w:val="center"/>
                </w:tcPr>
                <w:p w:rsidR="00AD0793" w:rsidRPr="00EB4CFA" w:rsidRDefault="00AD0793" w:rsidP="007409CA">
                  <w:pPr>
                    <w:spacing w:after="0"/>
                    <w:jc w:val="center"/>
                    <w:rPr>
                      <w:color w:val="006100"/>
                      <w:szCs w:val="22"/>
                      <w:lang w:eastAsia="es-CO"/>
                    </w:rPr>
                  </w:pPr>
                </w:p>
              </w:tc>
            </w:tr>
            <w:tr w:rsidR="00AD0793" w:rsidRPr="00EB4CFA" w:rsidTr="00AD0793">
              <w:trPr>
                <w:trHeight w:val="290"/>
              </w:trPr>
              <w:tc>
                <w:tcPr>
                  <w:tcW w:w="389" w:type="dxa"/>
                </w:tcPr>
                <w:p w:rsidR="00AD0793" w:rsidRDefault="00AD0793" w:rsidP="00643827">
                  <w:pPr>
                    <w:spacing w:after="0"/>
                    <w:jc w:val="left"/>
                  </w:pPr>
                  <w:r>
                    <w:t>B</w:t>
                  </w:r>
                </w:p>
              </w:tc>
              <w:tc>
                <w:tcPr>
                  <w:tcW w:w="5409" w:type="dxa"/>
                  <w:shd w:val="clear" w:color="auto" w:fill="auto"/>
                  <w:noWrap/>
                  <w:vAlign w:val="bottom"/>
                  <w:hideMark/>
                </w:tcPr>
                <w:p w:rsidR="00AD0793" w:rsidRPr="00850B44" w:rsidRDefault="00AD0793" w:rsidP="00594481">
                  <w:pPr>
                    <w:spacing w:after="0"/>
                    <w:jc w:val="left"/>
                  </w:pPr>
                  <w:r>
                    <w:t>Municipios</w:t>
                  </w:r>
                  <w:r>
                    <w:rPr>
                      <w:lang w:eastAsia="ar-SA"/>
                    </w:rPr>
                    <w:t xml:space="preserve"> asesorados</w:t>
                  </w:r>
                  <w:r w:rsidR="00594481">
                    <w:rPr>
                      <w:lang w:eastAsia="ar-SA"/>
                    </w:rPr>
                    <w:t xml:space="preserve"> o asistidos </w:t>
                  </w:r>
                  <w:r w:rsidRPr="007D6A3D">
                    <w:rPr>
                      <w:lang w:eastAsia="ar-SA"/>
                    </w:rPr>
                    <w:t xml:space="preserve">en </w:t>
                  </w:r>
                  <w:r w:rsidR="00594481">
                    <w:rPr>
                      <w:lang w:eastAsia="ar-SA"/>
                    </w:rPr>
                    <w:t xml:space="preserve">la </w:t>
                  </w:r>
                  <w:r w:rsidR="00594481">
                    <w:rPr>
                      <w:lang w:val="es-ES"/>
                    </w:rPr>
                    <w:t xml:space="preserve">inclusión del componente ambiental en los procesos de planificación y ordenamiento territorial, con énfasis en la incorporación de las determinantes </w:t>
                  </w:r>
                  <w:r w:rsidR="00594481">
                    <w:t xml:space="preserve">ambientales </w:t>
                  </w:r>
                  <w:r w:rsidR="00594481">
                    <w:rPr>
                      <w:lang w:val="es-ES"/>
                    </w:rPr>
                    <w:t>para la revisión y ajuste de los POT</w:t>
                  </w:r>
                  <w:r w:rsidR="00594481">
                    <w:rPr>
                      <w:lang w:eastAsia="ar-SA"/>
                    </w:rPr>
                    <w:t xml:space="preserve"> </w:t>
                  </w:r>
                  <w:r>
                    <w:rPr>
                      <w:lang w:eastAsia="ar-SA"/>
                    </w:rPr>
                    <w:t>(MAPOT)</w:t>
                  </w:r>
                </w:p>
              </w:tc>
              <w:tc>
                <w:tcPr>
                  <w:tcW w:w="541" w:type="dxa"/>
                  <w:shd w:val="clear" w:color="auto" w:fill="auto"/>
                  <w:noWrap/>
                  <w:vAlign w:val="bottom"/>
                </w:tcPr>
                <w:p w:rsidR="00AD0793" w:rsidRPr="00EB4CFA" w:rsidRDefault="00AD0793" w:rsidP="007409CA">
                  <w:pPr>
                    <w:spacing w:after="0"/>
                    <w:jc w:val="center"/>
                    <w:rPr>
                      <w:color w:val="000000"/>
                      <w:szCs w:val="22"/>
                      <w:lang w:eastAsia="es-CO"/>
                    </w:rPr>
                  </w:pPr>
                </w:p>
              </w:tc>
              <w:tc>
                <w:tcPr>
                  <w:tcW w:w="541" w:type="dxa"/>
                  <w:shd w:val="clear" w:color="auto" w:fill="auto"/>
                  <w:noWrap/>
                  <w:vAlign w:val="bottom"/>
                </w:tcPr>
                <w:p w:rsidR="00AD0793" w:rsidRPr="00EB4CFA" w:rsidRDefault="00AD0793" w:rsidP="007409CA">
                  <w:pPr>
                    <w:spacing w:after="0"/>
                    <w:jc w:val="center"/>
                    <w:rPr>
                      <w:color w:val="000000"/>
                      <w:szCs w:val="22"/>
                      <w:lang w:eastAsia="es-CO"/>
                    </w:rPr>
                  </w:pPr>
                </w:p>
              </w:tc>
              <w:tc>
                <w:tcPr>
                  <w:tcW w:w="541" w:type="dxa"/>
                  <w:shd w:val="clear" w:color="auto" w:fill="auto"/>
                  <w:noWrap/>
                  <w:vAlign w:val="bottom"/>
                </w:tcPr>
                <w:p w:rsidR="00AD0793" w:rsidRPr="00EB4CFA" w:rsidRDefault="00AD0793" w:rsidP="007409CA">
                  <w:pPr>
                    <w:spacing w:after="0"/>
                    <w:jc w:val="center"/>
                    <w:rPr>
                      <w:color w:val="000000"/>
                      <w:szCs w:val="22"/>
                      <w:lang w:eastAsia="es-CO"/>
                    </w:rPr>
                  </w:pPr>
                </w:p>
              </w:tc>
              <w:tc>
                <w:tcPr>
                  <w:tcW w:w="541" w:type="dxa"/>
                  <w:shd w:val="clear" w:color="auto" w:fill="auto"/>
                  <w:noWrap/>
                  <w:vAlign w:val="bottom"/>
                </w:tcPr>
                <w:p w:rsidR="00AD0793" w:rsidRPr="00EB4CFA" w:rsidRDefault="00AD0793" w:rsidP="007409CA">
                  <w:pPr>
                    <w:spacing w:after="0"/>
                    <w:jc w:val="center"/>
                    <w:rPr>
                      <w:color w:val="000000"/>
                      <w:szCs w:val="22"/>
                      <w:lang w:eastAsia="es-CO"/>
                    </w:rPr>
                  </w:pPr>
                </w:p>
              </w:tc>
              <w:tc>
                <w:tcPr>
                  <w:tcW w:w="498" w:type="dxa"/>
                  <w:shd w:val="clear" w:color="auto" w:fill="auto"/>
                  <w:noWrap/>
                  <w:vAlign w:val="center"/>
                </w:tcPr>
                <w:p w:rsidR="00AD0793" w:rsidRPr="00EB4CFA" w:rsidRDefault="00AD0793" w:rsidP="007409CA">
                  <w:pPr>
                    <w:spacing w:after="0"/>
                    <w:jc w:val="center"/>
                    <w:rPr>
                      <w:color w:val="006100"/>
                      <w:szCs w:val="22"/>
                      <w:lang w:eastAsia="es-CO"/>
                    </w:rPr>
                  </w:pPr>
                </w:p>
              </w:tc>
            </w:tr>
            <w:tr w:rsidR="00AD0793" w:rsidRPr="00EB4CFA" w:rsidTr="00AD0793">
              <w:trPr>
                <w:trHeight w:val="290"/>
              </w:trPr>
              <w:tc>
                <w:tcPr>
                  <w:tcW w:w="389" w:type="dxa"/>
                </w:tcPr>
                <w:p w:rsidR="00AD0793" w:rsidRPr="007D6A3D" w:rsidRDefault="00AD0793" w:rsidP="00643827">
                  <w:pPr>
                    <w:spacing w:after="0"/>
                    <w:jc w:val="left"/>
                    <w:rPr>
                      <w:lang w:eastAsia="ar-SA"/>
                    </w:rPr>
                  </w:pPr>
                  <w:r>
                    <w:rPr>
                      <w:lang w:eastAsia="ar-SA"/>
                    </w:rPr>
                    <w:lastRenderedPageBreak/>
                    <w:t>C</w:t>
                  </w:r>
                </w:p>
              </w:tc>
              <w:tc>
                <w:tcPr>
                  <w:tcW w:w="5409" w:type="dxa"/>
                  <w:shd w:val="clear" w:color="auto" w:fill="auto"/>
                  <w:noWrap/>
                  <w:vAlign w:val="bottom"/>
                  <w:hideMark/>
                </w:tcPr>
                <w:p w:rsidR="00AD0793" w:rsidRPr="00850B44" w:rsidRDefault="00AD0793" w:rsidP="00643827">
                  <w:pPr>
                    <w:spacing w:after="0"/>
                    <w:jc w:val="left"/>
                  </w:pPr>
                  <w:r w:rsidRPr="007D6A3D">
                    <w:rPr>
                      <w:lang w:eastAsia="ar-SA"/>
                    </w:rPr>
                    <w:t xml:space="preserve">Porcentaje de </w:t>
                  </w:r>
                  <w:r>
                    <w:rPr>
                      <w:lang w:eastAsia="ar-SA"/>
                    </w:rPr>
                    <w:t xml:space="preserve">municipios </w:t>
                  </w:r>
                  <w:r w:rsidR="00594481">
                    <w:rPr>
                      <w:lang w:eastAsia="ar-SA"/>
                    </w:rPr>
                    <w:t xml:space="preserve">asesorados o asistidos </w:t>
                  </w:r>
                  <w:r w:rsidR="00594481" w:rsidRPr="007D6A3D">
                    <w:rPr>
                      <w:lang w:eastAsia="ar-SA"/>
                    </w:rPr>
                    <w:t xml:space="preserve">en </w:t>
                  </w:r>
                  <w:r w:rsidR="00594481">
                    <w:rPr>
                      <w:lang w:eastAsia="ar-SA"/>
                    </w:rPr>
                    <w:t xml:space="preserve">la </w:t>
                  </w:r>
                  <w:r w:rsidR="00594481">
                    <w:rPr>
                      <w:lang w:val="es-ES"/>
                    </w:rPr>
                    <w:t xml:space="preserve">inclusión del componente ambiental en los procesos de planificación y ordenamiento territorial, con énfasis en la incorporación de las determinantes </w:t>
                  </w:r>
                  <w:r w:rsidR="00594481">
                    <w:t xml:space="preserve">ambientales </w:t>
                  </w:r>
                  <w:r w:rsidR="00594481">
                    <w:rPr>
                      <w:lang w:val="es-ES"/>
                    </w:rPr>
                    <w:t>para la revisión y ajuste de los POT</w:t>
                  </w:r>
                  <w:r w:rsidR="00594481">
                    <w:rPr>
                      <w:lang w:eastAsia="ar-SA"/>
                    </w:rPr>
                    <w:t xml:space="preserve"> </w:t>
                  </w:r>
                  <w:r>
                    <w:rPr>
                      <w:lang w:eastAsia="ar-SA"/>
                    </w:rPr>
                    <w:t>(PMAPOT) (C = B / A)</w:t>
                  </w:r>
                </w:p>
              </w:tc>
              <w:tc>
                <w:tcPr>
                  <w:tcW w:w="541" w:type="dxa"/>
                  <w:shd w:val="clear" w:color="auto" w:fill="auto"/>
                  <w:noWrap/>
                  <w:vAlign w:val="bottom"/>
                </w:tcPr>
                <w:p w:rsidR="00AD0793" w:rsidRPr="00EB4CFA" w:rsidRDefault="00AD0793" w:rsidP="007409CA">
                  <w:pPr>
                    <w:spacing w:after="0"/>
                    <w:jc w:val="center"/>
                    <w:rPr>
                      <w:color w:val="000000"/>
                      <w:szCs w:val="22"/>
                      <w:lang w:eastAsia="es-CO"/>
                    </w:rPr>
                  </w:pPr>
                </w:p>
              </w:tc>
              <w:tc>
                <w:tcPr>
                  <w:tcW w:w="541" w:type="dxa"/>
                  <w:shd w:val="clear" w:color="auto" w:fill="auto"/>
                  <w:noWrap/>
                  <w:vAlign w:val="bottom"/>
                </w:tcPr>
                <w:p w:rsidR="00AD0793" w:rsidRPr="00EB4CFA" w:rsidRDefault="00AD0793" w:rsidP="007409CA">
                  <w:pPr>
                    <w:spacing w:after="0"/>
                    <w:jc w:val="center"/>
                    <w:rPr>
                      <w:color w:val="000000"/>
                      <w:szCs w:val="22"/>
                      <w:lang w:eastAsia="es-CO"/>
                    </w:rPr>
                  </w:pPr>
                </w:p>
              </w:tc>
              <w:tc>
                <w:tcPr>
                  <w:tcW w:w="541" w:type="dxa"/>
                  <w:shd w:val="clear" w:color="auto" w:fill="auto"/>
                  <w:noWrap/>
                  <w:vAlign w:val="bottom"/>
                </w:tcPr>
                <w:p w:rsidR="00AD0793" w:rsidRPr="00EB4CFA" w:rsidRDefault="00AD0793" w:rsidP="007409CA">
                  <w:pPr>
                    <w:spacing w:after="0"/>
                    <w:jc w:val="center"/>
                    <w:rPr>
                      <w:color w:val="000000"/>
                      <w:szCs w:val="22"/>
                      <w:lang w:eastAsia="es-CO"/>
                    </w:rPr>
                  </w:pPr>
                </w:p>
              </w:tc>
              <w:tc>
                <w:tcPr>
                  <w:tcW w:w="541" w:type="dxa"/>
                  <w:shd w:val="clear" w:color="auto" w:fill="auto"/>
                  <w:noWrap/>
                  <w:vAlign w:val="bottom"/>
                </w:tcPr>
                <w:p w:rsidR="00AD0793" w:rsidRPr="00EB4CFA" w:rsidRDefault="00AD0793" w:rsidP="007409CA">
                  <w:pPr>
                    <w:spacing w:after="0"/>
                    <w:jc w:val="center"/>
                    <w:rPr>
                      <w:color w:val="000000"/>
                      <w:szCs w:val="22"/>
                      <w:lang w:eastAsia="es-CO"/>
                    </w:rPr>
                  </w:pPr>
                </w:p>
              </w:tc>
              <w:tc>
                <w:tcPr>
                  <w:tcW w:w="498" w:type="dxa"/>
                  <w:shd w:val="clear" w:color="auto" w:fill="auto"/>
                  <w:noWrap/>
                  <w:vAlign w:val="center"/>
                </w:tcPr>
                <w:p w:rsidR="00AD0793" w:rsidRPr="00EB4CFA" w:rsidRDefault="00AD0793" w:rsidP="007409CA">
                  <w:pPr>
                    <w:spacing w:after="0"/>
                    <w:jc w:val="center"/>
                    <w:rPr>
                      <w:color w:val="006100"/>
                      <w:szCs w:val="22"/>
                      <w:lang w:eastAsia="es-CO"/>
                    </w:rPr>
                  </w:pPr>
                </w:p>
              </w:tc>
            </w:tr>
          </w:tbl>
          <w:p w:rsidR="007409CA" w:rsidRDefault="007409CA" w:rsidP="00C77427">
            <w:pPr>
              <w:rPr>
                <w:lang w:eastAsia="ar-SA"/>
              </w:rPr>
            </w:pPr>
          </w:p>
          <w:p w:rsidR="007D6A3D" w:rsidRDefault="007409CA" w:rsidP="00C77427">
            <w:pPr>
              <w:rPr>
                <w:lang w:eastAsia="ar-SA"/>
              </w:rPr>
            </w:pPr>
            <w:r>
              <w:rPr>
                <w:lang w:eastAsia="ar-SA"/>
              </w:rPr>
              <w:t xml:space="preserve">Detalle de acciones de asesoría </w:t>
            </w:r>
            <w:r w:rsidR="00731470">
              <w:rPr>
                <w:lang w:eastAsia="ar-SA"/>
              </w:rPr>
              <w:t xml:space="preserve">o asistencia a los municipios o distritos, </w:t>
            </w:r>
            <w:r>
              <w:rPr>
                <w:lang w:eastAsia="ar-SA"/>
              </w:rPr>
              <w:t>realizadas en la vigencia (utilice tantas filas cuantas sean necesarias)</w:t>
            </w:r>
          </w:p>
          <w:tbl>
            <w:tblPr>
              <w:tblW w:w="8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
              <w:gridCol w:w="3411"/>
              <w:gridCol w:w="1387"/>
              <w:gridCol w:w="1134"/>
              <w:gridCol w:w="1927"/>
            </w:tblGrid>
            <w:tr w:rsidR="007409CA" w:rsidRPr="004E5176" w:rsidTr="00C80DA4">
              <w:trPr>
                <w:trHeight w:val="113"/>
              </w:trPr>
              <w:tc>
                <w:tcPr>
                  <w:tcW w:w="470" w:type="dxa"/>
                  <w:vAlign w:val="center"/>
                </w:tcPr>
                <w:p w:rsidR="007409CA" w:rsidRPr="004E5176" w:rsidRDefault="007409CA" w:rsidP="004B6A39">
                  <w:pPr>
                    <w:spacing w:after="0"/>
                    <w:jc w:val="center"/>
                    <w:rPr>
                      <w:rFonts w:cs="Calibri"/>
                      <w:color w:val="000000"/>
                      <w:sz w:val="16"/>
                      <w:szCs w:val="22"/>
                      <w:lang w:eastAsia="es-CO"/>
                    </w:rPr>
                  </w:pPr>
                  <w:r>
                    <w:rPr>
                      <w:rFonts w:cs="Calibri"/>
                      <w:color w:val="000000"/>
                      <w:sz w:val="16"/>
                      <w:szCs w:val="22"/>
                      <w:lang w:eastAsia="es-CO"/>
                    </w:rPr>
                    <w:t>N</w:t>
                  </w:r>
                </w:p>
              </w:tc>
              <w:tc>
                <w:tcPr>
                  <w:tcW w:w="3411" w:type="dxa"/>
                  <w:shd w:val="clear" w:color="auto" w:fill="auto"/>
                  <w:noWrap/>
                  <w:vAlign w:val="center"/>
                  <w:hideMark/>
                </w:tcPr>
                <w:p w:rsidR="007409CA" w:rsidRPr="004E5176" w:rsidRDefault="007409CA" w:rsidP="004B6A39">
                  <w:pPr>
                    <w:spacing w:after="0"/>
                    <w:jc w:val="center"/>
                    <w:rPr>
                      <w:rFonts w:cs="Calibri"/>
                      <w:color w:val="000000"/>
                      <w:sz w:val="16"/>
                      <w:szCs w:val="22"/>
                      <w:lang w:eastAsia="es-CO"/>
                    </w:rPr>
                  </w:pPr>
                  <w:r>
                    <w:rPr>
                      <w:rFonts w:cs="Calibri"/>
                      <w:color w:val="000000"/>
                      <w:sz w:val="16"/>
                      <w:szCs w:val="22"/>
                      <w:lang w:eastAsia="es-CO"/>
                    </w:rPr>
                    <w:t>Acciones</w:t>
                  </w:r>
                </w:p>
              </w:tc>
              <w:tc>
                <w:tcPr>
                  <w:tcW w:w="1387" w:type="dxa"/>
                  <w:shd w:val="clear" w:color="auto" w:fill="auto"/>
                  <w:noWrap/>
                  <w:vAlign w:val="center"/>
                  <w:hideMark/>
                </w:tcPr>
                <w:p w:rsidR="007409CA" w:rsidRDefault="007409CA" w:rsidP="004B6A39">
                  <w:pPr>
                    <w:spacing w:after="0"/>
                    <w:jc w:val="center"/>
                    <w:rPr>
                      <w:rFonts w:cs="Calibri"/>
                      <w:color w:val="000000"/>
                      <w:sz w:val="16"/>
                      <w:szCs w:val="22"/>
                      <w:lang w:eastAsia="es-CO"/>
                    </w:rPr>
                  </w:pPr>
                  <w:r>
                    <w:rPr>
                      <w:rFonts w:cs="Calibri"/>
                      <w:color w:val="000000"/>
                      <w:sz w:val="16"/>
                      <w:szCs w:val="22"/>
                      <w:lang w:eastAsia="es-CO"/>
                    </w:rPr>
                    <w:t>Número de</w:t>
                  </w:r>
                </w:p>
                <w:p w:rsidR="007409CA" w:rsidRPr="004E5176" w:rsidRDefault="002708EF" w:rsidP="004B6A39">
                  <w:pPr>
                    <w:spacing w:after="0"/>
                    <w:jc w:val="center"/>
                    <w:rPr>
                      <w:rFonts w:cs="Calibri"/>
                      <w:color w:val="000000"/>
                      <w:sz w:val="16"/>
                      <w:szCs w:val="22"/>
                      <w:lang w:eastAsia="es-CO"/>
                    </w:rPr>
                  </w:pPr>
                  <w:r>
                    <w:rPr>
                      <w:rFonts w:cs="Calibri"/>
                      <w:color w:val="000000"/>
                      <w:sz w:val="16"/>
                      <w:szCs w:val="22"/>
                      <w:lang w:eastAsia="es-CO"/>
                    </w:rPr>
                    <w:t>municipios</w:t>
                  </w:r>
                  <w:r w:rsidR="007409CA">
                    <w:rPr>
                      <w:rFonts w:cs="Calibri"/>
                      <w:color w:val="000000"/>
                      <w:sz w:val="16"/>
                      <w:szCs w:val="22"/>
                      <w:lang w:eastAsia="es-CO"/>
                    </w:rPr>
                    <w:t xml:space="preserve"> </w:t>
                  </w:r>
                </w:p>
              </w:tc>
              <w:tc>
                <w:tcPr>
                  <w:tcW w:w="1134" w:type="dxa"/>
                </w:tcPr>
                <w:p w:rsidR="007409CA" w:rsidRDefault="007409CA" w:rsidP="004B6A39">
                  <w:pPr>
                    <w:spacing w:after="0"/>
                    <w:jc w:val="center"/>
                    <w:rPr>
                      <w:rFonts w:cs="Calibri"/>
                      <w:color w:val="000000"/>
                      <w:sz w:val="16"/>
                      <w:szCs w:val="22"/>
                      <w:lang w:eastAsia="es-CO"/>
                    </w:rPr>
                  </w:pPr>
                  <w:r>
                    <w:rPr>
                      <w:rFonts w:cs="Calibri"/>
                      <w:color w:val="000000"/>
                      <w:sz w:val="16"/>
                      <w:szCs w:val="22"/>
                      <w:lang w:eastAsia="es-CO"/>
                    </w:rPr>
                    <w:t>No</w:t>
                  </w:r>
                  <w:r w:rsidR="00643827">
                    <w:rPr>
                      <w:rFonts w:cs="Calibri"/>
                      <w:color w:val="000000"/>
                      <w:sz w:val="16"/>
                      <w:szCs w:val="22"/>
                      <w:lang w:eastAsia="es-CO"/>
                    </w:rPr>
                    <w:t>mbres de municipios</w:t>
                  </w:r>
                </w:p>
              </w:tc>
              <w:tc>
                <w:tcPr>
                  <w:tcW w:w="1927" w:type="dxa"/>
                </w:tcPr>
                <w:p w:rsidR="007409CA" w:rsidRDefault="00C80DA4" w:rsidP="00DD0689">
                  <w:pPr>
                    <w:spacing w:after="0"/>
                    <w:jc w:val="center"/>
                    <w:rPr>
                      <w:rFonts w:cs="Calibri"/>
                      <w:color w:val="000000"/>
                      <w:sz w:val="16"/>
                      <w:szCs w:val="22"/>
                      <w:lang w:eastAsia="es-CO"/>
                    </w:rPr>
                  </w:pPr>
                  <w:r>
                    <w:rPr>
                      <w:rFonts w:cs="Calibri"/>
                      <w:color w:val="000000"/>
                      <w:sz w:val="16"/>
                      <w:szCs w:val="22"/>
                      <w:lang w:eastAsia="es-CO"/>
                    </w:rPr>
                    <w:t>Observa</w:t>
                  </w:r>
                  <w:r w:rsidR="007409CA">
                    <w:rPr>
                      <w:rFonts w:cs="Calibri"/>
                      <w:color w:val="000000"/>
                      <w:sz w:val="16"/>
                      <w:szCs w:val="22"/>
                      <w:lang w:eastAsia="es-CO"/>
                    </w:rPr>
                    <w:t>ciones</w:t>
                  </w:r>
                </w:p>
              </w:tc>
            </w:tr>
            <w:tr w:rsidR="007409CA" w:rsidRPr="004E5176" w:rsidTr="00C80DA4">
              <w:trPr>
                <w:trHeight w:val="113"/>
              </w:trPr>
              <w:tc>
                <w:tcPr>
                  <w:tcW w:w="470" w:type="dxa"/>
                </w:tcPr>
                <w:p w:rsidR="007409CA" w:rsidRPr="004E5176" w:rsidRDefault="007409CA" w:rsidP="004B6A39">
                  <w:pPr>
                    <w:spacing w:after="0"/>
                    <w:jc w:val="left"/>
                    <w:rPr>
                      <w:rFonts w:cs="Calibri"/>
                      <w:color w:val="000000"/>
                      <w:sz w:val="16"/>
                      <w:szCs w:val="22"/>
                      <w:lang w:eastAsia="es-CO"/>
                    </w:rPr>
                  </w:pPr>
                  <w:r>
                    <w:rPr>
                      <w:rFonts w:cs="Calibri"/>
                      <w:color w:val="000000"/>
                      <w:sz w:val="16"/>
                      <w:szCs w:val="22"/>
                      <w:lang w:eastAsia="es-CO"/>
                    </w:rPr>
                    <w:t>1</w:t>
                  </w:r>
                </w:p>
              </w:tc>
              <w:tc>
                <w:tcPr>
                  <w:tcW w:w="3411" w:type="dxa"/>
                  <w:shd w:val="clear" w:color="auto" w:fill="auto"/>
                  <w:noWrap/>
                  <w:vAlign w:val="bottom"/>
                </w:tcPr>
                <w:p w:rsidR="007409CA" w:rsidRPr="004E5176" w:rsidRDefault="007409CA" w:rsidP="004B6A39">
                  <w:pPr>
                    <w:spacing w:after="0"/>
                    <w:jc w:val="left"/>
                    <w:rPr>
                      <w:rFonts w:cs="Calibri"/>
                      <w:color w:val="000000"/>
                      <w:sz w:val="16"/>
                      <w:szCs w:val="22"/>
                      <w:lang w:eastAsia="es-CO"/>
                    </w:rPr>
                  </w:pPr>
                </w:p>
              </w:tc>
              <w:tc>
                <w:tcPr>
                  <w:tcW w:w="1387" w:type="dxa"/>
                  <w:shd w:val="clear" w:color="auto" w:fill="auto"/>
                  <w:noWrap/>
                  <w:vAlign w:val="bottom"/>
                </w:tcPr>
                <w:p w:rsidR="007409CA" w:rsidRPr="004E5176" w:rsidRDefault="007409CA" w:rsidP="004B6A39">
                  <w:pPr>
                    <w:spacing w:after="0"/>
                    <w:jc w:val="left"/>
                    <w:rPr>
                      <w:rFonts w:cs="Calibri"/>
                      <w:color w:val="000000"/>
                      <w:sz w:val="16"/>
                      <w:szCs w:val="22"/>
                      <w:lang w:eastAsia="es-CO"/>
                    </w:rPr>
                  </w:pPr>
                </w:p>
              </w:tc>
              <w:tc>
                <w:tcPr>
                  <w:tcW w:w="1134" w:type="dxa"/>
                </w:tcPr>
                <w:p w:rsidR="007409CA" w:rsidRPr="004E5176" w:rsidRDefault="007409CA" w:rsidP="004B6A39">
                  <w:pPr>
                    <w:spacing w:after="0"/>
                    <w:jc w:val="left"/>
                    <w:rPr>
                      <w:rFonts w:cs="Calibri"/>
                      <w:color w:val="000000"/>
                      <w:sz w:val="16"/>
                      <w:szCs w:val="22"/>
                      <w:lang w:eastAsia="es-CO"/>
                    </w:rPr>
                  </w:pPr>
                </w:p>
              </w:tc>
              <w:tc>
                <w:tcPr>
                  <w:tcW w:w="1927" w:type="dxa"/>
                </w:tcPr>
                <w:p w:rsidR="007409CA" w:rsidRPr="004E5176" w:rsidRDefault="007409CA" w:rsidP="004B6A39">
                  <w:pPr>
                    <w:spacing w:after="0"/>
                    <w:jc w:val="left"/>
                    <w:rPr>
                      <w:rFonts w:cs="Calibri"/>
                      <w:color w:val="000000"/>
                      <w:sz w:val="16"/>
                      <w:szCs w:val="22"/>
                      <w:lang w:eastAsia="es-CO"/>
                    </w:rPr>
                  </w:pPr>
                </w:p>
              </w:tc>
            </w:tr>
            <w:tr w:rsidR="007409CA" w:rsidRPr="004E5176" w:rsidTr="00C80DA4">
              <w:trPr>
                <w:trHeight w:val="113"/>
              </w:trPr>
              <w:tc>
                <w:tcPr>
                  <w:tcW w:w="470" w:type="dxa"/>
                </w:tcPr>
                <w:p w:rsidR="007409CA" w:rsidRPr="004E5176" w:rsidRDefault="007409CA" w:rsidP="004B6A39">
                  <w:pPr>
                    <w:spacing w:after="0"/>
                    <w:jc w:val="left"/>
                    <w:rPr>
                      <w:rFonts w:cs="Calibri"/>
                      <w:color w:val="000000"/>
                      <w:sz w:val="16"/>
                      <w:szCs w:val="22"/>
                      <w:lang w:eastAsia="es-CO"/>
                    </w:rPr>
                  </w:pPr>
                  <w:r>
                    <w:rPr>
                      <w:rFonts w:cs="Calibri"/>
                      <w:color w:val="000000"/>
                      <w:sz w:val="16"/>
                      <w:szCs w:val="22"/>
                      <w:lang w:eastAsia="es-CO"/>
                    </w:rPr>
                    <w:t>2</w:t>
                  </w:r>
                </w:p>
              </w:tc>
              <w:tc>
                <w:tcPr>
                  <w:tcW w:w="3411" w:type="dxa"/>
                  <w:shd w:val="clear" w:color="auto" w:fill="auto"/>
                  <w:noWrap/>
                  <w:vAlign w:val="bottom"/>
                </w:tcPr>
                <w:p w:rsidR="007409CA" w:rsidRPr="004E5176" w:rsidRDefault="007409CA" w:rsidP="004B6A39">
                  <w:pPr>
                    <w:spacing w:after="0"/>
                    <w:jc w:val="left"/>
                    <w:rPr>
                      <w:rFonts w:cs="Calibri"/>
                      <w:color w:val="000000"/>
                      <w:sz w:val="16"/>
                      <w:szCs w:val="22"/>
                      <w:lang w:eastAsia="es-CO"/>
                    </w:rPr>
                  </w:pPr>
                </w:p>
              </w:tc>
              <w:tc>
                <w:tcPr>
                  <w:tcW w:w="1387" w:type="dxa"/>
                  <w:shd w:val="clear" w:color="auto" w:fill="auto"/>
                  <w:noWrap/>
                  <w:vAlign w:val="bottom"/>
                </w:tcPr>
                <w:p w:rsidR="007409CA" w:rsidRPr="004E5176" w:rsidRDefault="007409CA" w:rsidP="004B6A39">
                  <w:pPr>
                    <w:spacing w:after="0"/>
                    <w:jc w:val="left"/>
                    <w:rPr>
                      <w:rFonts w:cs="Calibri"/>
                      <w:color w:val="000000"/>
                      <w:sz w:val="16"/>
                      <w:szCs w:val="22"/>
                      <w:lang w:eastAsia="es-CO"/>
                    </w:rPr>
                  </w:pPr>
                </w:p>
              </w:tc>
              <w:tc>
                <w:tcPr>
                  <w:tcW w:w="1134" w:type="dxa"/>
                </w:tcPr>
                <w:p w:rsidR="007409CA" w:rsidRPr="004E5176" w:rsidRDefault="007409CA" w:rsidP="004B6A39">
                  <w:pPr>
                    <w:spacing w:after="0"/>
                    <w:jc w:val="left"/>
                    <w:rPr>
                      <w:rFonts w:cs="Calibri"/>
                      <w:color w:val="000000"/>
                      <w:sz w:val="16"/>
                      <w:szCs w:val="22"/>
                      <w:lang w:eastAsia="es-CO"/>
                    </w:rPr>
                  </w:pPr>
                </w:p>
              </w:tc>
              <w:tc>
                <w:tcPr>
                  <w:tcW w:w="1927" w:type="dxa"/>
                </w:tcPr>
                <w:p w:rsidR="007409CA" w:rsidRPr="004E5176" w:rsidRDefault="007409CA" w:rsidP="004B6A39">
                  <w:pPr>
                    <w:spacing w:after="0"/>
                    <w:jc w:val="left"/>
                    <w:rPr>
                      <w:rFonts w:cs="Calibri"/>
                      <w:color w:val="000000"/>
                      <w:sz w:val="16"/>
                      <w:szCs w:val="22"/>
                      <w:lang w:eastAsia="es-CO"/>
                    </w:rPr>
                  </w:pPr>
                </w:p>
              </w:tc>
            </w:tr>
            <w:tr w:rsidR="007409CA" w:rsidRPr="004E5176" w:rsidTr="00C80DA4">
              <w:trPr>
                <w:trHeight w:val="113"/>
              </w:trPr>
              <w:tc>
                <w:tcPr>
                  <w:tcW w:w="470" w:type="dxa"/>
                </w:tcPr>
                <w:p w:rsidR="007409CA" w:rsidRPr="004E5176" w:rsidRDefault="007409CA" w:rsidP="004B6A39">
                  <w:pPr>
                    <w:spacing w:after="0"/>
                    <w:jc w:val="left"/>
                    <w:rPr>
                      <w:rFonts w:cs="Calibri"/>
                      <w:color w:val="000000"/>
                      <w:sz w:val="16"/>
                      <w:szCs w:val="22"/>
                      <w:lang w:eastAsia="es-CO"/>
                    </w:rPr>
                  </w:pPr>
                  <w:r>
                    <w:rPr>
                      <w:rFonts w:cs="Calibri"/>
                      <w:color w:val="000000"/>
                      <w:sz w:val="16"/>
                      <w:szCs w:val="22"/>
                      <w:lang w:eastAsia="es-CO"/>
                    </w:rPr>
                    <w:t>3</w:t>
                  </w:r>
                </w:p>
              </w:tc>
              <w:tc>
                <w:tcPr>
                  <w:tcW w:w="3411" w:type="dxa"/>
                  <w:shd w:val="clear" w:color="auto" w:fill="auto"/>
                  <w:noWrap/>
                  <w:vAlign w:val="bottom"/>
                </w:tcPr>
                <w:p w:rsidR="007409CA" w:rsidRPr="004E5176" w:rsidRDefault="007409CA" w:rsidP="004B6A39">
                  <w:pPr>
                    <w:spacing w:after="0"/>
                    <w:jc w:val="left"/>
                    <w:rPr>
                      <w:rFonts w:cs="Calibri"/>
                      <w:color w:val="000000"/>
                      <w:sz w:val="16"/>
                      <w:szCs w:val="22"/>
                      <w:lang w:eastAsia="es-CO"/>
                    </w:rPr>
                  </w:pPr>
                </w:p>
              </w:tc>
              <w:tc>
                <w:tcPr>
                  <w:tcW w:w="1387" w:type="dxa"/>
                  <w:shd w:val="clear" w:color="auto" w:fill="auto"/>
                  <w:noWrap/>
                  <w:vAlign w:val="bottom"/>
                </w:tcPr>
                <w:p w:rsidR="007409CA" w:rsidRPr="004E5176" w:rsidRDefault="007409CA" w:rsidP="004B6A39">
                  <w:pPr>
                    <w:spacing w:after="0"/>
                    <w:jc w:val="left"/>
                    <w:rPr>
                      <w:rFonts w:cs="Calibri"/>
                      <w:color w:val="000000"/>
                      <w:sz w:val="16"/>
                      <w:szCs w:val="22"/>
                      <w:lang w:eastAsia="es-CO"/>
                    </w:rPr>
                  </w:pPr>
                </w:p>
              </w:tc>
              <w:tc>
                <w:tcPr>
                  <w:tcW w:w="1134" w:type="dxa"/>
                </w:tcPr>
                <w:p w:rsidR="007409CA" w:rsidRPr="004E5176" w:rsidRDefault="007409CA" w:rsidP="004B6A39">
                  <w:pPr>
                    <w:spacing w:after="0"/>
                    <w:jc w:val="left"/>
                    <w:rPr>
                      <w:rFonts w:cs="Calibri"/>
                      <w:color w:val="000000"/>
                      <w:sz w:val="16"/>
                      <w:szCs w:val="22"/>
                      <w:lang w:eastAsia="es-CO"/>
                    </w:rPr>
                  </w:pPr>
                </w:p>
              </w:tc>
              <w:tc>
                <w:tcPr>
                  <w:tcW w:w="1927" w:type="dxa"/>
                </w:tcPr>
                <w:p w:rsidR="007409CA" w:rsidRPr="004E5176" w:rsidRDefault="007409CA" w:rsidP="004B6A39">
                  <w:pPr>
                    <w:spacing w:after="0"/>
                    <w:jc w:val="left"/>
                    <w:rPr>
                      <w:rFonts w:cs="Calibri"/>
                      <w:color w:val="000000"/>
                      <w:sz w:val="16"/>
                      <w:szCs w:val="22"/>
                      <w:lang w:eastAsia="es-CO"/>
                    </w:rPr>
                  </w:pPr>
                </w:p>
              </w:tc>
            </w:tr>
            <w:tr w:rsidR="007409CA" w:rsidRPr="004E5176" w:rsidTr="00C80DA4">
              <w:trPr>
                <w:trHeight w:val="113"/>
              </w:trPr>
              <w:tc>
                <w:tcPr>
                  <w:tcW w:w="470" w:type="dxa"/>
                </w:tcPr>
                <w:p w:rsidR="007409CA" w:rsidRDefault="007409CA" w:rsidP="004B6A39">
                  <w:pPr>
                    <w:spacing w:after="0"/>
                    <w:jc w:val="left"/>
                    <w:rPr>
                      <w:rFonts w:cs="Calibri"/>
                      <w:color w:val="000000"/>
                      <w:sz w:val="16"/>
                      <w:szCs w:val="22"/>
                      <w:lang w:eastAsia="es-CO"/>
                    </w:rPr>
                  </w:pPr>
                  <w:r>
                    <w:rPr>
                      <w:rFonts w:cs="Calibri"/>
                      <w:color w:val="000000"/>
                      <w:sz w:val="16"/>
                      <w:szCs w:val="22"/>
                      <w:lang w:eastAsia="es-CO"/>
                    </w:rPr>
                    <w:t>4</w:t>
                  </w:r>
                </w:p>
              </w:tc>
              <w:tc>
                <w:tcPr>
                  <w:tcW w:w="3411" w:type="dxa"/>
                  <w:shd w:val="clear" w:color="auto" w:fill="auto"/>
                  <w:noWrap/>
                  <w:vAlign w:val="bottom"/>
                </w:tcPr>
                <w:p w:rsidR="007409CA" w:rsidRPr="004E5176" w:rsidRDefault="007409CA" w:rsidP="004B6A39">
                  <w:pPr>
                    <w:spacing w:after="0"/>
                    <w:jc w:val="left"/>
                    <w:rPr>
                      <w:rFonts w:cs="Calibri"/>
                      <w:color w:val="000000"/>
                      <w:sz w:val="16"/>
                      <w:szCs w:val="22"/>
                      <w:lang w:eastAsia="es-CO"/>
                    </w:rPr>
                  </w:pPr>
                </w:p>
              </w:tc>
              <w:tc>
                <w:tcPr>
                  <w:tcW w:w="1387" w:type="dxa"/>
                  <w:shd w:val="clear" w:color="auto" w:fill="auto"/>
                  <w:noWrap/>
                  <w:vAlign w:val="bottom"/>
                </w:tcPr>
                <w:p w:rsidR="007409CA" w:rsidRPr="004E5176" w:rsidRDefault="007409CA" w:rsidP="004B6A39">
                  <w:pPr>
                    <w:spacing w:after="0"/>
                    <w:jc w:val="left"/>
                    <w:rPr>
                      <w:rFonts w:cs="Calibri"/>
                      <w:color w:val="000000"/>
                      <w:sz w:val="16"/>
                      <w:szCs w:val="22"/>
                      <w:lang w:eastAsia="es-CO"/>
                    </w:rPr>
                  </w:pPr>
                </w:p>
              </w:tc>
              <w:tc>
                <w:tcPr>
                  <w:tcW w:w="1134" w:type="dxa"/>
                </w:tcPr>
                <w:p w:rsidR="007409CA" w:rsidRPr="004E5176" w:rsidRDefault="007409CA" w:rsidP="004B6A39">
                  <w:pPr>
                    <w:spacing w:after="0"/>
                    <w:jc w:val="left"/>
                    <w:rPr>
                      <w:rFonts w:cs="Calibri"/>
                      <w:color w:val="000000"/>
                      <w:sz w:val="16"/>
                      <w:szCs w:val="22"/>
                      <w:lang w:eastAsia="es-CO"/>
                    </w:rPr>
                  </w:pPr>
                </w:p>
              </w:tc>
              <w:tc>
                <w:tcPr>
                  <w:tcW w:w="1927" w:type="dxa"/>
                </w:tcPr>
                <w:p w:rsidR="007409CA" w:rsidRPr="004E5176" w:rsidRDefault="007409CA" w:rsidP="004B6A39">
                  <w:pPr>
                    <w:spacing w:after="0"/>
                    <w:jc w:val="left"/>
                    <w:rPr>
                      <w:rFonts w:cs="Calibri"/>
                      <w:color w:val="000000"/>
                      <w:sz w:val="16"/>
                      <w:szCs w:val="22"/>
                      <w:lang w:eastAsia="es-CO"/>
                    </w:rPr>
                  </w:pPr>
                </w:p>
              </w:tc>
            </w:tr>
            <w:tr w:rsidR="007409CA" w:rsidRPr="004E5176" w:rsidTr="00C80DA4">
              <w:trPr>
                <w:trHeight w:val="113"/>
              </w:trPr>
              <w:tc>
                <w:tcPr>
                  <w:tcW w:w="470" w:type="dxa"/>
                </w:tcPr>
                <w:p w:rsidR="007409CA" w:rsidRPr="004E5176" w:rsidRDefault="007409CA" w:rsidP="004B6A39">
                  <w:pPr>
                    <w:spacing w:after="0"/>
                    <w:jc w:val="left"/>
                    <w:rPr>
                      <w:rFonts w:cs="Calibri"/>
                      <w:color w:val="000000"/>
                      <w:sz w:val="16"/>
                      <w:szCs w:val="22"/>
                      <w:lang w:eastAsia="es-CO"/>
                    </w:rPr>
                  </w:pPr>
                  <w:r>
                    <w:rPr>
                      <w:rFonts w:cs="Calibri"/>
                      <w:color w:val="000000"/>
                      <w:sz w:val="16"/>
                      <w:szCs w:val="22"/>
                      <w:lang w:eastAsia="es-CO"/>
                    </w:rPr>
                    <w:t>5</w:t>
                  </w:r>
                </w:p>
              </w:tc>
              <w:tc>
                <w:tcPr>
                  <w:tcW w:w="3411" w:type="dxa"/>
                  <w:shd w:val="clear" w:color="auto" w:fill="auto"/>
                  <w:noWrap/>
                  <w:vAlign w:val="bottom"/>
                </w:tcPr>
                <w:p w:rsidR="007409CA" w:rsidRPr="004E5176" w:rsidRDefault="007409CA" w:rsidP="004B6A39">
                  <w:pPr>
                    <w:spacing w:after="0"/>
                    <w:jc w:val="left"/>
                    <w:rPr>
                      <w:rFonts w:cs="Calibri"/>
                      <w:color w:val="000000"/>
                      <w:sz w:val="16"/>
                      <w:szCs w:val="22"/>
                      <w:lang w:eastAsia="es-CO"/>
                    </w:rPr>
                  </w:pPr>
                </w:p>
              </w:tc>
              <w:tc>
                <w:tcPr>
                  <w:tcW w:w="1387" w:type="dxa"/>
                  <w:shd w:val="clear" w:color="auto" w:fill="auto"/>
                  <w:noWrap/>
                  <w:vAlign w:val="bottom"/>
                </w:tcPr>
                <w:p w:rsidR="007409CA" w:rsidRPr="004E5176" w:rsidRDefault="007409CA" w:rsidP="004B6A39">
                  <w:pPr>
                    <w:spacing w:after="0"/>
                    <w:jc w:val="left"/>
                    <w:rPr>
                      <w:rFonts w:cs="Calibri"/>
                      <w:color w:val="000000"/>
                      <w:sz w:val="16"/>
                      <w:szCs w:val="22"/>
                      <w:lang w:eastAsia="es-CO"/>
                    </w:rPr>
                  </w:pPr>
                </w:p>
              </w:tc>
              <w:tc>
                <w:tcPr>
                  <w:tcW w:w="1134" w:type="dxa"/>
                </w:tcPr>
                <w:p w:rsidR="007409CA" w:rsidRPr="004E5176" w:rsidRDefault="007409CA" w:rsidP="004B6A39">
                  <w:pPr>
                    <w:spacing w:after="0"/>
                    <w:jc w:val="left"/>
                    <w:rPr>
                      <w:rFonts w:cs="Calibri"/>
                      <w:color w:val="000000"/>
                      <w:sz w:val="16"/>
                      <w:szCs w:val="22"/>
                      <w:lang w:eastAsia="es-CO"/>
                    </w:rPr>
                  </w:pPr>
                </w:p>
              </w:tc>
              <w:tc>
                <w:tcPr>
                  <w:tcW w:w="1927" w:type="dxa"/>
                </w:tcPr>
                <w:p w:rsidR="007409CA" w:rsidRPr="004E5176" w:rsidRDefault="007409CA" w:rsidP="004B6A39">
                  <w:pPr>
                    <w:spacing w:after="0"/>
                    <w:jc w:val="left"/>
                    <w:rPr>
                      <w:rFonts w:cs="Calibri"/>
                      <w:color w:val="000000"/>
                      <w:sz w:val="16"/>
                      <w:szCs w:val="22"/>
                      <w:lang w:eastAsia="es-CO"/>
                    </w:rPr>
                  </w:pPr>
                </w:p>
              </w:tc>
            </w:tr>
            <w:tr w:rsidR="00C80DA4" w:rsidRPr="004E5176" w:rsidTr="00C80DA4">
              <w:trPr>
                <w:trHeight w:val="113"/>
              </w:trPr>
              <w:tc>
                <w:tcPr>
                  <w:tcW w:w="470" w:type="dxa"/>
                </w:tcPr>
                <w:p w:rsidR="00C80DA4" w:rsidRDefault="00C80DA4" w:rsidP="004B6A39">
                  <w:pPr>
                    <w:spacing w:after="0"/>
                    <w:jc w:val="left"/>
                    <w:rPr>
                      <w:rFonts w:cs="Calibri"/>
                      <w:color w:val="000000"/>
                      <w:sz w:val="16"/>
                      <w:szCs w:val="22"/>
                      <w:lang w:eastAsia="es-CO"/>
                    </w:rPr>
                  </w:pPr>
                  <w:r>
                    <w:rPr>
                      <w:rFonts w:cs="Calibri"/>
                      <w:color w:val="000000"/>
                      <w:sz w:val="16"/>
                      <w:szCs w:val="22"/>
                      <w:lang w:eastAsia="es-CO"/>
                    </w:rPr>
                    <w:t>6</w:t>
                  </w:r>
                </w:p>
              </w:tc>
              <w:tc>
                <w:tcPr>
                  <w:tcW w:w="3411" w:type="dxa"/>
                  <w:shd w:val="clear" w:color="auto" w:fill="auto"/>
                  <w:noWrap/>
                  <w:vAlign w:val="bottom"/>
                </w:tcPr>
                <w:p w:rsidR="00C80DA4" w:rsidRPr="004E5176" w:rsidRDefault="00C80DA4" w:rsidP="004B6A39">
                  <w:pPr>
                    <w:spacing w:after="0"/>
                    <w:jc w:val="left"/>
                    <w:rPr>
                      <w:rFonts w:cs="Calibri"/>
                      <w:color w:val="000000"/>
                      <w:sz w:val="16"/>
                      <w:szCs w:val="22"/>
                      <w:lang w:eastAsia="es-CO"/>
                    </w:rPr>
                  </w:pPr>
                </w:p>
              </w:tc>
              <w:tc>
                <w:tcPr>
                  <w:tcW w:w="1387" w:type="dxa"/>
                  <w:shd w:val="clear" w:color="auto" w:fill="auto"/>
                  <w:noWrap/>
                  <w:vAlign w:val="bottom"/>
                </w:tcPr>
                <w:p w:rsidR="00C80DA4" w:rsidRPr="004E5176" w:rsidRDefault="00C80DA4" w:rsidP="004B6A39">
                  <w:pPr>
                    <w:spacing w:after="0"/>
                    <w:jc w:val="left"/>
                    <w:rPr>
                      <w:rFonts w:cs="Calibri"/>
                      <w:color w:val="000000"/>
                      <w:sz w:val="16"/>
                      <w:szCs w:val="22"/>
                      <w:lang w:eastAsia="es-CO"/>
                    </w:rPr>
                  </w:pPr>
                </w:p>
              </w:tc>
              <w:tc>
                <w:tcPr>
                  <w:tcW w:w="1134" w:type="dxa"/>
                </w:tcPr>
                <w:p w:rsidR="00C80DA4" w:rsidRPr="004E5176" w:rsidRDefault="00C80DA4" w:rsidP="004B6A39">
                  <w:pPr>
                    <w:spacing w:after="0"/>
                    <w:jc w:val="left"/>
                    <w:rPr>
                      <w:rFonts w:cs="Calibri"/>
                      <w:color w:val="000000"/>
                      <w:sz w:val="16"/>
                      <w:szCs w:val="22"/>
                      <w:lang w:eastAsia="es-CO"/>
                    </w:rPr>
                  </w:pPr>
                </w:p>
              </w:tc>
              <w:tc>
                <w:tcPr>
                  <w:tcW w:w="1927" w:type="dxa"/>
                </w:tcPr>
                <w:p w:rsidR="00C80DA4" w:rsidRPr="004E5176" w:rsidRDefault="00C80DA4" w:rsidP="004B6A39">
                  <w:pPr>
                    <w:spacing w:after="0"/>
                    <w:jc w:val="left"/>
                    <w:rPr>
                      <w:rFonts w:cs="Calibri"/>
                      <w:color w:val="000000"/>
                      <w:sz w:val="16"/>
                      <w:szCs w:val="22"/>
                      <w:lang w:eastAsia="es-CO"/>
                    </w:rPr>
                  </w:pPr>
                </w:p>
              </w:tc>
            </w:tr>
          </w:tbl>
          <w:p w:rsidR="00A77F51" w:rsidRPr="00F36DC6" w:rsidRDefault="00A77F51" w:rsidP="007409CA">
            <w:pPr>
              <w:pStyle w:val="piecito"/>
            </w:pPr>
          </w:p>
        </w:tc>
      </w:tr>
      <w:tr w:rsidR="00121693" w:rsidRPr="004B6A39" w:rsidTr="00C20065">
        <w:trPr>
          <w:trHeight w:val="20"/>
          <w:jc w:val="center"/>
        </w:trPr>
        <w:tc>
          <w:tcPr>
            <w:tcW w:w="1166" w:type="pct"/>
            <w:vAlign w:val="center"/>
          </w:tcPr>
          <w:p w:rsidR="005F185A" w:rsidRPr="00B771A6" w:rsidRDefault="005F185A" w:rsidP="00982A21">
            <w:pPr>
              <w:jc w:val="left"/>
              <w:rPr>
                <w:lang w:val="es-CR" w:eastAsia="ar-SA"/>
              </w:rPr>
            </w:pPr>
            <w:r w:rsidRPr="00B771A6">
              <w:rPr>
                <w:lang w:val="es-MX" w:eastAsia="ar-SA"/>
              </w:rPr>
              <w:lastRenderedPageBreak/>
              <w:t>Interpretación</w:t>
            </w:r>
          </w:p>
        </w:tc>
        <w:tc>
          <w:tcPr>
            <w:tcW w:w="3834" w:type="pct"/>
          </w:tcPr>
          <w:p w:rsidR="00C907EC" w:rsidRPr="004B6A39" w:rsidRDefault="001E399B" w:rsidP="00CF3D3D">
            <w:pPr>
              <w:rPr>
                <w:lang w:val="es-MX" w:eastAsia="ar-SA"/>
              </w:rPr>
            </w:pPr>
            <w:r>
              <w:rPr>
                <w:lang w:val="es-MX" w:eastAsia="ar-SA"/>
              </w:rPr>
              <w:t>Cuanto más cercano a</w:t>
            </w:r>
            <w:r w:rsidR="004C224B">
              <w:rPr>
                <w:lang w:val="es-MX" w:eastAsia="ar-SA"/>
              </w:rPr>
              <w:t xml:space="preserve"> cien por ciento, mayor es el cumplimiento de las metas esta</w:t>
            </w:r>
            <w:r w:rsidR="005349AF">
              <w:rPr>
                <w:lang w:val="es-MX" w:eastAsia="ar-SA"/>
              </w:rPr>
              <w:t xml:space="preserve">blecidas en relación con la asesoría a los </w:t>
            </w:r>
            <w:r w:rsidR="002708EF">
              <w:rPr>
                <w:lang w:eastAsia="ar-SA"/>
              </w:rPr>
              <w:t>municipios en la incorporación de los determinantes ambientales para la revisión y ajuste de los POT</w:t>
            </w:r>
            <w:r w:rsidR="005349AF">
              <w:rPr>
                <w:lang w:eastAsia="ar-SA"/>
              </w:rPr>
              <w:t>.</w:t>
            </w:r>
          </w:p>
        </w:tc>
      </w:tr>
      <w:tr w:rsidR="00121693" w:rsidRPr="00B771A6" w:rsidTr="00C20065">
        <w:trPr>
          <w:trHeight w:val="20"/>
          <w:jc w:val="center"/>
        </w:trPr>
        <w:tc>
          <w:tcPr>
            <w:tcW w:w="1166" w:type="pct"/>
            <w:vAlign w:val="center"/>
          </w:tcPr>
          <w:p w:rsidR="005F185A" w:rsidRPr="00765D15" w:rsidRDefault="005F185A" w:rsidP="00982A21">
            <w:pPr>
              <w:jc w:val="left"/>
              <w:rPr>
                <w:lang w:val="es-CR" w:eastAsia="ar-SA"/>
              </w:rPr>
            </w:pPr>
            <w:r w:rsidRPr="00765D15">
              <w:rPr>
                <w:lang w:val="es-MX" w:eastAsia="ar-SA"/>
              </w:rPr>
              <w:t>Restricciones o Limitaciones</w:t>
            </w:r>
          </w:p>
        </w:tc>
        <w:tc>
          <w:tcPr>
            <w:tcW w:w="3834" w:type="pct"/>
          </w:tcPr>
          <w:p w:rsidR="005F185A" w:rsidRPr="00E11FB9" w:rsidRDefault="00C907EC" w:rsidP="00C907EC">
            <w:pPr>
              <w:rPr>
                <w:lang w:eastAsia="ar-SA"/>
              </w:rPr>
            </w:pPr>
            <w:r>
              <w:rPr>
                <w:lang w:eastAsia="ar-SA"/>
              </w:rPr>
              <w:t>S</w:t>
            </w:r>
            <w:r w:rsidR="00FA6FB8">
              <w:rPr>
                <w:lang w:eastAsia="ar-SA"/>
              </w:rPr>
              <w:t>e pueden presentar situaciones de orden operativo, político y social que pueden afectar los cro</w:t>
            </w:r>
            <w:r w:rsidR="00031B38">
              <w:rPr>
                <w:lang w:eastAsia="ar-SA"/>
              </w:rPr>
              <w:t>nogramas definidos.</w:t>
            </w:r>
          </w:p>
        </w:tc>
      </w:tr>
      <w:tr w:rsidR="00121693" w:rsidRPr="00B771A6" w:rsidTr="00C20065">
        <w:trPr>
          <w:trHeight w:val="20"/>
          <w:jc w:val="center"/>
        </w:trPr>
        <w:tc>
          <w:tcPr>
            <w:tcW w:w="1166" w:type="pct"/>
            <w:vAlign w:val="center"/>
          </w:tcPr>
          <w:p w:rsidR="005F185A" w:rsidRPr="00B771A6" w:rsidRDefault="005F185A" w:rsidP="00982A21">
            <w:pPr>
              <w:jc w:val="left"/>
              <w:rPr>
                <w:lang w:val="es-MX" w:eastAsia="ar-SA"/>
              </w:rPr>
            </w:pPr>
            <w:r w:rsidRPr="00B771A6">
              <w:rPr>
                <w:lang w:val="es-MX" w:eastAsia="ar-SA"/>
              </w:rPr>
              <w:t>Facilidad de obtención</w:t>
            </w:r>
          </w:p>
        </w:tc>
        <w:tc>
          <w:tcPr>
            <w:tcW w:w="3834" w:type="pct"/>
          </w:tcPr>
          <w:tbl>
            <w:tblPr>
              <w:tblpPr w:leftFromText="142" w:rightFromText="142" w:topFromText="539" w:vertAnchor="text" w:horzAnchor="margin" w:tblpY="1"/>
              <w:tblOverlap w:val="never"/>
              <w:tblW w:w="8460" w:type="dxa"/>
              <w:tblCellMar>
                <w:left w:w="0" w:type="dxa"/>
                <w:right w:w="0" w:type="dxa"/>
              </w:tblCellMar>
              <w:tblLook w:val="01E0" w:firstRow="1" w:lastRow="1" w:firstColumn="1" w:lastColumn="1" w:noHBand="0" w:noVBand="0"/>
            </w:tblPr>
            <w:tblGrid>
              <w:gridCol w:w="325"/>
              <w:gridCol w:w="1405"/>
              <w:gridCol w:w="6730"/>
            </w:tblGrid>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rsidTr="004E5176">
              <w:trPr>
                <w:gridAfter w:val="1"/>
                <w:wAfter w:w="6730" w:type="dxa"/>
                <w:cantSplit/>
                <w:trHeight w:hRule="exact" w:val="64"/>
              </w:trPr>
              <w:tc>
                <w:tcPr>
                  <w:tcW w:w="325" w:type="dxa"/>
                  <w:tcBorders>
                    <w:top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A77F51">
              <w:trPr>
                <w:cantSplit/>
                <w:trHeight w:hRule="exact" w:val="447"/>
              </w:trPr>
              <w:tc>
                <w:tcPr>
                  <w:tcW w:w="325" w:type="dxa"/>
                  <w:noWrap/>
                  <w:vAlign w:val="center"/>
                </w:tcPr>
                <w:p w:rsidR="005F185A" w:rsidRPr="00BC13C0" w:rsidRDefault="005F185A" w:rsidP="00BE18F3"/>
              </w:tc>
              <w:tc>
                <w:tcPr>
                  <w:tcW w:w="1405" w:type="dxa"/>
                  <w:vAlign w:val="center"/>
                </w:tcPr>
                <w:p w:rsidR="005F185A" w:rsidRPr="00BC13C0" w:rsidRDefault="005F185A" w:rsidP="00BE18F3">
                  <w:r w:rsidRPr="00BC13C0">
                    <w:t>¿Por qué?:</w:t>
                  </w:r>
                </w:p>
              </w:tc>
              <w:tc>
                <w:tcPr>
                  <w:tcW w:w="6730" w:type="dxa"/>
                </w:tcPr>
                <w:p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rsidR="005F185A" w:rsidRPr="00666B6C" w:rsidRDefault="005F185A" w:rsidP="00C20065">
            <w:pPr>
              <w:spacing w:after="0"/>
              <w:rPr>
                <w:lang w:eastAsia="ar-SA"/>
              </w:rPr>
            </w:pPr>
          </w:p>
        </w:tc>
      </w:tr>
    </w:tbl>
    <w:p w:rsidR="00141C8F" w:rsidRPr="00DC2ADC" w:rsidRDefault="00141C8F"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10"/>
        <w:gridCol w:w="2181"/>
        <w:gridCol w:w="7275"/>
      </w:tblGrid>
      <w:tr w:rsidR="005F185A" w:rsidRPr="00A15977" w:rsidTr="009C14A4">
        <w:trPr>
          <w:trHeight w:val="20"/>
          <w:jc w:val="center"/>
        </w:trPr>
        <w:tc>
          <w:tcPr>
            <w:tcW w:w="5000" w:type="pct"/>
            <w:gridSpan w:val="3"/>
            <w:vAlign w:val="center"/>
          </w:tcPr>
          <w:p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rsidTr="00AD0793">
        <w:trPr>
          <w:trHeight w:val="20"/>
          <w:jc w:val="center"/>
        </w:trPr>
        <w:tc>
          <w:tcPr>
            <w:tcW w:w="256" w:type="pct"/>
            <w:vMerge w:val="restart"/>
            <w:vAlign w:val="center"/>
          </w:tcPr>
          <w:p w:rsidR="00287EAA" w:rsidRPr="00A416C3" w:rsidRDefault="00287EAA" w:rsidP="00BE18F3">
            <w:pPr>
              <w:rPr>
                <w:lang w:val="es-MX" w:eastAsia="ar-SA"/>
              </w:rPr>
            </w:pPr>
            <w:r>
              <w:rPr>
                <w:lang w:val="es-MX" w:eastAsia="ar-SA"/>
              </w:rPr>
              <w:t>1</w:t>
            </w:r>
          </w:p>
        </w:tc>
        <w:tc>
          <w:tcPr>
            <w:tcW w:w="1094" w:type="pct"/>
            <w:vAlign w:val="center"/>
          </w:tcPr>
          <w:p w:rsidR="00287EAA" w:rsidRPr="00746D28" w:rsidRDefault="00287EAA" w:rsidP="009C14A4">
            <w:pPr>
              <w:pStyle w:val="Ttulo4"/>
              <w:jc w:val="left"/>
            </w:pPr>
            <w:r w:rsidRPr="00746D28">
              <w:t>Entidad</w:t>
            </w:r>
          </w:p>
        </w:tc>
        <w:tc>
          <w:tcPr>
            <w:tcW w:w="3650" w:type="pct"/>
            <w:vAlign w:val="center"/>
          </w:tcPr>
          <w:p w:rsidR="00287EAA" w:rsidRDefault="004E5176" w:rsidP="00BE18F3">
            <w:r>
              <w:rPr>
                <w:lang w:eastAsia="ar-SA"/>
              </w:rPr>
              <w:t>Corporaciones autónomas regionales y de desarrollo sostenible</w:t>
            </w:r>
          </w:p>
        </w:tc>
      </w:tr>
      <w:tr w:rsidR="00287EAA" w:rsidRPr="00A15977" w:rsidTr="00AD0793">
        <w:trPr>
          <w:trHeight w:val="20"/>
          <w:jc w:val="center"/>
        </w:trPr>
        <w:tc>
          <w:tcPr>
            <w:tcW w:w="256" w:type="pct"/>
            <w:vMerge/>
          </w:tcPr>
          <w:p w:rsidR="00287EAA" w:rsidRPr="00A416C3" w:rsidRDefault="00287EAA" w:rsidP="00BE18F3">
            <w:pPr>
              <w:rPr>
                <w:lang w:val="es-MX" w:eastAsia="ar-SA"/>
              </w:rPr>
            </w:pPr>
          </w:p>
        </w:tc>
        <w:tc>
          <w:tcPr>
            <w:tcW w:w="1094" w:type="pct"/>
            <w:vAlign w:val="center"/>
          </w:tcPr>
          <w:p w:rsidR="00287EAA" w:rsidRPr="006615CA" w:rsidRDefault="00287EAA" w:rsidP="009C14A4">
            <w:pPr>
              <w:jc w:val="left"/>
              <w:rPr>
                <w:lang w:val="es-MX" w:eastAsia="ar-SA"/>
              </w:rPr>
            </w:pPr>
            <w:r w:rsidRPr="006615CA">
              <w:rPr>
                <w:lang w:val="es-MX" w:eastAsia="ar-SA"/>
              </w:rPr>
              <w:t>Dependencia</w:t>
            </w:r>
          </w:p>
        </w:tc>
        <w:tc>
          <w:tcPr>
            <w:tcW w:w="3650" w:type="pct"/>
            <w:vAlign w:val="center"/>
          </w:tcPr>
          <w:p w:rsidR="00287EAA" w:rsidRDefault="00287EAA" w:rsidP="00BE18F3"/>
        </w:tc>
      </w:tr>
      <w:tr w:rsidR="00287EAA" w:rsidRPr="00A15977" w:rsidTr="00AD0793">
        <w:trPr>
          <w:trHeight w:val="20"/>
          <w:jc w:val="center"/>
        </w:trPr>
        <w:tc>
          <w:tcPr>
            <w:tcW w:w="256" w:type="pct"/>
            <w:vMerge/>
          </w:tcPr>
          <w:p w:rsidR="00287EAA" w:rsidRPr="00A416C3" w:rsidRDefault="00287EAA" w:rsidP="00AD0793">
            <w:pPr>
              <w:spacing w:after="0"/>
              <w:rPr>
                <w:lang w:val="es-MX" w:eastAsia="ar-SA"/>
              </w:rPr>
            </w:pPr>
          </w:p>
        </w:tc>
        <w:tc>
          <w:tcPr>
            <w:tcW w:w="1094" w:type="pct"/>
            <w:vAlign w:val="center"/>
          </w:tcPr>
          <w:p w:rsidR="00287EAA" w:rsidRPr="006615CA" w:rsidRDefault="00287EAA" w:rsidP="00AD0793">
            <w:pPr>
              <w:spacing w:after="0"/>
              <w:jc w:val="left"/>
              <w:rPr>
                <w:lang w:val="es-MX" w:eastAsia="ar-SA"/>
              </w:rPr>
            </w:pPr>
            <w:r w:rsidRPr="006615CA">
              <w:rPr>
                <w:lang w:val="es-MX" w:eastAsia="ar-SA"/>
              </w:rPr>
              <w:t>Nombre del funcionario</w:t>
            </w:r>
          </w:p>
        </w:tc>
        <w:tc>
          <w:tcPr>
            <w:tcW w:w="3650" w:type="pct"/>
            <w:vAlign w:val="center"/>
          </w:tcPr>
          <w:p w:rsidR="00287EAA" w:rsidRPr="00B771A6" w:rsidRDefault="00287EAA" w:rsidP="00AD0793">
            <w:pPr>
              <w:spacing w:after="0"/>
              <w:rPr>
                <w:lang w:eastAsia="ar-SA"/>
              </w:rPr>
            </w:pPr>
          </w:p>
        </w:tc>
      </w:tr>
      <w:tr w:rsidR="00287EAA" w:rsidRPr="00A15977" w:rsidTr="00AD0793">
        <w:trPr>
          <w:trHeight w:val="20"/>
          <w:jc w:val="center"/>
        </w:trPr>
        <w:tc>
          <w:tcPr>
            <w:tcW w:w="256" w:type="pct"/>
            <w:vMerge/>
          </w:tcPr>
          <w:p w:rsidR="00287EAA" w:rsidRPr="00A416C3" w:rsidRDefault="00287EAA" w:rsidP="00AD0793">
            <w:pPr>
              <w:spacing w:after="0"/>
              <w:rPr>
                <w:lang w:val="es-MX" w:eastAsia="ar-SA"/>
              </w:rPr>
            </w:pPr>
          </w:p>
        </w:tc>
        <w:tc>
          <w:tcPr>
            <w:tcW w:w="1094" w:type="pct"/>
            <w:vAlign w:val="center"/>
          </w:tcPr>
          <w:p w:rsidR="00287EAA" w:rsidRPr="006615CA" w:rsidRDefault="00287EAA" w:rsidP="00AD0793">
            <w:pPr>
              <w:spacing w:after="0"/>
              <w:jc w:val="left"/>
              <w:rPr>
                <w:lang w:val="es-MX" w:eastAsia="ar-SA"/>
              </w:rPr>
            </w:pPr>
            <w:r w:rsidRPr="006615CA">
              <w:rPr>
                <w:lang w:val="es-MX" w:eastAsia="ar-SA"/>
              </w:rPr>
              <w:t>Cargo</w:t>
            </w:r>
          </w:p>
        </w:tc>
        <w:tc>
          <w:tcPr>
            <w:tcW w:w="3650" w:type="pct"/>
            <w:vAlign w:val="center"/>
          </w:tcPr>
          <w:p w:rsidR="00287EAA" w:rsidRPr="00B771A6" w:rsidRDefault="00287EAA" w:rsidP="00AD0793">
            <w:pPr>
              <w:spacing w:after="0"/>
              <w:rPr>
                <w:lang w:eastAsia="ar-SA"/>
              </w:rPr>
            </w:pPr>
          </w:p>
        </w:tc>
      </w:tr>
      <w:tr w:rsidR="00287EAA" w:rsidRPr="00A15977" w:rsidTr="00AD0793">
        <w:trPr>
          <w:trHeight w:val="20"/>
          <w:jc w:val="center"/>
        </w:trPr>
        <w:tc>
          <w:tcPr>
            <w:tcW w:w="256" w:type="pct"/>
            <w:vMerge/>
          </w:tcPr>
          <w:p w:rsidR="00287EAA" w:rsidRPr="00A416C3" w:rsidRDefault="00287EAA" w:rsidP="00AD0793">
            <w:pPr>
              <w:spacing w:after="0"/>
              <w:rPr>
                <w:lang w:val="es-MX" w:eastAsia="ar-SA"/>
              </w:rPr>
            </w:pPr>
          </w:p>
        </w:tc>
        <w:tc>
          <w:tcPr>
            <w:tcW w:w="1094" w:type="pct"/>
            <w:vAlign w:val="center"/>
          </w:tcPr>
          <w:p w:rsidR="00287EAA" w:rsidRPr="006615CA" w:rsidRDefault="00287EAA" w:rsidP="00AD0793">
            <w:pPr>
              <w:spacing w:after="0"/>
              <w:jc w:val="left"/>
              <w:rPr>
                <w:lang w:eastAsia="ar-SA"/>
              </w:rPr>
            </w:pPr>
            <w:r w:rsidRPr="006615CA">
              <w:rPr>
                <w:lang w:eastAsia="ar-SA"/>
              </w:rPr>
              <w:t>Correo electrónico</w:t>
            </w:r>
          </w:p>
        </w:tc>
        <w:tc>
          <w:tcPr>
            <w:tcW w:w="3650" w:type="pct"/>
            <w:vAlign w:val="center"/>
          </w:tcPr>
          <w:p w:rsidR="00287EAA" w:rsidRPr="00B771A6" w:rsidRDefault="00287EAA" w:rsidP="00AD0793">
            <w:pPr>
              <w:spacing w:after="0"/>
              <w:rPr>
                <w:sz w:val="20"/>
                <w:lang w:eastAsia="ar-SA"/>
              </w:rPr>
            </w:pPr>
          </w:p>
        </w:tc>
      </w:tr>
      <w:tr w:rsidR="00287EAA" w:rsidRPr="00A15977" w:rsidTr="00AD0793">
        <w:trPr>
          <w:trHeight w:val="20"/>
          <w:jc w:val="center"/>
        </w:trPr>
        <w:tc>
          <w:tcPr>
            <w:tcW w:w="256" w:type="pct"/>
            <w:vMerge/>
          </w:tcPr>
          <w:p w:rsidR="00287EAA" w:rsidRPr="00A416C3" w:rsidRDefault="00287EAA" w:rsidP="00AD0793">
            <w:pPr>
              <w:spacing w:after="0"/>
              <w:rPr>
                <w:lang w:val="es-MX" w:eastAsia="ar-SA"/>
              </w:rPr>
            </w:pPr>
          </w:p>
        </w:tc>
        <w:tc>
          <w:tcPr>
            <w:tcW w:w="1094" w:type="pct"/>
            <w:vAlign w:val="center"/>
          </w:tcPr>
          <w:p w:rsidR="00287EAA" w:rsidRPr="006615CA" w:rsidRDefault="00287EAA" w:rsidP="00AD0793">
            <w:pPr>
              <w:spacing w:after="0"/>
              <w:jc w:val="left"/>
              <w:rPr>
                <w:lang w:val="es-MX" w:eastAsia="ar-SA"/>
              </w:rPr>
            </w:pPr>
            <w:r w:rsidRPr="006615CA">
              <w:rPr>
                <w:lang w:val="es-MX" w:eastAsia="ar-SA"/>
              </w:rPr>
              <w:t>Teléfono</w:t>
            </w:r>
          </w:p>
        </w:tc>
        <w:tc>
          <w:tcPr>
            <w:tcW w:w="3650" w:type="pct"/>
            <w:vAlign w:val="center"/>
          </w:tcPr>
          <w:p w:rsidR="00287EAA" w:rsidRPr="00B771A6" w:rsidRDefault="00287EAA" w:rsidP="00AD0793">
            <w:pPr>
              <w:spacing w:after="0"/>
              <w:rPr>
                <w:lang w:eastAsia="ar-SA"/>
              </w:rPr>
            </w:pPr>
          </w:p>
        </w:tc>
      </w:tr>
      <w:tr w:rsidR="00287EAA" w:rsidRPr="007E60E5" w:rsidTr="00AD0793">
        <w:trPr>
          <w:trHeight w:val="20"/>
          <w:jc w:val="center"/>
        </w:trPr>
        <w:tc>
          <w:tcPr>
            <w:tcW w:w="256" w:type="pct"/>
            <w:vMerge/>
          </w:tcPr>
          <w:p w:rsidR="00287EAA" w:rsidRPr="00A416C3" w:rsidRDefault="00287EAA" w:rsidP="00AD0793">
            <w:pPr>
              <w:spacing w:after="0"/>
              <w:rPr>
                <w:lang w:val="es-MX" w:eastAsia="ar-SA"/>
              </w:rPr>
            </w:pPr>
          </w:p>
        </w:tc>
        <w:tc>
          <w:tcPr>
            <w:tcW w:w="1094" w:type="pct"/>
            <w:vAlign w:val="center"/>
          </w:tcPr>
          <w:p w:rsidR="00287EAA" w:rsidRPr="006615CA" w:rsidRDefault="00287EAA" w:rsidP="00AD0793">
            <w:pPr>
              <w:spacing w:after="0"/>
              <w:rPr>
                <w:lang w:val="es-MX" w:eastAsia="ar-SA"/>
              </w:rPr>
            </w:pPr>
            <w:r w:rsidRPr="006615CA">
              <w:rPr>
                <w:lang w:val="es-MX" w:eastAsia="ar-SA"/>
              </w:rPr>
              <w:t>Dirección</w:t>
            </w:r>
          </w:p>
        </w:tc>
        <w:tc>
          <w:tcPr>
            <w:tcW w:w="3650" w:type="pct"/>
            <w:vAlign w:val="center"/>
          </w:tcPr>
          <w:p w:rsidR="00287EAA" w:rsidRPr="00B771A6" w:rsidRDefault="00287EAA" w:rsidP="00AD0793">
            <w:pPr>
              <w:spacing w:after="0"/>
              <w:rPr>
                <w:lang w:eastAsia="ar-SA"/>
              </w:rPr>
            </w:pPr>
          </w:p>
        </w:tc>
      </w:tr>
    </w:tbl>
    <w:p w:rsidR="005F185A" w:rsidRDefault="005F185A"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10"/>
        <w:gridCol w:w="2322"/>
        <w:gridCol w:w="7134"/>
      </w:tblGrid>
      <w:tr w:rsidR="009214B8" w:rsidRPr="00A15977" w:rsidTr="00C66807">
        <w:trPr>
          <w:trHeight w:val="20"/>
          <w:jc w:val="center"/>
        </w:trPr>
        <w:tc>
          <w:tcPr>
            <w:tcW w:w="5000" w:type="pct"/>
            <w:gridSpan w:val="3"/>
            <w:vAlign w:val="center"/>
          </w:tcPr>
          <w:p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rsidTr="00AD0793">
        <w:trPr>
          <w:trHeight w:val="20"/>
          <w:jc w:val="center"/>
        </w:trPr>
        <w:tc>
          <w:tcPr>
            <w:tcW w:w="256" w:type="pct"/>
            <w:vMerge w:val="restart"/>
            <w:vAlign w:val="center"/>
          </w:tcPr>
          <w:p w:rsidR="009214B8" w:rsidRPr="00A416C3" w:rsidRDefault="009214B8" w:rsidP="00C66807">
            <w:pPr>
              <w:rPr>
                <w:lang w:val="es-MX" w:eastAsia="ar-SA"/>
              </w:rPr>
            </w:pPr>
            <w:r>
              <w:rPr>
                <w:lang w:val="es-MX" w:eastAsia="ar-SA"/>
              </w:rPr>
              <w:t>1</w:t>
            </w:r>
          </w:p>
        </w:tc>
        <w:tc>
          <w:tcPr>
            <w:tcW w:w="1165" w:type="pct"/>
            <w:vAlign w:val="center"/>
          </w:tcPr>
          <w:p w:rsidR="009214B8" w:rsidRPr="00746D28" w:rsidRDefault="009214B8" w:rsidP="00C66807">
            <w:pPr>
              <w:pStyle w:val="Ttulo4"/>
              <w:jc w:val="left"/>
            </w:pPr>
            <w:r w:rsidRPr="00746D28">
              <w:t>Entidad</w:t>
            </w:r>
          </w:p>
        </w:tc>
        <w:tc>
          <w:tcPr>
            <w:tcW w:w="3579" w:type="pct"/>
            <w:vAlign w:val="center"/>
          </w:tcPr>
          <w:p w:rsidR="009214B8" w:rsidRDefault="009214B8" w:rsidP="009214B8">
            <w:r>
              <w:rPr>
                <w:lang w:eastAsia="ar-SA"/>
              </w:rPr>
              <w:t>Ministerio de Ambiente y Desarrollo Sostenible MADS</w:t>
            </w:r>
          </w:p>
        </w:tc>
      </w:tr>
      <w:tr w:rsidR="009214B8" w:rsidRPr="00A15977" w:rsidTr="00AD0793">
        <w:trPr>
          <w:trHeight w:val="20"/>
          <w:jc w:val="center"/>
        </w:trPr>
        <w:tc>
          <w:tcPr>
            <w:tcW w:w="256" w:type="pct"/>
            <w:vMerge/>
          </w:tcPr>
          <w:p w:rsidR="009214B8" w:rsidRPr="00A416C3" w:rsidRDefault="009214B8" w:rsidP="00C66807">
            <w:pPr>
              <w:rPr>
                <w:lang w:val="es-MX" w:eastAsia="ar-SA"/>
              </w:rPr>
            </w:pPr>
          </w:p>
        </w:tc>
        <w:tc>
          <w:tcPr>
            <w:tcW w:w="1165" w:type="pct"/>
            <w:vAlign w:val="center"/>
          </w:tcPr>
          <w:p w:rsidR="009214B8" w:rsidRPr="006615CA" w:rsidRDefault="009214B8" w:rsidP="00C66807">
            <w:pPr>
              <w:jc w:val="left"/>
              <w:rPr>
                <w:lang w:val="es-MX" w:eastAsia="ar-SA"/>
              </w:rPr>
            </w:pPr>
            <w:r w:rsidRPr="006615CA">
              <w:rPr>
                <w:lang w:val="es-MX" w:eastAsia="ar-SA"/>
              </w:rPr>
              <w:t>Dependencia</w:t>
            </w:r>
          </w:p>
        </w:tc>
        <w:tc>
          <w:tcPr>
            <w:tcW w:w="3579" w:type="pct"/>
            <w:vAlign w:val="center"/>
          </w:tcPr>
          <w:p w:rsidR="009214B8" w:rsidRDefault="00490676" w:rsidP="00490676">
            <w:r>
              <w:rPr>
                <w:lang w:eastAsia="ar-SA"/>
              </w:rPr>
              <w:t xml:space="preserve">Dirección </w:t>
            </w:r>
            <w:r w:rsidRPr="00490676">
              <w:rPr>
                <w:lang w:eastAsia="ar-SA"/>
              </w:rPr>
              <w:t xml:space="preserve">de Ordenamiento Territorial y Coordinación del Sistema Ambiental </w:t>
            </w:r>
            <w:r w:rsidR="004B6A39">
              <w:rPr>
                <w:lang w:eastAsia="ar-SA"/>
              </w:rPr>
              <w:t>–</w:t>
            </w:r>
            <w:r w:rsidRPr="00490676">
              <w:rPr>
                <w:lang w:eastAsia="ar-SA"/>
              </w:rPr>
              <w:t xml:space="preserve"> SINA</w:t>
            </w:r>
          </w:p>
        </w:tc>
      </w:tr>
      <w:tr w:rsidR="009214B8" w:rsidRPr="00A15977" w:rsidTr="00AD0793">
        <w:trPr>
          <w:trHeight w:val="20"/>
          <w:jc w:val="center"/>
        </w:trPr>
        <w:tc>
          <w:tcPr>
            <w:tcW w:w="256" w:type="pct"/>
            <w:vMerge/>
          </w:tcPr>
          <w:p w:rsidR="009214B8" w:rsidRPr="00A416C3" w:rsidRDefault="009214B8" w:rsidP="00AD0793">
            <w:pPr>
              <w:spacing w:after="0"/>
              <w:rPr>
                <w:lang w:val="es-MX" w:eastAsia="ar-SA"/>
              </w:rPr>
            </w:pPr>
          </w:p>
        </w:tc>
        <w:tc>
          <w:tcPr>
            <w:tcW w:w="1165" w:type="pct"/>
            <w:vAlign w:val="center"/>
          </w:tcPr>
          <w:p w:rsidR="009214B8" w:rsidRPr="006615CA" w:rsidRDefault="009214B8" w:rsidP="00AD0793">
            <w:pPr>
              <w:spacing w:after="0"/>
              <w:jc w:val="left"/>
              <w:rPr>
                <w:lang w:val="es-MX" w:eastAsia="ar-SA"/>
              </w:rPr>
            </w:pPr>
            <w:r w:rsidRPr="006615CA">
              <w:rPr>
                <w:lang w:val="es-MX" w:eastAsia="ar-SA"/>
              </w:rPr>
              <w:t>Nombre del funcionario</w:t>
            </w:r>
          </w:p>
        </w:tc>
        <w:tc>
          <w:tcPr>
            <w:tcW w:w="3579" w:type="pct"/>
            <w:vAlign w:val="center"/>
          </w:tcPr>
          <w:p w:rsidR="009214B8" w:rsidRPr="00B771A6" w:rsidRDefault="009214B8" w:rsidP="00AD0793">
            <w:pPr>
              <w:spacing w:after="0"/>
              <w:rPr>
                <w:lang w:eastAsia="ar-SA"/>
              </w:rPr>
            </w:pPr>
          </w:p>
        </w:tc>
      </w:tr>
      <w:tr w:rsidR="009214B8" w:rsidRPr="00A15977" w:rsidTr="00AD0793">
        <w:trPr>
          <w:trHeight w:val="20"/>
          <w:jc w:val="center"/>
        </w:trPr>
        <w:tc>
          <w:tcPr>
            <w:tcW w:w="256" w:type="pct"/>
            <w:vMerge/>
          </w:tcPr>
          <w:p w:rsidR="009214B8" w:rsidRPr="00A416C3" w:rsidRDefault="009214B8" w:rsidP="00AD0793">
            <w:pPr>
              <w:spacing w:after="0"/>
              <w:rPr>
                <w:lang w:val="es-MX" w:eastAsia="ar-SA"/>
              </w:rPr>
            </w:pPr>
          </w:p>
        </w:tc>
        <w:tc>
          <w:tcPr>
            <w:tcW w:w="1165" w:type="pct"/>
            <w:vAlign w:val="center"/>
          </w:tcPr>
          <w:p w:rsidR="009214B8" w:rsidRPr="006615CA" w:rsidRDefault="009214B8" w:rsidP="00AD0793">
            <w:pPr>
              <w:spacing w:after="0"/>
              <w:jc w:val="left"/>
              <w:rPr>
                <w:lang w:val="es-MX" w:eastAsia="ar-SA"/>
              </w:rPr>
            </w:pPr>
            <w:r w:rsidRPr="006615CA">
              <w:rPr>
                <w:lang w:val="es-MX" w:eastAsia="ar-SA"/>
              </w:rPr>
              <w:t>Cargo</w:t>
            </w:r>
          </w:p>
        </w:tc>
        <w:tc>
          <w:tcPr>
            <w:tcW w:w="3579" w:type="pct"/>
            <w:vAlign w:val="center"/>
          </w:tcPr>
          <w:p w:rsidR="009214B8" w:rsidRPr="00B771A6" w:rsidRDefault="009214B8" w:rsidP="00AD0793">
            <w:pPr>
              <w:spacing w:after="0"/>
              <w:rPr>
                <w:lang w:eastAsia="ar-SA"/>
              </w:rPr>
            </w:pPr>
          </w:p>
        </w:tc>
      </w:tr>
      <w:tr w:rsidR="009214B8" w:rsidRPr="00A15977" w:rsidTr="00AD0793">
        <w:trPr>
          <w:trHeight w:val="20"/>
          <w:jc w:val="center"/>
        </w:trPr>
        <w:tc>
          <w:tcPr>
            <w:tcW w:w="256" w:type="pct"/>
            <w:vMerge/>
          </w:tcPr>
          <w:p w:rsidR="009214B8" w:rsidRPr="00A416C3" w:rsidRDefault="009214B8" w:rsidP="00AD0793">
            <w:pPr>
              <w:spacing w:after="0"/>
              <w:rPr>
                <w:lang w:val="es-MX" w:eastAsia="ar-SA"/>
              </w:rPr>
            </w:pPr>
          </w:p>
        </w:tc>
        <w:tc>
          <w:tcPr>
            <w:tcW w:w="1165" w:type="pct"/>
            <w:vAlign w:val="center"/>
          </w:tcPr>
          <w:p w:rsidR="009214B8" w:rsidRPr="006615CA" w:rsidRDefault="009214B8" w:rsidP="00AD0793">
            <w:pPr>
              <w:spacing w:after="0"/>
              <w:jc w:val="left"/>
              <w:rPr>
                <w:lang w:eastAsia="ar-SA"/>
              </w:rPr>
            </w:pPr>
            <w:r w:rsidRPr="006615CA">
              <w:rPr>
                <w:lang w:eastAsia="ar-SA"/>
              </w:rPr>
              <w:t>Correo electrónico</w:t>
            </w:r>
          </w:p>
        </w:tc>
        <w:tc>
          <w:tcPr>
            <w:tcW w:w="3579" w:type="pct"/>
            <w:vAlign w:val="center"/>
          </w:tcPr>
          <w:p w:rsidR="009214B8" w:rsidRPr="00B771A6" w:rsidRDefault="009214B8" w:rsidP="00AD0793">
            <w:pPr>
              <w:spacing w:after="0"/>
              <w:rPr>
                <w:sz w:val="20"/>
                <w:lang w:eastAsia="ar-SA"/>
              </w:rPr>
            </w:pPr>
          </w:p>
        </w:tc>
      </w:tr>
      <w:tr w:rsidR="009214B8" w:rsidRPr="00A15977" w:rsidTr="00AD0793">
        <w:trPr>
          <w:trHeight w:val="20"/>
          <w:jc w:val="center"/>
        </w:trPr>
        <w:tc>
          <w:tcPr>
            <w:tcW w:w="256" w:type="pct"/>
            <w:vMerge/>
          </w:tcPr>
          <w:p w:rsidR="009214B8" w:rsidRPr="00A416C3" w:rsidRDefault="009214B8" w:rsidP="00AD0793">
            <w:pPr>
              <w:spacing w:after="0"/>
              <w:rPr>
                <w:lang w:val="es-MX" w:eastAsia="ar-SA"/>
              </w:rPr>
            </w:pPr>
          </w:p>
        </w:tc>
        <w:tc>
          <w:tcPr>
            <w:tcW w:w="1165" w:type="pct"/>
            <w:vAlign w:val="center"/>
          </w:tcPr>
          <w:p w:rsidR="009214B8" w:rsidRPr="006615CA" w:rsidRDefault="009214B8" w:rsidP="00AD0793">
            <w:pPr>
              <w:spacing w:after="0"/>
              <w:jc w:val="left"/>
              <w:rPr>
                <w:lang w:val="es-MX" w:eastAsia="ar-SA"/>
              </w:rPr>
            </w:pPr>
            <w:r w:rsidRPr="006615CA">
              <w:rPr>
                <w:lang w:val="es-MX" w:eastAsia="ar-SA"/>
              </w:rPr>
              <w:t>Teléfono</w:t>
            </w:r>
          </w:p>
        </w:tc>
        <w:tc>
          <w:tcPr>
            <w:tcW w:w="3579" w:type="pct"/>
            <w:vAlign w:val="center"/>
          </w:tcPr>
          <w:p w:rsidR="009214B8" w:rsidRPr="00B771A6" w:rsidRDefault="009214B8" w:rsidP="00AD0793">
            <w:pPr>
              <w:spacing w:after="0"/>
              <w:rPr>
                <w:lang w:eastAsia="ar-SA"/>
              </w:rPr>
            </w:pPr>
          </w:p>
        </w:tc>
      </w:tr>
      <w:tr w:rsidR="009214B8" w:rsidRPr="007E60E5" w:rsidTr="00AD0793">
        <w:trPr>
          <w:trHeight w:val="20"/>
          <w:jc w:val="center"/>
        </w:trPr>
        <w:tc>
          <w:tcPr>
            <w:tcW w:w="256" w:type="pct"/>
            <w:vMerge/>
          </w:tcPr>
          <w:p w:rsidR="009214B8" w:rsidRPr="00A416C3" w:rsidRDefault="009214B8" w:rsidP="00AD0793">
            <w:pPr>
              <w:spacing w:after="0"/>
              <w:rPr>
                <w:lang w:val="es-MX" w:eastAsia="ar-SA"/>
              </w:rPr>
            </w:pPr>
          </w:p>
        </w:tc>
        <w:tc>
          <w:tcPr>
            <w:tcW w:w="1165" w:type="pct"/>
            <w:vAlign w:val="center"/>
          </w:tcPr>
          <w:p w:rsidR="009214B8" w:rsidRPr="006615CA" w:rsidRDefault="009214B8" w:rsidP="00AD0793">
            <w:pPr>
              <w:spacing w:after="0"/>
              <w:rPr>
                <w:lang w:val="es-MX" w:eastAsia="ar-SA"/>
              </w:rPr>
            </w:pPr>
            <w:r w:rsidRPr="006615CA">
              <w:rPr>
                <w:lang w:val="es-MX" w:eastAsia="ar-SA"/>
              </w:rPr>
              <w:t>Dirección</w:t>
            </w:r>
          </w:p>
        </w:tc>
        <w:tc>
          <w:tcPr>
            <w:tcW w:w="3579" w:type="pct"/>
            <w:vAlign w:val="center"/>
          </w:tcPr>
          <w:p w:rsidR="009214B8" w:rsidRPr="00B771A6" w:rsidRDefault="009214B8" w:rsidP="00AD0793">
            <w:pPr>
              <w:spacing w:after="0"/>
              <w:rPr>
                <w:lang w:eastAsia="ar-SA"/>
              </w:rPr>
            </w:pPr>
          </w:p>
        </w:tc>
      </w:tr>
    </w:tbl>
    <w:p w:rsidR="009214B8" w:rsidRDefault="009214B8" w:rsidP="00B020D7">
      <w:pPr>
        <w:pStyle w:val="Sinespaciado1"/>
        <w:spacing w:line="20" w:lineRule="exact"/>
        <w:rPr>
          <w:lang w:val="es-MX"/>
        </w:rPr>
      </w:pPr>
    </w:p>
    <w:p w:rsidR="00DC0FBF" w:rsidRDefault="00DC0FBF" w:rsidP="00B020D7">
      <w:pPr>
        <w:pStyle w:val="Sinespaciado1"/>
        <w:spacing w:line="20" w:lineRule="exact"/>
        <w:rPr>
          <w:lang w:val="es-MX"/>
        </w:rPr>
      </w:pPr>
    </w:p>
    <w:p w:rsidR="00DC0FBF" w:rsidRDefault="00DC0FBF" w:rsidP="00B020D7">
      <w:pPr>
        <w:pStyle w:val="Sinespaciado1"/>
        <w:spacing w:line="20" w:lineRule="exact"/>
        <w:rPr>
          <w:lang w:val="es-MX"/>
        </w:rPr>
      </w:pPr>
    </w:p>
    <w:p w:rsidR="00DC0FBF" w:rsidRDefault="00DC0FBF" w:rsidP="00B020D7">
      <w:pPr>
        <w:pStyle w:val="Sinespaciado1"/>
        <w:spacing w:line="20" w:lineRule="exact"/>
        <w:rPr>
          <w:lang w:val="es-MX"/>
        </w:rPr>
      </w:pPr>
    </w:p>
    <w:p w:rsidR="00DC0FBF" w:rsidRDefault="00DC0FBF" w:rsidP="00B020D7">
      <w:pPr>
        <w:pStyle w:val="Sinespaciado1"/>
        <w:spacing w:line="20" w:lineRule="exact"/>
        <w:rPr>
          <w:lang w:val="es-MX"/>
        </w:rPr>
      </w:pPr>
    </w:p>
    <w:p w:rsidR="00DC0FBF" w:rsidRDefault="00DC0FBF" w:rsidP="00B020D7">
      <w:pPr>
        <w:pStyle w:val="Sinespaciado1"/>
        <w:spacing w:line="20" w:lineRule="exact"/>
        <w:rPr>
          <w:lang w:val="es-MX"/>
        </w:rPr>
      </w:pPr>
    </w:p>
    <w:p w:rsidR="00DC0FBF" w:rsidRDefault="00DC0FBF" w:rsidP="00B020D7">
      <w:pPr>
        <w:pStyle w:val="Sinespaciado1"/>
        <w:spacing w:line="20" w:lineRule="exact"/>
        <w:rPr>
          <w:lang w:val="es-MX"/>
        </w:rPr>
      </w:pPr>
    </w:p>
    <w:p w:rsidR="00DC0FBF" w:rsidRDefault="00DC0FBF" w:rsidP="00B020D7">
      <w:pPr>
        <w:pStyle w:val="Sinespaciado1"/>
        <w:spacing w:line="20" w:lineRule="exact"/>
        <w:rPr>
          <w:lang w:val="es-MX"/>
        </w:rPr>
      </w:pPr>
    </w:p>
    <w:p w:rsidR="00DC0FBF" w:rsidRDefault="00DC0FBF" w:rsidP="00B020D7">
      <w:pPr>
        <w:pStyle w:val="Sinespaciado1"/>
        <w:spacing w:line="20" w:lineRule="exact"/>
        <w:rPr>
          <w:lang w:val="es-MX"/>
        </w:rPr>
      </w:pPr>
    </w:p>
    <w:p w:rsidR="00DC0FBF" w:rsidRDefault="00DC0FBF" w:rsidP="00B020D7">
      <w:pPr>
        <w:pStyle w:val="Sinespaciado1"/>
        <w:spacing w:line="20" w:lineRule="exact"/>
        <w:rPr>
          <w:lang w:val="es-MX"/>
        </w:rPr>
      </w:pPr>
    </w:p>
    <w:p w:rsidR="00DC0FBF" w:rsidRDefault="00DC0FBF" w:rsidP="00B020D7">
      <w:pPr>
        <w:pStyle w:val="Sinespaciado1"/>
        <w:spacing w:line="20" w:lineRule="exact"/>
        <w:rPr>
          <w:lang w:val="es-MX"/>
        </w:rPr>
      </w:pPr>
    </w:p>
    <w:p w:rsidR="00DC0FBF" w:rsidRDefault="00DC0FBF" w:rsidP="00B020D7">
      <w:pPr>
        <w:pStyle w:val="Sinespaciado1"/>
        <w:spacing w:line="20" w:lineRule="exact"/>
        <w:rPr>
          <w:lang w:val="es-MX"/>
        </w:rPr>
      </w:pPr>
    </w:p>
    <w:p w:rsidR="00DC0FBF" w:rsidRDefault="00DC0FBF" w:rsidP="00B020D7">
      <w:pPr>
        <w:pStyle w:val="Sinespaciado1"/>
        <w:spacing w:line="20" w:lineRule="exact"/>
        <w:rPr>
          <w:lang w:val="es-MX"/>
        </w:rPr>
      </w:pPr>
    </w:p>
    <w:p w:rsidR="00DC0FBF" w:rsidRDefault="00DC0FBF" w:rsidP="00B020D7">
      <w:pPr>
        <w:pStyle w:val="Sinespaciado1"/>
        <w:spacing w:line="20" w:lineRule="exact"/>
        <w:rPr>
          <w:lang w:val="es-MX"/>
        </w:rPr>
      </w:pPr>
    </w:p>
    <w:p w:rsidR="00DC0FBF" w:rsidRDefault="00DC0FBF" w:rsidP="00B020D7">
      <w:pPr>
        <w:pStyle w:val="Sinespaciado1"/>
        <w:spacing w:line="20" w:lineRule="exact"/>
        <w:rPr>
          <w:lang w:val="es-MX"/>
        </w:rPr>
      </w:pPr>
    </w:p>
    <w:p w:rsidR="00DC0FBF" w:rsidRDefault="00DC0FBF" w:rsidP="00B020D7">
      <w:pPr>
        <w:pStyle w:val="Sinespaciado1"/>
        <w:spacing w:line="20" w:lineRule="exact"/>
        <w:rPr>
          <w:lang w:val="es-MX"/>
        </w:rPr>
      </w:pPr>
    </w:p>
    <w:p w:rsidR="00DC0FBF" w:rsidRDefault="00DC0FBF" w:rsidP="00B020D7">
      <w:pPr>
        <w:pStyle w:val="Sinespaciado1"/>
        <w:spacing w:line="20" w:lineRule="exact"/>
        <w:rPr>
          <w:lang w:val="es-MX"/>
        </w:rPr>
      </w:pPr>
    </w:p>
    <w:p w:rsidR="00DC0FBF" w:rsidRDefault="00DC0FBF" w:rsidP="00B020D7">
      <w:pPr>
        <w:pStyle w:val="Sinespaciado1"/>
        <w:spacing w:line="20" w:lineRule="exact"/>
        <w:rPr>
          <w:lang w:val="es-MX"/>
        </w:rPr>
      </w:pPr>
    </w:p>
    <w:p w:rsidR="00DC0FBF" w:rsidRDefault="00DC0FBF" w:rsidP="00B020D7">
      <w:pPr>
        <w:pStyle w:val="Sinespaciado1"/>
        <w:spacing w:line="20" w:lineRule="exact"/>
        <w:rPr>
          <w:lang w:val="es-MX"/>
        </w:rPr>
      </w:pPr>
    </w:p>
    <w:p w:rsidR="00DC0FBF" w:rsidRDefault="00DC0FBF" w:rsidP="00B020D7">
      <w:pPr>
        <w:pStyle w:val="Sinespaciado1"/>
        <w:spacing w:line="20" w:lineRule="exact"/>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3"/>
        <w:gridCol w:w="772"/>
        <w:gridCol w:w="5585"/>
        <w:gridCol w:w="2816"/>
      </w:tblGrid>
      <w:tr w:rsidR="00FD029B" w:rsidRPr="002224EE" w:rsidTr="00096B75">
        <w:trPr>
          <w:trHeight w:val="20"/>
          <w:jc w:val="center"/>
        </w:trPr>
        <w:tc>
          <w:tcPr>
            <w:tcW w:w="5000" w:type="pct"/>
            <w:gridSpan w:val="4"/>
            <w:vAlign w:val="center"/>
          </w:tcPr>
          <w:p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rsidTr="00490676">
        <w:trPr>
          <w:trHeight w:val="20"/>
          <w:jc w:val="center"/>
        </w:trPr>
        <w:tc>
          <w:tcPr>
            <w:tcW w:w="368" w:type="pct"/>
            <w:vAlign w:val="center"/>
          </w:tcPr>
          <w:p w:rsidR="00FD029B" w:rsidRPr="005317D5" w:rsidRDefault="00FD029B" w:rsidP="00BE18F3">
            <w:pPr>
              <w:rPr>
                <w:bCs/>
              </w:rPr>
            </w:pPr>
            <w:r w:rsidRPr="005317D5">
              <w:rPr>
                <w:lang w:val="es-ES"/>
              </w:rPr>
              <w:t>Fecha</w:t>
            </w:r>
          </w:p>
        </w:tc>
        <w:tc>
          <w:tcPr>
            <w:tcW w:w="387" w:type="pct"/>
            <w:vAlign w:val="center"/>
          </w:tcPr>
          <w:p w:rsidR="00FD029B" w:rsidRPr="005317D5" w:rsidRDefault="00FD029B" w:rsidP="00BE18F3">
            <w:pPr>
              <w:rPr>
                <w:lang w:val="es-ES"/>
              </w:rPr>
            </w:pPr>
            <w:r w:rsidRPr="005317D5">
              <w:rPr>
                <w:lang w:val="es-ES"/>
              </w:rPr>
              <w:t>Versión</w:t>
            </w:r>
          </w:p>
        </w:tc>
        <w:tc>
          <w:tcPr>
            <w:tcW w:w="2817" w:type="pct"/>
            <w:vAlign w:val="center"/>
          </w:tcPr>
          <w:p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rsidR="00FD029B" w:rsidRPr="005317D5" w:rsidRDefault="00FD029B" w:rsidP="00BE18F3">
            <w:pPr>
              <w:rPr>
                <w:lang w:val="es-ES"/>
              </w:rPr>
            </w:pPr>
            <w:r>
              <w:rPr>
                <w:lang w:val="es-ES"/>
              </w:rPr>
              <w:t>Descripción de los ajustes</w:t>
            </w:r>
          </w:p>
        </w:tc>
      </w:tr>
      <w:tr w:rsidR="007223F6" w:rsidRPr="0093050D" w:rsidTr="00490676">
        <w:trPr>
          <w:trHeight w:val="20"/>
          <w:jc w:val="center"/>
        </w:trPr>
        <w:tc>
          <w:tcPr>
            <w:tcW w:w="368" w:type="pct"/>
            <w:vAlign w:val="center"/>
          </w:tcPr>
          <w:p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17" w:type="pct"/>
          </w:tcPr>
          <w:p w:rsidR="00490676" w:rsidRDefault="00FD029B" w:rsidP="00096B75">
            <w:pPr>
              <w:spacing w:after="0"/>
              <w:rPr>
                <w:i/>
                <w:lang w:val="es-ES"/>
              </w:rPr>
            </w:pPr>
            <w:r w:rsidRPr="0093050D">
              <w:rPr>
                <w:lang w:val="es-ES"/>
              </w:rPr>
              <w:t>Nombre funcionario:</w:t>
            </w:r>
            <w:r w:rsidRPr="0093050D">
              <w:rPr>
                <w:i/>
                <w:lang w:val="es-ES"/>
              </w:rPr>
              <w:t xml:space="preserve"> </w:t>
            </w:r>
          </w:p>
          <w:p w:rsidR="00FD029B" w:rsidRPr="0093050D" w:rsidRDefault="00FD029B" w:rsidP="00096B75">
            <w:pPr>
              <w:spacing w:after="0"/>
              <w:rPr>
                <w:lang w:val="es-MX" w:eastAsia="ar-SA"/>
              </w:rPr>
            </w:pPr>
            <w:r w:rsidRPr="0093050D">
              <w:rPr>
                <w:lang w:val="es-ES"/>
              </w:rPr>
              <w:t>Cargo:</w:t>
            </w:r>
            <w:r w:rsidR="00096B75">
              <w:rPr>
                <w:lang w:val="es-ES"/>
              </w:rPr>
              <w:t xml:space="preserve"> </w:t>
            </w:r>
          </w:p>
          <w:p w:rsidR="00FD029B" w:rsidRPr="0093050D" w:rsidRDefault="00FD029B" w:rsidP="00096B75">
            <w:pPr>
              <w:spacing w:after="0"/>
              <w:rPr>
                <w:lang w:eastAsia="ar-SA"/>
              </w:rPr>
            </w:pPr>
            <w:r w:rsidRPr="0093050D">
              <w:rPr>
                <w:lang w:val="es-ES"/>
              </w:rPr>
              <w:t>Dependencia:</w:t>
            </w:r>
            <w:r w:rsidR="00096B75">
              <w:rPr>
                <w:lang w:val="es-ES"/>
              </w:rPr>
              <w:t xml:space="preserve"> </w:t>
            </w:r>
          </w:p>
          <w:p w:rsidR="00490676" w:rsidRDefault="00FD029B" w:rsidP="00096B75">
            <w:pPr>
              <w:spacing w:after="0"/>
              <w:rPr>
                <w:lang w:eastAsia="ar-SA"/>
              </w:rPr>
            </w:pPr>
            <w:r w:rsidRPr="0093050D">
              <w:rPr>
                <w:lang w:val="es-ES"/>
              </w:rPr>
              <w:t>Entidad:</w:t>
            </w:r>
            <w:r w:rsidRPr="0093050D">
              <w:rPr>
                <w:i/>
                <w:lang w:val="es-ES"/>
              </w:rPr>
              <w:t xml:space="preserve"> </w:t>
            </w:r>
          </w:p>
          <w:p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rsidR="00FD029B" w:rsidRPr="0093050D" w:rsidRDefault="00FD029B" w:rsidP="00096B75">
            <w:pPr>
              <w:spacing w:after="0"/>
              <w:rPr>
                <w:lang w:val="es-MX" w:eastAsia="ar-SA"/>
              </w:rPr>
            </w:pPr>
            <w:r w:rsidRPr="0093050D">
              <w:rPr>
                <w:lang w:val="es-ES"/>
              </w:rPr>
              <w:lastRenderedPageBreak/>
              <w:t>Teléfono:</w:t>
            </w:r>
            <w:r w:rsidRPr="0093050D">
              <w:t xml:space="preserve"> </w:t>
            </w:r>
          </w:p>
          <w:p w:rsidR="00FD029B" w:rsidRPr="0093050D" w:rsidRDefault="00FD029B" w:rsidP="00BE18F3">
            <w:pPr>
              <w:rPr>
                <w:lang w:eastAsia="ar-SA"/>
              </w:rPr>
            </w:pPr>
            <w:r w:rsidRPr="0093050D">
              <w:rPr>
                <w:lang w:val="es-ES"/>
              </w:rPr>
              <w:t>Dirección:</w:t>
            </w:r>
            <w:r w:rsidRPr="0093050D">
              <w:rPr>
                <w:i/>
                <w:lang w:val="es-ES"/>
              </w:rPr>
              <w:t xml:space="preserve"> </w:t>
            </w:r>
          </w:p>
          <w:p w:rsidR="00FD029B" w:rsidRPr="0093050D" w:rsidRDefault="00FD029B" w:rsidP="00AA69D8">
            <w:pPr>
              <w:rPr>
                <w:i/>
                <w:lang w:eastAsia="ar-SA"/>
              </w:rPr>
            </w:pPr>
            <w:r w:rsidRPr="0093050D">
              <w:rPr>
                <w:b/>
                <w:lang w:val="es-ES"/>
              </w:rPr>
              <w:t>Cítese como:</w:t>
            </w:r>
            <w:r w:rsidR="00490676">
              <w:rPr>
                <w:lang w:eastAsia="ar-SA"/>
              </w:rPr>
              <w:t xml:space="preserve"> MADS </w:t>
            </w:r>
            <w:r w:rsidRPr="0093050D">
              <w:rPr>
                <w:lang w:eastAsia="ar-SA"/>
              </w:rPr>
              <w:t>(201</w:t>
            </w:r>
            <w:r w:rsidR="00490676">
              <w:rPr>
                <w:lang w:eastAsia="ar-SA"/>
              </w:rPr>
              <w:t>6</w:t>
            </w:r>
            <w:r w:rsidRPr="0093050D">
              <w:rPr>
                <w:lang w:eastAsia="ar-SA"/>
              </w:rPr>
              <w:t xml:space="preserve">). </w:t>
            </w:r>
            <w:r w:rsidRPr="00AA69D8">
              <w:rPr>
                <w:i/>
                <w:lang w:eastAsia="ar-SA"/>
              </w:rPr>
              <w:t>Hoja metodológica</w:t>
            </w:r>
            <w:r w:rsidR="005349AF" w:rsidRPr="00AA69D8">
              <w:rPr>
                <w:i/>
                <w:lang w:eastAsia="ar-SA"/>
              </w:rPr>
              <w:t xml:space="preserve"> de</w:t>
            </w:r>
            <w:r w:rsidR="0068703D" w:rsidRPr="00AA69D8">
              <w:rPr>
                <w:i/>
                <w:lang w:eastAsia="ar-SA"/>
              </w:rPr>
              <w:t xml:space="preserve"> </w:t>
            </w:r>
            <w:r w:rsidR="00D95F64" w:rsidRPr="00AA69D8">
              <w:rPr>
                <w:i/>
                <w:lang w:eastAsia="ar-SA"/>
              </w:rPr>
              <w:t xml:space="preserve">Porcentaje de </w:t>
            </w:r>
            <w:r w:rsidR="002708EF" w:rsidRPr="00AA69D8">
              <w:rPr>
                <w:i/>
                <w:lang w:eastAsia="ar-SA"/>
              </w:rPr>
              <w:t xml:space="preserve">municipios asesorados </w:t>
            </w:r>
            <w:r w:rsidR="00594481" w:rsidRPr="00AA69D8">
              <w:rPr>
                <w:i/>
                <w:lang w:eastAsia="ar-SA"/>
              </w:rPr>
              <w:t xml:space="preserve">o asistidos en la </w:t>
            </w:r>
            <w:r w:rsidR="00594481" w:rsidRPr="00AA69D8">
              <w:rPr>
                <w:i/>
                <w:lang w:val="es-ES"/>
              </w:rPr>
              <w:t xml:space="preserve">inclusión del componente ambiental en los procesos de planificación y ordenamiento territorial, con énfasis en la incorporación de las determinantes </w:t>
            </w:r>
            <w:r w:rsidR="00594481" w:rsidRPr="00AA69D8">
              <w:rPr>
                <w:i/>
              </w:rPr>
              <w:t xml:space="preserve">ambientales </w:t>
            </w:r>
            <w:r w:rsidR="00594481" w:rsidRPr="00AA69D8">
              <w:rPr>
                <w:i/>
                <w:lang w:val="es-ES"/>
              </w:rPr>
              <w:t>para la revisión y ajuste de los POT</w:t>
            </w:r>
            <w:r w:rsidR="00594481" w:rsidRPr="00AA69D8">
              <w:rPr>
                <w:i/>
                <w:lang w:eastAsia="ar-SA"/>
              </w:rPr>
              <w:t xml:space="preserve"> </w:t>
            </w:r>
            <w:r w:rsidRPr="00AA69D8">
              <w:rPr>
                <w:i/>
                <w:lang w:eastAsia="ar-SA"/>
              </w:rPr>
              <w:t xml:space="preserve">(Versión 1.0). </w:t>
            </w:r>
            <w:r w:rsidR="00490676" w:rsidRPr="00AA69D8">
              <w:rPr>
                <w:i/>
                <w:lang w:eastAsia="ar-SA"/>
              </w:rPr>
              <w:t xml:space="preserve">Ministerio de Ambiente y Desarrollo Sostenible </w:t>
            </w:r>
            <w:r w:rsidR="00490676">
              <w:rPr>
                <w:lang w:eastAsia="ar-SA"/>
              </w:rPr>
              <w:t>MADS</w:t>
            </w:r>
            <w:r w:rsidR="00822678" w:rsidRPr="00822678">
              <w:rPr>
                <w:lang w:eastAsia="ar-SA"/>
              </w:rPr>
              <w:t>, DGOAT-SINA</w:t>
            </w:r>
            <w:r w:rsidR="00490676">
              <w:rPr>
                <w:lang w:eastAsia="ar-SA"/>
              </w:rPr>
              <w:t>.</w:t>
            </w:r>
          </w:p>
        </w:tc>
        <w:tc>
          <w:tcPr>
            <w:tcW w:w="1428" w:type="pct"/>
            <w:vAlign w:val="center"/>
          </w:tcPr>
          <w:p w:rsidR="00FD029B" w:rsidRPr="0093050D" w:rsidRDefault="00FD029B" w:rsidP="00BE18F3">
            <w:pPr>
              <w:rPr>
                <w:lang w:val="es-ES"/>
              </w:rPr>
            </w:pPr>
          </w:p>
        </w:tc>
      </w:tr>
    </w:tbl>
    <w:p w:rsidR="0057505F" w:rsidRDefault="0057505F" w:rsidP="007B0853">
      <w:pPr>
        <w:pStyle w:val="Sinespaciado1"/>
      </w:pPr>
    </w:p>
    <w:p w:rsidR="00DC0FBF" w:rsidRDefault="00DC0FBF" w:rsidP="00DC0FBF">
      <w:pPr>
        <w:pStyle w:val="Sinespaciado1"/>
      </w:pPr>
    </w:p>
    <w:p w:rsidR="00DC0FBF" w:rsidRDefault="00DC0FBF" w:rsidP="00DC0FBF">
      <w:pPr>
        <w:pStyle w:val="Sinespaciado1"/>
      </w:pPr>
    </w:p>
    <w:p w:rsidR="00AA69D8" w:rsidRDefault="00AA69D8" w:rsidP="00DC0FBF">
      <w:pPr>
        <w:pStyle w:val="Sinespaciado1"/>
      </w:pPr>
    </w:p>
    <w:p w:rsidR="00DC0FBF" w:rsidRDefault="00DC0FBF" w:rsidP="00DC0FBF">
      <w:pPr>
        <w:pStyle w:val="Sinespaciado1"/>
      </w:pPr>
      <w:r>
        <w:t>-----------------------------------------------------------------</w:t>
      </w:r>
    </w:p>
    <w:p w:rsidR="00DC0FBF" w:rsidRDefault="00DC0FBF" w:rsidP="00DC0FBF">
      <w:pPr>
        <w:pStyle w:val="Sinespaciado1"/>
        <w:rPr>
          <w:b/>
        </w:rPr>
      </w:pPr>
      <w:proofErr w:type="gramStart"/>
      <w:r>
        <w:t xml:space="preserve">VoBo  </w:t>
      </w:r>
      <w:r>
        <w:rPr>
          <w:b/>
        </w:rPr>
        <w:t>Director</w:t>
      </w:r>
      <w:proofErr w:type="gramEnd"/>
      <w:r>
        <w:rPr>
          <w:b/>
        </w:rPr>
        <w:t xml:space="preserve"> Ordenamiento Territorial  – SINA</w:t>
      </w:r>
      <w:r>
        <w:tab/>
      </w:r>
    </w:p>
    <w:p w:rsidR="00DC0FBF" w:rsidRDefault="00DC0FBF" w:rsidP="00DC0FBF">
      <w:pPr>
        <w:pStyle w:val="Sinespaciado1"/>
        <w:rPr>
          <w:b/>
          <w:sz w:val="20"/>
          <w:szCs w:val="20"/>
        </w:rPr>
      </w:pPr>
    </w:p>
    <w:p w:rsidR="00AA69D8" w:rsidRDefault="00AA69D8" w:rsidP="00DC0FBF">
      <w:pPr>
        <w:pStyle w:val="Sinespaciado1"/>
        <w:rPr>
          <w:b/>
          <w:sz w:val="20"/>
          <w:szCs w:val="20"/>
        </w:rPr>
      </w:pPr>
    </w:p>
    <w:p w:rsidR="006F33D1" w:rsidRDefault="006F33D1" w:rsidP="00DC0FBF">
      <w:pPr>
        <w:pStyle w:val="Sinespaciado1"/>
        <w:rPr>
          <w:b/>
          <w:sz w:val="20"/>
          <w:szCs w:val="20"/>
        </w:rPr>
      </w:pPr>
    </w:p>
    <w:tbl>
      <w:tblPr>
        <w:tblStyle w:val="Tablaconcuadrcula"/>
        <w:tblW w:w="0" w:type="auto"/>
        <w:tblLook w:val="04A0" w:firstRow="1" w:lastRow="0" w:firstColumn="1" w:lastColumn="0" w:noHBand="0" w:noVBand="1"/>
      </w:tblPr>
      <w:tblGrid>
        <w:gridCol w:w="9962"/>
      </w:tblGrid>
      <w:tr w:rsidR="00DC0FBF" w:rsidTr="00DC0FBF">
        <w:tc>
          <w:tcPr>
            <w:tcW w:w="10790" w:type="dxa"/>
            <w:tcBorders>
              <w:top w:val="single" w:sz="4" w:space="0" w:color="auto"/>
              <w:left w:val="single" w:sz="4" w:space="0" w:color="auto"/>
              <w:bottom w:val="single" w:sz="4" w:space="0" w:color="auto"/>
              <w:right w:val="single" w:sz="4" w:space="0" w:color="auto"/>
            </w:tcBorders>
            <w:hideMark/>
          </w:tcPr>
          <w:p w:rsidR="00DC0FBF" w:rsidRDefault="00DC0FBF">
            <w:pPr>
              <w:pStyle w:val="Sinespaciado1"/>
              <w:rPr>
                <w:b/>
                <w:sz w:val="20"/>
                <w:szCs w:val="20"/>
              </w:rPr>
            </w:pPr>
            <w:proofErr w:type="spellStart"/>
            <w:r>
              <w:rPr>
                <w:b/>
                <w:sz w:val="20"/>
                <w:szCs w:val="20"/>
              </w:rPr>
              <w:t>Observaciones</w:t>
            </w:r>
            <w:proofErr w:type="spellEnd"/>
          </w:p>
        </w:tc>
      </w:tr>
      <w:tr w:rsidR="00DC0FBF" w:rsidTr="00DC0FBF">
        <w:trPr>
          <w:trHeight w:val="1498"/>
        </w:trPr>
        <w:tc>
          <w:tcPr>
            <w:tcW w:w="10790" w:type="dxa"/>
            <w:tcBorders>
              <w:top w:val="single" w:sz="4" w:space="0" w:color="auto"/>
              <w:left w:val="single" w:sz="4" w:space="0" w:color="auto"/>
              <w:bottom w:val="single" w:sz="4" w:space="0" w:color="auto"/>
              <w:right w:val="single" w:sz="4" w:space="0" w:color="auto"/>
            </w:tcBorders>
          </w:tcPr>
          <w:p w:rsidR="00DC0FBF" w:rsidRDefault="00DC0FBF">
            <w:pPr>
              <w:pStyle w:val="Sinespaciado1"/>
              <w:rPr>
                <w:b/>
                <w:sz w:val="20"/>
                <w:szCs w:val="20"/>
              </w:rPr>
            </w:pPr>
          </w:p>
          <w:p w:rsidR="00DC0FBF" w:rsidRDefault="00DC0FBF">
            <w:pPr>
              <w:pStyle w:val="Sinespaciado1"/>
              <w:rPr>
                <w:b/>
                <w:sz w:val="20"/>
                <w:szCs w:val="20"/>
              </w:rPr>
            </w:pPr>
          </w:p>
          <w:p w:rsidR="00DC0FBF" w:rsidRDefault="00DC0FBF">
            <w:pPr>
              <w:pStyle w:val="Sinespaciado1"/>
              <w:rPr>
                <w:b/>
                <w:sz w:val="20"/>
                <w:szCs w:val="20"/>
              </w:rPr>
            </w:pPr>
          </w:p>
          <w:p w:rsidR="00DC0FBF" w:rsidRDefault="00DC0FBF">
            <w:pPr>
              <w:pStyle w:val="Sinespaciado1"/>
              <w:rPr>
                <w:b/>
                <w:sz w:val="20"/>
                <w:szCs w:val="20"/>
              </w:rPr>
            </w:pPr>
          </w:p>
        </w:tc>
      </w:tr>
    </w:tbl>
    <w:p w:rsidR="00DC0FBF" w:rsidRDefault="00DC0FBF" w:rsidP="007B0853">
      <w:pPr>
        <w:pStyle w:val="Sinespaciado1"/>
      </w:pPr>
    </w:p>
    <w:sectPr w:rsidR="00DC0FBF" w:rsidSect="00CA1A57">
      <w:footerReference w:type="default" r:id="rId8"/>
      <w:pgSz w:w="12240" w:h="15840" w:code="17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1AD" w:rsidRDefault="002A01AD" w:rsidP="00BE18F3">
      <w:r>
        <w:separator/>
      </w:r>
    </w:p>
  </w:endnote>
  <w:endnote w:type="continuationSeparator" w:id="0">
    <w:p w:rsidR="002A01AD" w:rsidRDefault="002A01AD"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E6F" w:rsidRDefault="00C32E6F">
    <w:pPr>
      <w:pStyle w:val="Piedepgina"/>
      <w:jc w:val="right"/>
    </w:pPr>
    <w:r>
      <w:fldChar w:fldCharType="begin"/>
    </w:r>
    <w:r>
      <w:instrText>PAGE   \* MERGEFORMAT</w:instrText>
    </w:r>
    <w:r>
      <w:fldChar w:fldCharType="separate"/>
    </w:r>
    <w:r w:rsidR="00E05B87" w:rsidRPr="00E05B87">
      <w:rPr>
        <w:noProof/>
        <w:lang w:val="es-ES"/>
      </w:rPr>
      <w:t>3</w:t>
    </w:r>
    <w:r>
      <w:fldChar w:fldCharType="end"/>
    </w:r>
  </w:p>
  <w:p w:rsidR="00C32E6F" w:rsidRDefault="00C32E6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1AD" w:rsidRDefault="002A01AD" w:rsidP="00BE18F3">
      <w:r>
        <w:separator/>
      </w:r>
    </w:p>
  </w:footnote>
  <w:footnote w:type="continuationSeparator" w:id="0">
    <w:p w:rsidR="002A01AD" w:rsidRDefault="002A01AD"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9"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1"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7"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9" w15:restartNumberingAfterBreak="0">
    <w:nsid w:val="618A25FB"/>
    <w:multiLevelType w:val="hybridMultilevel"/>
    <w:tmpl w:val="83B8C0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4D3323C"/>
    <w:multiLevelType w:val="hybridMultilevel"/>
    <w:tmpl w:val="E092F8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5"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6"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7"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15"/>
  </w:num>
  <w:num w:numId="3">
    <w:abstractNumId w:val="10"/>
  </w:num>
  <w:num w:numId="4">
    <w:abstractNumId w:val="36"/>
  </w:num>
  <w:num w:numId="5">
    <w:abstractNumId w:val="14"/>
  </w:num>
  <w:num w:numId="6">
    <w:abstractNumId w:val="28"/>
  </w:num>
  <w:num w:numId="7">
    <w:abstractNumId w:val="33"/>
  </w:num>
  <w:num w:numId="8">
    <w:abstractNumId w:val="26"/>
  </w:num>
  <w:num w:numId="9">
    <w:abstractNumId w:val="16"/>
  </w:num>
  <w:num w:numId="10">
    <w:abstractNumId w:val="20"/>
  </w:num>
  <w:num w:numId="11">
    <w:abstractNumId w:val="34"/>
  </w:num>
  <w:num w:numId="12">
    <w:abstractNumId w:val="25"/>
  </w:num>
  <w:num w:numId="13">
    <w:abstractNumId w:val="11"/>
  </w:num>
  <w:num w:numId="14">
    <w:abstractNumId w:val="30"/>
  </w:num>
  <w:num w:numId="15">
    <w:abstractNumId w:val="12"/>
  </w:num>
  <w:num w:numId="16">
    <w:abstractNumId w:val="24"/>
  </w:num>
  <w:num w:numId="17">
    <w:abstractNumId w:val="17"/>
  </w:num>
  <w:num w:numId="18">
    <w:abstractNumId w:val="22"/>
  </w:num>
  <w:num w:numId="19">
    <w:abstractNumId w:val="31"/>
  </w:num>
  <w:num w:numId="20">
    <w:abstractNumId w:val="21"/>
  </w:num>
  <w:num w:numId="21">
    <w:abstractNumId w:val="18"/>
  </w:num>
  <w:num w:numId="22">
    <w:abstractNumId w:val="35"/>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19"/>
  </w:num>
  <w:num w:numId="34">
    <w:abstractNumId w:val="27"/>
  </w:num>
  <w:num w:numId="35">
    <w:abstractNumId w:val="23"/>
  </w:num>
  <w:num w:numId="36">
    <w:abstractNumId w:val="13"/>
  </w:num>
  <w:num w:numId="37">
    <w:abstractNumId w:val="29"/>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2EC0"/>
    <w:rsid w:val="000030B7"/>
    <w:rsid w:val="000052AD"/>
    <w:rsid w:val="00005E87"/>
    <w:rsid w:val="000071E4"/>
    <w:rsid w:val="00007B02"/>
    <w:rsid w:val="00015E0B"/>
    <w:rsid w:val="0001764D"/>
    <w:rsid w:val="000208BB"/>
    <w:rsid w:val="00023DC9"/>
    <w:rsid w:val="00027FA6"/>
    <w:rsid w:val="000302B4"/>
    <w:rsid w:val="000312A2"/>
    <w:rsid w:val="00031B38"/>
    <w:rsid w:val="00032B4D"/>
    <w:rsid w:val="00033772"/>
    <w:rsid w:val="0003572B"/>
    <w:rsid w:val="00036FCA"/>
    <w:rsid w:val="00036FE2"/>
    <w:rsid w:val="00040998"/>
    <w:rsid w:val="00041534"/>
    <w:rsid w:val="000431E2"/>
    <w:rsid w:val="0005025E"/>
    <w:rsid w:val="00057144"/>
    <w:rsid w:val="000611DE"/>
    <w:rsid w:val="000618B0"/>
    <w:rsid w:val="000621F5"/>
    <w:rsid w:val="00062948"/>
    <w:rsid w:val="0006577D"/>
    <w:rsid w:val="0007591C"/>
    <w:rsid w:val="00077899"/>
    <w:rsid w:val="00080356"/>
    <w:rsid w:val="000820BA"/>
    <w:rsid w:val="00085D2D"/>
    <w:rsid w:val="00086649"/>
    <w:rsid w:val="00086DE6"/>
    <w:rsid w:val="00086F1C"/>
    <w:rsid w:val="00091BF0"/>
    <w:rsid w:val="00093645"/>
    <w:rsid w:val="00096B75"/>
    <w:rsid w:val="000A16C2"/>
    <w:rsid w:val="000A2488"/>
    <w:rsid w:val="000A3A82"/>
    <w:rsid w:val="000A75C4"/>
    <w:rsid w:val="000B12BA"/>
    <w:rsid w:val="000B26BC"/>
    <w:rsid w:val="000B3785"/>
    <w:rsid w:val="000B4B70"/>
    <w:rsid w:val="000B5699"/>
    <w:rsid w:val="000B74DE"/>
    <w:rsid w:val="000B7588"/>
    <w:rsid w:val="000C3678"/>
    <w:rsid w:val="000D05F8"/>
    <w:rsid w:val="000D43F6"/>
    <w:rsid w:val="000D4B66"/>
    <w:rsid w:val="000E2085"/>
    <w:rsid w:val="000E2C7C"/>
    <w:rsid w:val="000E652E"/>
    <w:rsid w:val="000F2E66"/>
    <w:rsid w:val="000F7E5F"/>
    <w:rsid w:val="00101DB4"/>
    <w:rsid w:val="00110069"/>
    <w:rsid w:val="00111E32"/>
    <w:rsid w:val="00113826"/>
    <w:rsid w:val="0012101B"/>
    <w:rsid w:val="00121693"/>
    <w:rsid w:val="001217E4"/>
    <w:rsid w:val="001234DD"/>
    <w:rsid w:val="00123667"/>
    <w:rsid w:val="001300F8"/>
    <w:rsid w:val="00130AF7"/>
    <w:rsid w:val="00141C8F"/>
    <w:rsid w:val="00141F7F"/>
    <w:rsid w:val="00142C53"/>
    <w:rsid w:val="00143A87"/>
    <w:rsid w:val="0015047B"/>
    <w:rsid w:val="00155AE3"/>
    <w:rsid w:val="00156176"/>
    <w:rsid w:val="0015648B"/>
    <w:rsid w:val="0015740D"/>
    <w:rsid w:val="00157A5C"/>
    <w:rsid w:val="00160686"/>
    <w:rsid w:val="0016537C"/>
    <w:rsid w:val="00170E3A"/>
    <w:rsid w:val="00172DA6"/>
    <w:rsid w:val="001767F2"/>
    <w:rsid w:val="001868F2"/>
    <w:rsid w:val="00187F55"/>
    <w:rsid w:val="00193140"/>
    <w:rsid w:val="001A1819"/>
    <w:rsid w:val="001A2D51"/>
    <w:rsid w:val="001A3901"/>
    <w:rsid w:val="001A41DB"/>
    <w:rsid w:val="001A696C"/>
    <w:rsid w:val="001B3302"/>
    <w:rsid w:val="001B63D5"/>
    <w:rsid w:val="001C0800"/>
    <w:rsid w:val="001C3C81"/>
    <w:rsid w:val="001C6D6D"/>
    <w:rsid w:val="001D1DBD"/>
    <w:rsid w:val="001D3CFC"/>
    <w:rsid w:val="001D53C5"/>
    <w:rsid w:val="001E2CF6"/>
    <w:rsid w:val="001E399B"/>
    <w:rsid w:val="001E51AD"/>
    <w:rsid w:val="001F12D0"/>
    <w:rsid w:val="001F1D0C"/>
    <w:rsid w:val="001F625E"/>
    <w:rsid w:val="001F755C"/>
    <w:rsid w:val="00200EA0"/>
    <w:rsid w:val="00205291"/>
    <w:rsid w:val="00205314"/>
    <w:rsid w:val="0020616C"/>
    <w:rsid w:val="00206E1B"/>
    <w:rsid w:val="00213622"/>
    <w:rsid w:val="0022033E"/>
    <w:rsid w:val="00221C4A"/>
    <w:rsid w:val="00221DE1"/>
    <w:rsid w:val="002224EE"/>
    <w:rsid w:val="00231EE4"/>
    <w:rsid w:val="00236063"/>
    <w:rsid w:val="002406F9"/>
    <w:rsid w:val="0024130E"/>
    <w:rsid w:val="002443A5"/>
    <w:rsid w:val="00246198"/>
    <w:rsid w:val="002476AA"/>
    <w:rsid w:val="002479B5"/>
    <w:rsid w:val="00251E0C"/>
    <w:rsid w:val="00253203"/>
    <w:rsid w:val="00254274"/>
    <w:rsid w:val="002546CD"/>
    <w:rsid w:val="0025472E"/>
    <w:rsid w:val="00256CB9"/>
    <w:rsid w:val="00256D0A"/>
    <w:rsid w:val="00262E9E"/>
    <w:rsid w:val="00265005"/>
    <w:rsid w:val="00265722"/>
    <w:rsid w:val="002708EF"/>
    <w:rsid w:val="00270F36"/>
    <w:rsid w:val="00271564"/>
    <w:rsid w:val="00272D7B"/>
    <w:rsid w:val="00276A44"/>
    <w:rsid w:val="0027782E"/>
    <w:rsid w:val="0028279E"/>
    <w:rsid w:val="0028575E"/>
    <w:rsid w:val="00287EAA"/>
    <w:rsid w:val="00290163"/>
    <w:rsid w:val="0029343B"/>
    <w:rsid w:val="00295D37"/>
    <w:rsid w:val="002A01AD"/>
    <w:rsid w:val="002A3D22"/>
    <w:rsid w:val="002A3EC8"/>
    <w:rsid w:val="002A4FB1"/>
    <w:rsid w:val="002A6FA3"/>
    <w:rsid w:val="002B2B25"/>
    <w:rsid w:val="002B2E39"/>
    <w:rsid w:val="002B2E96"/>
    <w:rsid w:val="002B31AA"/>
    <w:rsid w:val="002B5B17"/>
    <w:rsid w:val="002C6E25"/>
    <w:rsid w:val="002C7BC9"/>
    <w:rsid w:val="002D2AFE"/>
    <w:rsid w:val="002D4309"/>
    <w:rsid w:val="002D44CC"/>
    <w:rsid w:val="002D4994"/>
    <w:rsid w:val="002D4C31"/>
    <w:rsid w:val="002E2FA6"/>
    <w:rsid w:val="002E507E"/>
    <w:rsid w:val="002E7A4F"/>
    <w:rsid w:val="002F068D"/>
    <w:rsid w:val="002F47CE"/>
    <w:rsid w:val="002F5E73"/>
    <w:rsid w:val="0030071D"/>
    <w:rsid w:val="0030109B"/>
    <w:rsid w:val="003012F6"/>
    <w:rsid w:val="00304FCB"/>
    <w:rsid w:val="00305AE5"/>
    <w:rsid w:val="0030652B"/>
    <w:rsid w:val="003124F0"/>
    <w:rsid w:val="003148A5"/>
    <w:rsid w:val="00314A56"/>
    <w:rsid w:val="003249DD"/>
    <w:rsid w:val="0033206D"/>
    <w:rsid w:val="00333674"/>
    <w:rsid w:val="00335EB9"/>
    <w:rsid w:val="003432A2"/>
    <w:rsid w:val="003473B1"/>
    <w:rsid w:val="00353E97"/>
    <w:rsid w:val="00355728"/>
    <w:rsid w:val="00355B39"/>
    <w:rsid w:val="00355D36"/>
    <w:rsid w:val="003628E8"/>
    <w:rsid w:val="003656C0"/>
    <w:rsid w:val="00366164"/>
    <w:rsid w:val="0037141B"/>
    <w:rsid w:val="00374A1D"/>
    <w:rsid w:val="0037507C"/>
    <w:rsid w:val="003760CF"/>
    <w:rsid w:val="00380A66"/>
    <w:rsid w:val="003810C0"/>
    <w:rsid w:val="003835BA"/>
    <w:rsid w:val="00396275"/>
    <w:rsid w:val="00397A45"/>
    <w:rsid w:val="003A04CE"/>
    <w:rsid w:val="003A265A"/>
    <w:rsid w:val="003A4DBF"/>
    <w:rsid w:val="003A6EDE"/>
    <w:rsid w:val="003A7CAE"/>
    <w:rsid w:val="003B003C"/>
    <w:rsid w:val="003B03D5"/>
    <w:rsid w:val="003B3EBE"/>
    <w:rsid w:val="003C19E9"/>
    <w:rsid w:val="003C47E6"/>
    <w:rsid w:val="003C51FC"/>
    <w:rsid w:val="003D1D8F"/>
    <w:rsid w:val="003D2B3A"/>
    <w:rsid w:val="003D3FBF"/>
    <w:rsid w:val="003D5913"/>
    <w:rsid w:val="003D5CFB"/>
    <w:rsid w:val="003E0FA9"/>
    <w:rsid w:val="003E41B9"/>
    <w:rsid w:val="003E6508"/>
    <w:rsid w:val="003E6847"/>
    <w:rsid w:val="003F08CC"/>
    <w:rsid w:val="003F2885"/>
    <w:rsid w:val="003F6EE8"/>
    <w:rsid w:val="00402F0D"/>
    <w:rsid w:val="00406043"/>
    <w:rsid w:val="004107AD"/>
    <w:rsid w:val="004130EE"/>
    <w:rsid w:val="00415E0D"/>
    <w:rsid w:val="004169E4"/>
    <w:rsid w:val="0041704F"/>
    <w:rsid w:val="0042071D"/>
    <w:rsid w:val="004226D1"/>
    <w:rsid w:val="0042307F"/>
    <w:rsid w:val="004323B8"/>
    <w:rsid w:val="004335CA"/>
    <w:rsid w:val="004341D7"/>
    <w:rsid w:val="00446231"/>
    <w:rsid w:val="00446FD7"/>
    <w:rsid w:val="00460DF3"/>
    <w:rsid w:val="00463AB1"/>
    <w:rsid w:val="00466B6D"/>
    <w:rsid w:val="004707E5"/>
    <w:rsid w:val="00471D2B"/>
    <w:rsid w:val="00474165"/>
    <w:rsid w:val="004756EA"/>
    <w:rsid w:val="00483975"/>
    <w:rsid w:val="00485431"/>
    <w:rsid w:val="00490676"/>
    <w:rsid w:val="00496316"/>
    <w:rsid w:val="00496432"/>
    <w:rsid w:val="004A0803"/>
    <w:rsid w:val="004A21EA"/>
    <w:rsid w:val="004B132C"/>
    <w:rsid w:val="004B1C7F"/>
    <w:rsid w:val="004B6A39"/>
    <w:rsid w:val="004B6E04"/>
    <w:rsid w:val="004C224B"/>
    <w:rsid w:val="004C2E6B"/>
    <w:rsid w:val="004C743B"/>
    <w:rsid w:val="004D1340"/>
    <w:rsid w:val="004D28E9"/>
    <w:rsid w:val="004D4E08"/>
    <w:rsid w:val="004D64E1"/>
    <w:rsid w:val="004D7CE4"/>
    <w:rsid w:val="004E03C9"/>
    <w:rsid w:val="004E25AF"/>
    <w:rsid w:val="004E36DC"/>
    <w:rsid w:val="004E3984"/>
    <w:rsid w:val="004E3FAB"/>
    <w:rsid w:val="004E49EB"/>
    <w:rsid w:val="004E5176"/>
    <w:rsid w:val="004E56BA"/>
    <w:rsid w:val="004F5522"/>
    <w:rsid w:val="004F79DD"/>
    <w:rsid w:val="00500833"/>
    <w:rsid w:val="005026F0"/>
    <w:rsid w:val="005114B1"/>
    <w:rsid w:val="00512BC8"/>
    <w:rsid w:val="00513F85"/>
    <w:rsid w:val="00515B18"/>
    <w:rsid w:val="00515D3E"/>
    <w:rsid w:val="00516CC6"/>
    <w:rsid w:val="0052092E"/>
    <w:rsid w:val="00524834"/>
    <w:rsid w:val="005261FC"/>
    <w:rsid w:val="00527FCE"/>
    <w:rsid w:val="005317D5"/>
    <w:rsid w:val="00534058"/>
    <w:rsid w:val="005349AF"/>
    <w:rsid w:val="00535612"/>
    <w:rsid w:val="005376AA"/>
    <w:rsid w:val="00542C2F"/>
    <w:rsid w:val="00543F75"/>
    <w:rsid w:val="0054444B"/>
    <w:rsid w:val="005508E3"/>
    <w:rsid w:val="00551672"/>
    <w:rsid w:val="00551E07"/>
    <w:rsid w:val="005534F0"/>
    <w:rsid w:val="00554418"/>
    <w:rsid w:val="0055744D"/>
    <w:rsid w:val="00557F11"/>
    <w:rsid w:val="00560F0C"/>
    <w:rsid w:val="005613A1"/>
    <w:rsid w:val="00562975"/>
    <w:rsid w:val="00565F5D"/>
    <w:rsid w:val="00566D34"/>
    <w:rsid w:val="005734E7"/>
    <w:rsid w:val="0057505F"/>
    <w:rsid w:val="005750D2"/>
    <w:rsid w:val="00576DA6"/>
    <w:rsid w:val="00584AA8"/>
    <w:rsid w:val="00587758"/>
    <w:rsid w:val="00594481"/>
    <w:rsid w:val="00596B4A"/>
    <w:rsid w:val="00597EC5"/>
    <w:rsid w:val="005A0FFF"/>
    <w:rsid w:val="005A2D8B"/>
    <w:rsid w:val="005A69DA"/>
    <w:rsid w:val="005A6FA8"/>
    <w:rsid w:val="005B05C5"/>
    <w:rsid w:val="005B2AA7"/>
    <w:rsid w:val="005B2F37"/>
    <w:rsid w:val="005B48B2"/>
    <w:rsid w:val="005B6F05"/>
    <w:rsid w:val="005B7161"/>
    <w:rsid w:val="005C3A5A"/>
    <w:rsid w:val="005C3E2F"/>
    <w:rsid w:val="005C6D0E"/>
    <w:rsid w:val="005D1551"/>
    <w:rsid w:val="005D2DE6"/>
    <w:rsid w:val="005D3276"/>
    <w:rsid w:val="005D557C"/>
    <w:rsid w:val="005D7E3A"/>
    <w:rsid w:val="005E1CBA"/>
    <w:rsid w:val="005E2A8B"/>
    <w:rsid w:val="005E3EA8"/>
    <w:rsid w:val="005E54FE"/>
    <w:rsid w:val="005F185A"/>
    <w:rsid w:val="005F2F39"/>
    <w:rsid w:val="005F3A15"/>
    <w:rsid w:val="005F6994"/>
    <w:rsid w:val="005F772F"/>
    <w:rsid w:val="0060479D"/>
    <w:rsid w:val="00604D74"/>
    <w:rsid w:val="00605944"/>
    <w:rsid w:val="00605E97"/>
    <w:rsid w:val="00617738"/>
    <w:rsid w:val="006178EE"/>
    <w:rsid w:val="00622703"/>
    <w:rsid w:val="00624B00"/>
    <w:rsid w:val="00626D32"/>
    <w:rsid w:val="00631781"/>
    <w:rsid w:val="00632041"/>
    <w:rsid w:val="00636C4D"/>
    <w:rsid w:val="006424B3"/>
    <w:rsid w:val="00643745"/>
    <w:rsid w:val="00643827"/>
    <w:rsid w:val="00644CD2"/>
    <w:rsid w:val="00646C13"/>
    <w:rsid w:val="006531CC"/>
    <w:rsid w:val="00653933"/>
    <w:rsid w:val="006615CA"/>
    <w:rsid w:val="00666B6C"/>
    <w:rsid w:val="00667472"/>
    <w:rsid w:val="006713BB"/>
    <w:rsid w:val="006723AF"/>
    <w:rsid w:val="006748BE"/>
    <w:rsid w:val="006754CF"/>
    <w:rsid w:val="00675CC5"/>
    <w:rsid w:val="00675D7D"/>
    <w:rsid w:val="006824F4"/>
    <w:rsid w:val="006855FB"/>
    <w:rsid w:val="0068703D"/>
    <w:rsid w:val="00687FE9"/>
    <w:rsid w:val="00690C05"/>
    <w:rsid w:val="00692AAB"/>
    <w:rsid w:val="00694D2B"/>
    <w:rsid w:val="0069641D"/>
    <w:rsid w:val="00697F2C"/>
    <w:rsid w:val="006A0DD8"/>
    <w:rsid w:val="006A45FF"/>
    <w:rsid w:val="006B0C74"/>
    <w:rsid w:val="006B19FE"/>
    <w:rsid w:val="006B5AAA"/>
    <w:rsid w:val="006C1616"/>
    <w:rsid w:val="006C4570"/>
    <w:rsid w:val="006D1431"/>
    <w:rsid w:val="006D214B"/>
    <w:rsid w:val="006D27C8"/>
    <w:rsid w:val="006D2ACA"/>
    <w:rsid w:val="006D3424"/>
    <w:rsid w:val="006D351B"/>
    <w:rsid w:val="006D4A63"/>
    <w:rsid w:val="006D6E6E"/>
    <w:rsid w:val="006D72FD"/>
    <w:rsid w:val="006E18D7"/>
    <w:rsid w:val="006E1CE3"/>
    <w:rsid w:val="006E2BCC"/>
    <w:rsid w:val="006E331F"/>
    <w:rsid w:val="006E4EBC"/>
    <w:rsid w:val="006E5C4B"/>
    <w:rsid w:val="006F131D"/>
    <w:rsid w:val="006F29DE"/>
    <w:rsid w:val="006F33D1"/>
    <w:rsid w:val="006F5453"/>
    <w:rsid w:val="007003E8"/>
    <w:rsid w:val="007055B8"/>
    <w:rsid w:val="007103F3"/>
    <w:rsid w:val="0071133D"/>
    <w:rsid w:val="00711496"/>
    <w:rsid w:val="00711508"/>
    <w:rsid w:val="00711A28"/>
    <w:rsid w:val="00717BBC"/>
    <w:rsid w:val="007223F6"/>
    <w:rsid w:val="007232B9"/>
    <w:rsid w:val="00726A43"/>
    <w:rsid w:val="00726E7C"/>
    <w:rsid w:val="00731470"/>
    <w:rsid w:val="007320FA"/>
    <w:rsid w:val="00733656"/>
    <w:rsid w:val="007346BC"/>
    <w:rsid w:val="0073581C"/>
    <w:rsid w:val="007409CA"/>
    <w:rsid w:val="0074132B"/>
    <w:rsid w:val="00741600"/>
    <w:rsid w:val="007422F5"/>
    <w:rsid w:val="0074371E"/>
    <w:rsid w:val="007441CC"/>
    <w:rsid w:val="00746329"/>
    <w:rsid w:val="00746D28"/>
    <w:rsid w:val="00752955"/>
    <w:rsid w:val="00752A17"/>
    <w:rsid w:val="00754423"/>
    <w:rsid w:val="007566A3"/>
    <w:rsid w:val="00757852"/>
    <w:rsid w:val="00762F72"/>
    <w:rsid w:val="007657B3"/>
    <w:rsid w:val="00765D15"/>
    <w:rsid w:val="00766A8E"/>
    <w:rsid w:val="00771675"/>
    <w:rsid w:val="0077642F"/>
    <w:rsid w:val="00785441"/>
    <w:rsid w:val="00786950"/>
    <w:rsid w:val="00790F8F"/>
    <w:rsid w:val="00794A31"/>
    <w:rsid w:val="007961A5"/>
    <w:rsid w:val="00796CA0"/>
    <w:rsid w:val="007971D8"/>
    <w:rsid w:val="007A0784"/>
    <w:rsid w:val="007A5DC5"/>
    <w:rsid w:val="007B0853"/>
    <w:rsid w:val="007B5BEE"/>
    <w:rsid w:val="007B6D4D"/>
    <w:rsid w:val="007C0E10"/>
    <w:rsid w:val="007C2E2B"/>
    <w:rsid w:val="007D0F9B"/>
    <w:rsid w:val="007D65E3"/>
    <w:rsid w:val="007D6A3D"/>
    <w:rsid w:val="007D7AC2"/>
    <w:rsid w:val="007E0119"/>
    <w:rsid w:val="007E210E"/>
    <w:rsid w:val="007E441E"/>
    <w:rsid w:val="007E60E5"/>
    <w:rsid w:val="007E6FD6"/>
    <w:rsid w:val="007E7D25"/>
    <w:rsid w:val="007F0069"/>
    <w:rsid w:val="007F1260"/>
    <w:rsid w:val="007F35BF"/>
    <w:rsid w:val="007F77ED"/>
    <w:rsid w:val="007F7E4F"/>
    <w:rsid w:val="0080067D"/>
    <w:rsid w:val="00801CF1"/>
    <w:rsid w:val="008020BB"/>
    <w:rsid w:val="0080394D"/>
    <w:rsid w:val="008061A7"/>
    <w:rsid w:val="00814DEA"/>
    <w:rsid w:val="008165EC"/>
    <w:rsid w:val="00822678"/>
    <w:rsid w:val="0082403B"/>
    <w:rsid w:val="0083007A"/>
    <w:rsid w:val="00833322"/>
    <w:rsid w:val="00836FF0"/>
    <w:rsid w:val="00841674"/>
    <w:rsid w:val="00845DC5"/>
    <w:rsid w:val="00850923"/>
    <w:rsid w:val="00852236"/>
    <w:rsid w:val="00852F54"/>
    <w:rsid w:val="00854054"/>
    <w:rsid w:val="00854702"/>
    <w:rsid w:val="00861350"/>
    <w:rsid w:val="00863093"/>
    <w:rsid w:val="008668A6"/>
    <w:rsid w:val="00866CDA"/>
    <w:rsid w:val="00867A62"/>
    <w:rsid w:val="00870B36"/>
    <w:rsid w:val="00873740"/>
    <w:rsid w:val="0087408A"/>
    <w:rsid w:val="00877DB7"/>
    <w:rsid w:val="00880C34"/>
    <w:rsid w:val="0088159B"/>
    <w:rsid w:val="0088654B"/>
    <w:rsid w:val="00886B8D"/>
    <w:rsid w:val="00887B5B"/>
    <w:rsid w:val="00896DFD"/>
    <w:rsid w:val="008A1834"/>
    <w:rsid w:val="008B2E84"/>
    <w:rsid w:val="008B450A"/>
    <w:rsid w:val="008B6794"/>
    <w:rsid w:val="008B79D7"/>
    <w:rsid w:val="008C4B33"/>
    <w:rsid w:val="008C6C95"/>
    <w:rsid w:val="008D42F4"/>
    <w:rsid w:val="008D55F7"/>
    <w:rsid w:val="008D62BB"/>
    <w:rsid w:val="008D7AA6"/>
    <w:rsid w:val="008E05A4"/>
    <w:rsid w:val="008E1EDF"/>
    <w:rsid w:val="008E2872"/>
    <w:rsid w:val="008E2FF5"/>
    <w:rsid w:val="008E5B84"/>
    <w:rsid w:val="008E5FEF"/>
    <w:rsid w:val="008F191B"/>
    <w:rsid w:val="008F65BE"/>
    <w:rsid w:val="00901D63"/>
    <w:rsid w:val="00903A34"/>
    <w:rsid w:val="00904DE9"/>
    <w:rsid w:val="009050CC"/>
    <w:rsid w:val="00906A66"/>
    <w:rsid w:val="00906DAA"/>
    <w:rsid w:val="009075F1"/>
    <w:rsid w:val="00907768"/>
    <w:rsid w:val="00907C3C"/>
    <w:rsid w:val="009111B6"/>
    <w:rsid w:val="009160A9"/>
    <w:rsid w:val="009160EC"/>
    <w:rsid w:val="009214B8"/>
    <w:rsid w:val="00921A0F"/>
    <w:rsid w:val="00925E15"/>
    <w:rsid w:val="00927337"/>
    <w:rsid w:val="00927C6B"/>
    <w:rsid w:val="009301A3"/>
    <w:rsid w:val="00930429"/>
    <w:rsid w:val="0093050D"/>
    <w:rsid w:val="00930A55"/>
    <w:rsid w:val="0093250A"/>
    <w:rsid w:val="009341CE"/>
    <w:rsid w:val="00945C23"/>
    <w:rsid w:val="0095091C"/>
    <w:rsid w:val="00950DFD"/>
    <w:rsid w:val="009532D9"/>
    <w:rsid w:val="00957F1E"/>
    <w:rsid w:val="009649C0"/>
    <w:rsid w:val="00972895"/>
    <w:rsid w:val="009761FB"/>
    <w:rsid w:val="009772AD"/>
    <w:rsid w:val="009778C2"/>
    <w:rsid w:val="00981D1F"/>
    <w:rsid w:val="00982A21"/>
    <w:rsid w:val="00985D81"/>
    <w:rsid w:val="009861E3"/>
    <w:rsid w:val="0098643F"/>
    <w:rsid w:val="00987FAA"/>
    <w:rsid w:val="0099125B"/>
    <w:rsid w:val="00991F28"/>
    <w:rsid w:val="00992A87"/>
    <w:rsid w:val="00992D81"/>
    <w:rsid w:val="009A34D7"/>
    <w:rsid w:val="009A3C72"/>
    <w:rsid w:val="009A4724"/>
    <w:rsid w:val="009A70C2"/>
    <w:rsid w:val="009A74C3"/>
    <w:rsid w:val="009B0DB9"/>
    <w:rsid w:val="009B2315"/>
    <w:rsid w:val="009B4E47"/>
    <w:rsid w:val="009B7F1C"/>
    <w:rsid w:val="009C14A4"/>
    <w:rsid w:val="009C354E"/>
    <w:rsid w:val="009C4FA7"/>
    <w:rsid w:val="009C7A75"/>
    <w:rsid w:val="009D3937"/>
    <w:rsid w:val="009D6B8D"/>
    <w:rsid w:val="009D7ECF"/>
    <w:rsid w:val="009E130B"/>
    <w:rsid w:val="009E53A6"/>
    <w:rsid w:val="009E542B"/>
    <w:rsid w:val="009E5E7A"/>
    <w:rsid w:val="009E7BB2"/>
    <w:rsid w:val="009F07E2"/>
    <w:rsid w:val="009F3403"/>
    <w:rsid w:val="009F4EE1"/>
    <w:rsid w:val="009F596B"/>
    <w:rsid w:val="00A021A0"/>
    <w:rsid w:val="00A15247"/>
    <w:rsid w:val="00A15977"/>
    <w:rsid w:val="00A203FF"/>
    <w:rsid w:val="00A228C5"/>
    <w:rsid w:val="00A22F0E"/>
    <w:rsid w:val="00A240E1"/>
    <w:rsid w:val="00A31148"/>
    <w:rsid w:val="00A31454"/>
    <w:rsid w:val="00A31BBE"/>
    <w:rsid w:val="00A37A9B"/>
    <w:rsid w:val="00A37F4C"/>
    <w:rsid w:val="00A416C3"/>
    <w:rsid w:val="00A478C2"/>
    <w:rsid w:val="00A51828"/>
    <w:rsid w:val="00A51D9F"/>
    <w:rsid w:val="00A5596D"/>
    <w:rsid w:val="00A559EE"/>
    <w:rsid w:val="00A57A43"/>
    <w:rsid w:val="00A60CFD"/>
    <w:rsid w:val="00A615A8"/>
    <w:rsid w:val="00A63E27"/>
    <w:rsid w:val="00A64125"/>
    <w:rsid w:val="00A73C50"/>
    <w:rsid w:val="00A7496B"/>
    <w:rsid w:val="00A77ACB"/>
    <w:rsid w:val="00A77F51"/>
    <w:rsid w:val="00A81C6F"/>
    <w:rsid w:val="00A83980"/>
    <w:rsid w:val="00A8417D"/>
    <w:rsid w:val="00A86342"/>
    <w:rsid w:val="00A86E0E"/>
    <w:rsid w:val="00A94406"/>
    <w:rsid w:val="00AA3002"/>
    <w:rsid w:val="00AA35AB"/>
    <w:rsid w:val="00AA69D8"/>
    <w:rsid w:val="00AB2296"/>
    <w:rsid w:val="00AB257D"/>
    <w:rsid w:val="00AB34AD"/>
    <w:rsid w:val="00AC6166"/>
    <w:rsid w:val="00AD0793"/>
    <w:rsid w:val="00AD2455"/>
    <w:rsid w:val="00AD3963"/>
    <w:rsid w:val="00AD4442"/>
    <w:rsid w:val="00AD4497"/>
    <w:rsid w:val="00AD5FE4"/>
    <w:rsid w:val="00AE4179"/>
    <w:rsid w:val="00AE5BEA"/>
    <w:rsid w:val="00AF1AA4"/>
    <w:rsid w:val="00AF39BC"/>
    <w:rsid w:val="00AF4440"/>
    <w:rsid w:val="00AF449D"/>
    <w:rsid w:val="00B00E5E"/>
    <w:rsid w:val="00B017D3"/>
    <w:rsid w:val="00B01A92"/>
    <w:rsid w:val="00B020D7"/>
    <w:rsid w:val="00B029DC"/>
    <w:rsid w:val="00B046A9"/>
    <w:rsid w:val="00B04FA6"/>
    <w:rsid w:val="00B05AEC"/>
    <w:rsid w:val="00B21C10"/>
    <w:rsid w:val="00B237A9"/>
    <w:rsid w:val="00B2383D"/>
    <w:rsid w:val="00B25014"/>
    <w:rsid w:val="00B269A7"/>
    <w:rsid w:val="00B32D35"/>
    <w:rsid w:val="00B34E48"/>
    <w:rsid w:val="00B47D3B"/>
    <w:rsid w:val="00B6022C"/>
    <w:rsid w:val="00B63E4B"/>
    <w:rsid w:val="00B64668"/>
    <w:rsid w:val="00B70B57"/>
    <w:rsid w:val="00B74D61"/>
    <w:rsid w:val="00B771A6"/>
    <w:rsid w:val="00B77ADD"/>
    <w:rsid w:val="00B77F10"/>
    <w:rsid w:val="00B841F0"/>
    <w:rsid w:val="00B93B31"/>
    <w:rsid w:val="00B94768"/>
    <w:rsid w:val="00BA0F89"/>
    <w:rsid w:val="00BA226D"/>
    <w:rsid w:val="00BA28CF"/>
    <w:rsid w:val="00BB26B2"/>
    <w:rsid w:val="00BB351B"/>
    <w:rsid w:val="00BB4D70"/>
    <w:rsid w:val="00BC13C0"/>
    <w:rsid w:val="00BC3294"/>
    <w:rsid w:val="00BC6A80"/>
    <w:rsid w:val="00BC7A25"/>
    <w:rsid w:val="00BC7C3C"/>
    <w:rsid w:val="00BD0FB2"/>
    <w:rsid w:val="00BD71B2"/>
    <w:rsid w:val="00BE18F3"/>
    <w:rsid w:val="00BE5FDC"/>
    <w:rsid w:val="00BF74D3"/>
    <w:rsid w:val="00BF7CA7"/>
    <w:rsid w:val="00C024A1"/>
    <w:rsid w:val="00C035A9"/>
    <w:rsid w:val="00C039C6"/>
    <w:rsid w:val="00C04C9E"/>
    <w:rsid w:val="00C10149"/>
    <w:rsid w:val="00C10705"/>
    <w:rsid w:val="00C115B5"/>
    <w:rsid w:val="00C12B68"/>
    <w:rsid w:val="00C12F59"/>
    <w:rsid w:val="00C14FFA"/>
    <w:rsid w:val="00C15221"/>
    <w:rsid w:val="00C17943"/>
    <w:rsid w:val="00C20065"/>
    <w:rsid w:val="00C222BC"/>
    <w:rsid w:val="00C32E6F"/>
    <w:rsid w:val="00C42CAB"/>
    <w:rsid w:val="00C45EE8"/>
    <w:rsid w:val="00C4715A"/>
    <w:rsid w:val="00C508EE"/>
    <w:rsid w:val="00C510BB"/>
    <w:rsid w:val="00C54739"/>
    <w:rsid w:val="00C547AE"/>
    <w:rsid w:val="00C60892"/>
    <w:rsid w:val="00C621B1"/>
    <w:rsid w:val="00C625B5"/>
    <w:rsid w:val="00C62CF9"/>
    <w:rsid w:val="00C67129"/>
    <w:rsid w:val="00C67A13"/>
    <w:rsid w:val="00C67C36"/>
    <w:rsid w:val="00C72752"/>
    <w:rsid w:val="00C74A67"/>
    <w:rsid w:val="00C77427"/>
    <w:rsid w:val="00C77552"/>
    <w:rsid w:val="00C775CE"/>
    <w:rsid w:val="00C80DA4"/>
    <w:rsid w:val="00C82FA9"/>
    <w:rsid w:val="00C832CA"/>
    <w:rsid w:val="00C846CD"/>
    <w:rsid w:val="00C907EC"/>
    <w:rsid w:val="00C93454"/>
    <w:rsid w:val="00C93812"/>
    <w:rsid w:val="00C97C27"/>
    <w:rsid w:val="00CA1A57"/>
    <w:rsid w:val="00CA1C30"/>
    <w:rsid w:val="00CA522C"/>
    <w:rsid w:val="00CA7045"/>
    <w:rsid w:val="00CB2E44"/>
    <w:rsid w:val="00CB369F"/>
    <w:rsid w:val="00CB51CC"/>
    <w:rsid w:val="00CC124A"/>
    <w:rsid w:val="00CC136B"/>
    <w:rsid w:val="00CC6F3E"/>
    <w:rsid w:val="00CD07E5"/>
    <w:rsid w:val="00CD21E2"/>
    <w:rsid w:val="00CD314B"/>
    <w:rsid w:val="00CD5F08"/>
    <w:rsid w:val="00CD78C2"/>
    <w:rsid w:val="00CE1916"/>
    <w:rsid w:val="00CE2E82"/>
    <w:rsid w:val="00CE322E"/>
    <w:rsid w:val="00CE3F15"/>
    <w:rsid w:val="00CE67D8"/>
    <w:rsid w:val="00CE6F46"/>
    <w:rsid w:val="00CF34F9"/>
    <w:rsid w:val="00CF3D3D"/>
    <w:rsid w:val="00CF5A3A"/>
    <w:rsid w:val="00D01EDD"/>
    <w:rsid w:val="00D049FA"/>
    <w:rsid w:val="00D05D98"/>
    <w:rsid w:val="00D124E1"/>
    <w:rsid w:val="00D124EA"/>
    <w:rsid w:val="00D13646"/>
    <w:rsid w:val="00D14F6D"/>
    <w:rsid w:val="00D15DD5"/>
    <w:rsid w:val="00D20B06"/>
    <w:rsid w:val="00D2269E"/>
    <w:rsid w:val="00D25E18"/>
    <w:rsid w:val="00D2789F"/>
    <w:rsid w:val="00D3145C"/>
    <w:rsid w:val="00D32893"/>
    <w:rsid w:val="00D32F8F"/>
    <w:rsid w:val="00D36079"/>
    <w:rsid w:val="00D4515D"/>
    <w:rsid w:val="00D46AEB"/>
    <w:rsid w:val="00D5014F"/>
    <w:rsid w:val="00D55C80"/>
    <w:rsid w:val="00D55DFE"/>
    <w:rsid w:val="00D6151F"/>
    <w:rsid w:val="00D628D3"/>
    <w:rsid w:val="00D64231"/>
    <w:rsid w:val="00D66576"/>
    <w:rsid w:val="00D677A1"/>
    <w:rsid w:val="00D70E25"/>
    <w:rsid w:val="00D747CA"/>
    <w:rsid w:val="00D74D5B"/>
    <w:rsid w:val="00D76862"/>
    <w:rsid w:val="00D77866"/>
    <w:rsid w:val="00D8158A"/>
    <w:rsid w:val="00D82766"/>
    <w:rsid w:val="00D83DCE"/>
    <w:rsid w:val="00D8579B"/>
    <w:rsid w:val="00D9075F"/>
    <w:rsid w:val="00D948CB"/>
    <w:rsid w:val="00D95F64"/>
    <w:rsid w:val="00DA144D"/>
    <w:rsid w:val="00DA1B83"/>
    <w:rsid w:val="00DA4B82"/>
    <w:rsid w:val="00DA74F2"/>
    <w:rsid w:val="00DA7EF1"/>
    <w:rsid w:val="00DB2296"/>
    <w:rsid w:val="00DB3145"/>
    <w:rsid w:val="00DB488E"/>
    <w:rsid w:val="00DB5021"/>
    <w:rsid w:val="00DB5EE3"/>
    <w:rsid w:val="00DB6C64"/>
    <w:rsid w:val="00DC0FBF"/>
    <w:rsid w:val="00DC2ADC"/>
    <w:rsid w:val="00DC35CC"/>
    <w:rsid w:val="00DC4C86"/>
    <w:rsid w:val="00DC504F"/>
    <w:rsid w:val="00DC51DB"/>
    <w:rsid w:val="00DD0689"/>
    <w:rsid w:val="00DD077F"/>
    <w:rsid w:val="00DD0B29"/>
    <w:rsid w:val="00DD6FC3"/>
    <w:rsid w:val="00DE06D7"/>
    <w:rsid w:val="00DE0BCE"/>
    <w:rsid w:val="00DE23EC"/>
    <w:rsid w:val="00DE3F7C"/>
    <w:rsid w:val="00DE4DAA"/>
    <w:rsid w:val="00DE6206"/>
    <w:rsid w:val="00DF1FB5"/>
    <w:rsid w:val="00DF35DA"/>
    <w:rsid w:val="00DF509A"/>
    <w:rsid w:val="00DF774E"/>
    <w:rsid w:val="00E01A70"/>
    <w:rsid w:val="00E0290E"/>
    <w:rsid w:val="00E05B87"/>
    <w:rsid w:val="00E07E9B"/>
    <w:rsid w:val="00E11FB9"/>
    <w:rsid w:val="00E13267"/>
    <w:rsid w:val="00E154FD"/>
    <w:rsid w:val="00E16497"/>
    <w:rsid w:val="00E2092D"/>
    <w:rsid w:val="00E2263B"/>
    <w:rsid w:val="00E23256"/>
    <w:rsid w:val="00E329F5"/>
    <w:rsid w:val="00E34148"/>
    <w:rsid w:val="00E368F3"/>
    <w:rsid w:val="00E434B1"/>
    <w:rsid w:val="00E46B43"/>
    <w:rsid w:val="00E63DD5"/>
    <w:rsid w:val="00E70098"/>
    <w:rsid w:val="00E70508"/>
    <w:rsid w:val="00E71EE5"/>
    <w:rsid w:val="00E75EE9"/>
    <w:rsid w:val="00E76C6D"/>
    <w:rsid w:val="00E77353"/>
    <w:rsid w:val="00E7756A"/>
    <w:rsid w:val="00E80555"/>
    <w:rsid w:val="00E80CF6"/>
    <w:rsid w:val="00E82E4E"/>
    <w:rsid w:val="00E86148"/>
    <w:rsid w:val="00E87D01"/>
    <w:rsid w:val="00E90FD9"/>
    <w:rsid w:val="00E91C14"/>
    <w:rsid w:val="00E93E0F"/>
    <w:rsid w:val="00E94A7D"/>
    <w:rsid w:val="00E9609B"/>
    <w:rsid w:val="00E96C94"/>
    <w:rsid w:val="00E97BA4"/>
    <w:rsid w:val="00EB1754"/>
    <w:rsid w:val="00EB1836"/>
    <w:rsid w:val="00EB2F8F"/>
    <w:rsid w:val="00EB5057"/>
    <w:rsid w:val="00EB6459"/>
    <w:rsid w:val="00EB6A41"/>
    <w:rsid w:val="00EC1CBB"/>
    <w:rsid w:val="00EC2BC8"/>
    <w:rsid w:val="00ED2310"/>
    <w:rsid w:val="00ED6A9B"/>
    <w:rsid w:val="00ED737A"/>
    <w:rsid w:val="00ED7F1B"/>
    <w:rsid w:val="00EE1E3B"/>
    <w:rsid w:val="00EE566B"/>
    <w:rsid w:val="00EF13B0"/>
    <w:rsid w:val="00EF2C22"/>
    <w:rsid w:val="00EF3BC7"/>
    <w:rsid w:val="00EF5444"/>
    <w:rsid w:val="00EF68CC"/>
    <w:rsid w:val="00EF7868"/>
    <w:rsid w:val="00F00D97"/>
    <w:rsid w:val="00F02178"/>
    <w:rsid w:val="00F049E2"/>
    <w:rsid w:val="00F04EDB"/>
    <w:rsid w:val="00F06767"/>
    <w:rsid w:val="00F06BD9"/>
    <w:rsid w:val="00F137D2"/>
    <w:rsid w:val="00F14E59"/>
    <w:rsid w:val="00F204E5"/>
    <w:rsid w:val="00F2528E"/>
    <w:rsid w:val="00F25CC7"/>
    <w:rsid w:val="00F263A2"/>
    <w:rsid w:val="00F26E1E"/>
    <w:rsid w:val="00F30D91"/>
    <w:rsid w:val="00F3580A"/>
    <w:rsid w:val="00F36DC6"/>
    <w:rsid w:val="00F374ED"/>
    <w:rsid w:val="00F37A29"/>
    <w:rsid w:val="00F456EB"/>
    <w:rsid w:val="00F464EF"/>
    <w:rsid w:val="00F46572"/>
    <w:rsid w:val="00F4720E"/>
    <w:rsid w:val="00F50DDF"/>
    <w:rsid w:val="00F5112B"/>
    <w:rsid w:val="00F54CBE"/>
    <w:rsid w:val="00F55E4C"/>
    <w:rsid w:val="00F61642"/>
    <w:rsid w:val="00F65893"/>
    <w:rsid w:val="00F73209"/>
    <w:rsid w:val="00F74F50"/>
    <w:rsid w:val="00F76105"/>
    <w:rsid w:val="00F801EB"/>
    <w:rsid w:val="00F8082B"/>
    <w:rsid w:val="00F82E29"/>
    <w:rsid w:val="00F83FED"/>
    <w:rsid w:val="00F84AF5"/>
    <w:rsid w:val="00F85130"/>
    <w:rsid w:val="00F857FF"/>
    <w:rsid w:val="00F93482"/>
    <w:rsid w:val="00F95947"/>
    <w:rsid w:val="00FA24AE"/>
    <w:rsid w:val="00FA6FB8"/>
    <w:rsid w:val="00FB0372"/>
    <w:rsid w:val="00FB6BC9"/>
    <w:rsid w:val="00FC0887"/>
    <w:rsid w:val="00FC4A82"/>
    <w:rsid w:val="00FC571F"/>
    <w:rsid w:val="00FD029B"/>
    <w:rsid w:val="00FD0ABA"/>
    <w:rsid w:val="00FD30EC"/>
    <w:rsid w:val="00FD5D61"/>
    <w:rsid w:val="00FD5E51"/>
    <w:rsid w:val="00FE00DE"/>
    <w:rsid w:val="00FE08BE"/>
    <w:rsid w:val="00FE0F3D"/>
    <w:rsid w:val="00FE6B11"/>
    <w:rsid w:val="00FE7C18"/>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8F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 w:type="paragraph" w:styleId="NormalWeb">
    <w:name w:val="Normal (Web)"/>
    <w:basedOn w:val="Normal"/>
    <w:uiPriority w:val="99"/>
    <w:unhideWhenUsed/>
    <w:locked/>
    <w:rsid w:val="00626D32"/>
    <w:pPr>
      <w:spacing w:before="100" w:beforeAutospacing="1" w:after="100" w:afterAutospacing="1"/>
      <w:jc w:val="left"/>
    </w:pPr>
    <w:rPr>
      <w:rFonts w:ascii="Times New Roman" w:hAnsi="Times New Roman"/>
      <w:sz w:val="24"/>
      <w:szCs w:val="24"/>
      <w:lang w:eastAsia="es-CO"/>
    </w:rPr>
  </w:style>
  <w:style w:type="character" w:customStyle="1" w:styleId="apple-converted-space">
    <w:name w:val="apple-converted-space"/>
    <w:basedOn w:val="Fuentedeprrafopredeter"/>
    <w:rsid w:val="00626D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603809672">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643464275">
      <w:bodyDiv w:val="1"/>
      <w:marLeft w:val="0"/>
      <w:marRight w:val="0"/>
      <w:marTop w:val="0"/>
      <w:marBottom w:val="0"/>
      <w:divBdr>
        <w:top w:val="none" w:sz="0" w:space="0" w:color="auto"/>
        <w:left w:val="none" w:sz="0" w:space="0" w:color="auto"/>
        <w:bottom w:val="none" w:sz="0" w:space="0" w:color="auto"/>
        <w:right w:val="none" w:sz="0" w:space="0" w:color="auto"/>
      </w:divBdr>
    </w:div>
    <w:div w:id="690111260">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912199773">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73F7A-8863-4A16-AFF5-A3B34B5A5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2224</Words>
  <Characters>12236</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14432</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4</cp:revision>
  <cp:lastPrinted>2016-05-19T15:46:00Z</cp:lastPrinted>
  <dcterms:created xsi:type="dcterms:W3CDTF">2016-04-27T14:42:00Z</dcterms:created>
  <dcterms:modified xsi:type="dcterms:W3CDTF">2016-05-19T15:47:00Z</dcterms:modified>
</cp:coreProperties>
</file>