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85A" w:rsidRPr="00BE18F3" w:rsidRDefault="005F185A" w:rsidP="00BE18F3">
      <w:pPr>
        <w:spacing w:after="0"/>
        <w:jc w:val="center"/>
      </w:pPr>
      <w:r w:rsidRPr="00BE18F3">
        <w:t>República de Colombia</w:t>
      </w:r>
    </w:p>
    <w:p w:rsidR="005F185A" w:rsidRDefault="005F185A" w:rsidP="00BE18F3">
      <w:pPr>
        <w:jc w:val="center"/>
        <w:rPr>
          <w:bCs/>
        </w:rPr>
      </w:pPr>
      <w:r w:rsidRPr="00BE18F3">
        <w:t>Formato Común de Hoja Metodológica de Indicadores Ambientales</w:t>
      </w:r>
    </w:p>
    <w:p w:rsidR="005F185A" w:rsidRPr="00551672" w:rsidRDefault="00FD2063" w:rsidP="00BE18F3">
      <w:pPr>
        <w:spacing w:after="0"/>
        <w:jc w:val="center"/>
        <w:rPr>
          <w:b/>
          <w:sz w:val="20"/>
        </w:rPr>
      </w:pPr>
      <w:r w:rsidRPr="00FD2063">
        <w:rPr>
          <w:b/>
          <w:sz w:val="20"/>
          <w:lang w:eastAsia="ar-SA"/>
        </w:rPr>
        <w:t xml:space="preserve">Porcentaje de </w:t>
      </w:r>
      <w:r w:rsidR="005C2853">
        <w:rPr>
          <w:b/>
          <w:sz w:val="20"/>
          <w:lang w:eastAsia="ar-SA"/>
        </w:rPr>
        <w:t xml:space="preserve">áreas protegidas </w:t>
      </w:r>
      <w:r w:rsidRPr="00FD2063">
        <w:rPr>
          <w:b/>
          <w:sz w:val="20"/>
          <w:lang w:eastAsia="ar-SA"/>
        </w:rPr>
        <w:t>con planes de manejo en ejecución</w:t>
      </w:r>
    </w:p>
    <w:p w:rsidR="005F185A" w:rsidRDefault="005F185A" w:rsidP="00BE18F3">
      <w:pPr>
        <w:jc w:val="center"/>
      </w:pPr>
      <w:r w:rsidRPr="00B771A6">
        <w:t xml:space="preserve">(Hoja metodológica versión </w:t>
      </w:r>
      <w:r w:rsidR="006855FB">
        <w:t>1</w:t>
      </w:r>
      <w:r>
        <w:t>,</w:t>
      </w:r>
      <w:r w:rsidR="006855FB">
        <w:t>00</w:t>
      </w:r>
      <w:r w:rsidRPr="00B771A6">
        <w:t>)</w:t>
      </w:r>
    </w:p>
    <w:p w:rsidR="005106CA" w:rsidRDefault="005106CA" w:rsidP="00BE18F3">
      <w:pPr>
        <w:jc w:val="cente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rsidTr="00CA1A57">
        <w:trPr>
          <w:jc w:val="center"/>
        </w:trPr>
        <w:tc>
          <w:tcPr>
            <w:tcW w:w="4575" w:type="dxa"/>
          </w:tcPr>
          <w:p w:rsidR="005F185A" w:rsidRPr="00BC6A80" w:rsidRDefault="005F185A" w:rsidP="00BE18F3">
            <w:pPr>
              <w:spacing w:after="0"/>
              <w:jc w:val="center"/>
              <w:rPr>
                <w:i/>
                <w:lang w:val="es-ES" w:eastAsia="ar-SA"/>
              </w:rPr>
            </w:pPr>
            <w:r w:rsidRPr="00BC6A80">
              <w:rPr>
                <w:lang w:eastAsia="ar-SA"/>
              </w:rPr>
              <w:t>Código Único Nacional del Indicador</w:t>
            </w:r>
          </w:p>
          <w:p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rsidR="005F185A" w:rsidRDefault="005F185A" w:rsidP="00CA1A57">
      <w:pPr>
        <w:spacing w:after="0"/>
      </w:pPr>
    </w:p>
    <w:p w:rsidR="005106CA" w:rsidRPr="00B771A6" w:rsidRDefault="005106CA" w:rsidP="00CA1A57">
      <w:pPr>
        <w:spacing w:after="0"/>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252"/>
        <w:gridCol w:w="8714"/>
      </w:tblGrid>
      <w:tr w:rsidR="005F185A" w:rsidRPr="00485431" w:rsidTr="00C20065">
        <w:trPr>
          <w:trHeight w:val="20"/>
          <w:jc w:val="center"/>
        </w:trPr>
        <w:tc>
          <w:tcPr>
            <w:tcW w:w="5000" w:type="pct"/>
            <w:gridSpan w:val="2"/>
            <w:vAlign w:val="center"/>
          </w:tcPr>
          <w:p w:rsidR="005F185A" w:rsidRPr="003D5913" w:rsidRDefault="005F185A" w:rsidP="00BE18F3">
            <w:pPr>
              <w:pStyle w:val="Ttulo5"/>
            </w:pPr>
            <w:r w:rsidRPr="003D5913">
              <w:t>Identificación del Indicador</w:t>
            </w:r>
          </w:p>
        </w:tc>
      </w:tr>
      <w:tr w:rsidR="003F0A4E" w:rsidRPr="00B771A6" w:rsidTr="00C20065">
        <w:trPr>
          <w:trHeight w:val="20"/>
          <w:jc w:val="center"/>
        </w:trPr>
        <w:tc>
          <w:tcPr>
            <w:tcW w:w="1166" w:type="pct"/>
            <w:vAlign w:val="center"/>
          </w:tcPr>
          <w:p w:rsidR="005F185A" w:rsidRDefault="005F185A" w:rsidP="00D124E1">
            <w:pPr>
              <w:spacing w:after="0"/>
              <w:jc w:val="left"/>
              <w:rPr>
                <w:lang w:eastAsia="ar-SA"/>
              </w:rPr>
            </w:pPr>
            <w:r>
              <w:rPr>
                <w:lang w:eastAsia="ar-SA"/>
              </w:rPr>
              <w:t>Co</w:t>
            </w:r>
            <w:r w:rsidR="00D124E1">
              <w:rPr>
                <w:lang w:eastAsia="ar-SA"/>
              </w:rPr>
              <w:t>ntexto nacional o internacional</w:t>
            </w:r>
          </w:p>
        </w:tc>
        <w:tc>
          <w:tcPr>
            <w:tcW w:w="3834" w:type="pct"/>
            <w:vAlign w:val="center"/>
          </w:tcPr>
          <w:p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3F0A4E" w:rsidRPr="00B771A6" w:rsidTr="00C20065">
        <w:trPr>
          <w:trHeight w:val="20"/>
          <w:jc w:val="center"/>
        </w:trPr>
        <w:tc>
          <w:tcPr>
            <w:tcW w:w="1166" w:type="pct"/>
            <w:vAlign w:val="center"/>
          </w:tcPr>
          <w:p w:rsidR="00EB1836" w:rsidRDefault="00EB1836" w:rsidP="00D124E1">
            <w:pPr>
              <w:jc w:val="left"/>
              <w:rPr>
                <w:lang w:eastAsia="ar-SA"/>
              </w:rPr>
            </w:pPr>
            <w:r w:rsidRPr="00B771A6">
              <w:rPr>
                <w:lang w:eastAsia="ar-SA"/>
              </w:rPr>
              <w:t>Tema de referencia</w:t>
            </w:r>
          </w:p>
        </w:tc>
        <w:tc>
          <w:tcPr>
            <w:tcW w:w="3834" w:type="pct"/>
            <w:vAlign w:val="center"/>
          </w:tcPr>
          <w:p w:rsidR="00EB1836" w:rsidRPr="00485431" w:rsidRDefault="00EB1836" w:rsidP="00BE18F3">
            <w:pPr>
              <w:rPr>
                <w:lang w:val="es-ES" w:eastAsia="ar-SA"/>
              </w:rPr>
            </w:pPr>
          </w:p>
        </w:tc>
      </w:tr>
      <w:tr w:rsidR="003F0A4E" w:rsidRPr="005B05C5" w:rsidTr="00C20065">
        <w:trPr>
          <w:trHeight w:val="20"/>
          <w:jc w:val="center"/>
        </w:trPr>
        <w:tc>
          <w:tcPr>
            <w:tcW w:w="1166" w:type="pct"/>
            <w:vAlign w:val="center"/>
          </w:tcPr>
          <w:p w:rsidR="005F185A" w:rsidRDefault="005F185A" w:rsidP="00D124E1">
            <w:pPr>
              <w:spacing w:after="0"/>
              <w:jc w:val="left"/>
              <w:rPr>
                <w:lang w:eastAsia="ar-SA"/>
              </w:rPr>
            </w:pPr>
            <w:r w:rsidRPr="00C45EE8">
              <w:rPr>
                <w:lang w:eastAsia="ar-SA"/>
              </w:rPr>
              <w:t xml:space="preserve">Código de identificación </w:t>
            </w:r>
          </w:p>
        </w:tc>
        <w:tc>
          <w:tcPr>
            <w:tcW w:w="3834" w:type="pct"/>
            <w:vAlign w:val="center"/>
          </w:tcPr>
          <w:p w:rsidR="005F185A" w:rsidRDefault="005F185A" w:rsidP="00BE18F3">
            <w:pPr>
              <w:rPr>
                <w:lang w:eastAsia="ar-SA"/>
              </w:rPr>
            </w:pPr>
          </w:p>
        </w:tc>
      </w:tr>
      <w:tr w:rsidR="003F0A4E" w:rsidRPr="00B771A6" w:rsidTr="00C20065">
        <w:trPr>
          <w:trHeight w:val="20"/>
          <w:jc w:val="center"/>
        </w:trPr>
        <w:tc>
          <w:tcPr>
            <w:tcW w:w="1166" w:type="pct"/>
            <w:vAlign w:val="center"/>
          </w:tcPr>
          <w:p w:rsidR="005F185A" w:rsidRPr="00746D28" w:rsidRDefault="005F185A" w:rsidP="00D124E1">
            <w:pPr>
              <w:jc w:val="left"/>
            </w:pPr>
            <w:r w:rsidRPr="00C115B5">
              <w:rPr>
                <w:lang w:eastAsia="ar-SA"/>
              </w:rPr>
              <w:t>Unidad de medida</w:t>
            </w:r>
          </w:p>
        </w:tc>
        <w:tc>
          <w:tcPr>
            <w:tcW w:w="3834" w:type="pct"/>
            <w:vAlign w:val="center"/>
          </w:tcPr>
          <w:p w:rsidR="005F185A" w:rsidRPr="00485431" w:rsidRDefault="00C67129" w:rsidP="00BE18F3">
            <w:pPr>
              <w:rPr>
                <w:i/>
                <w:lang w:eastAsia="ar-SA"/>
              </w:rPr>
            </w:pPr>
            <w:r>
              <w:rPr>
                <w:lang w:eastAsia="ar-SA"/>
              </w:rPr>
              <w:t>Porcentaje</w:t>
            </w:r>
          </w:p>
        </w:tc>
      </w:tr>
      <w:tr w:rsidR="003F0A4E" w:rsidRPr="00B771A6" w:rsidTr="00475DF2">
        <w:trPr>
          <w:trHeight w:val="20"/>
          <w:jc w:val="center"/>
        </w:trPr>
        <w:tc>
          <w:tcPr>
            <w:tcW w:w="1166" w:type="pct"/>
          </w:tcPr>
          <w:p w:rsidR="005F185A" w:rsidRPr="009050CC" w:rsidRDefault="005F185A" w:rsidP="00475DF2">
            <w:pPr>
              <w:jc w:val="left"/>
              <w:rPr>
                <w:i/>
                <w:lang w:eastAsia="ar-SA"/>
              </w:rPr>
            </w:pPr>
            <w:r w:rsidRPr="00B771A6">
              <w:rPr>
                <w:lang w:eastAsia="ar-SA"/>
              </w:rPr>
              <w:t>Periodicidad</w:t>
            </w:r>
          </w:p>
        </w:tc>
        <w:tc>
          <w:tcPr>
            <w:tcW w:w="3834"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0"/>
              <w:gridCol w:w="1178"/>
              <w:gridCol w:w="2643"/>
            </w:tblGrid>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166E84"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166E84"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rsidR="005F185A" w:rsidRPr="00CF34F9" w:rsidRDefault="00364BF4" w:rsidP="00CE322E">
                  <w:pPr>
                    <w:pStyle w:val="Sinespaciado1"/>
                    <w:tabs>
                      <w:tab w:val="left" w:pos="279"/>
                    </w:tabs>
                    <w:ind w:left="143" w:right="-720"/>
                    <w:rPr>
                      <w:sz w:val="18"/>
                      <w:szCs w:val="18"/>
                      <w:lang w:val="es-CR" w:eastAsia="ar-SA"/>
                    </w:rPr>
                  </w:pPr>
                  <w:r>
                    <w:rPr>
                      <w:sz w:val="18"/>
                      <w:szCs w:val="18"/>
                      <w:lang w:val="es-CR" w:eastAsia="ar-SA"/>
                    </w:rPr>
                    <w:t>Cuatrienal</w:t>
                  </w:r>
                </w:p>
              </w:tc>
            </w:tr>
          </w:tbl>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CE322E">
            <w:pPr>
              <w:pStyle w:val="Sinespaciado1"/>
              <w:rPr>
                <w:rFonts w:cs="Arial"/>
                <w:sz w:val="18"/>
                <w:szCs w:val="18"/>
                <w:lang w:eastAsia="ar-SA"/>
              </w:rPr>
            </w:pPr>
          </w:p>
        </w:tc>
      </w:tr>
      <w:tr w:rsidR="003F0A4E" w:rsidRPr="00B771A6" w:rsidTr="00475DF2">
        <w:trPr>
          <w:trHeight w:val="1936"/>
          <w:jc w:val="center"/>
        </w:trPr>
        <w:tc>
          <w:tcPr>
            <w:tcW w:w="1166" w:type="pct"/>
          </w:tcPr>
          <w:p w:rsidR="005F185A" w:rsidRPr="009050CC" w:rsidRDefault="005F185A" w:rsidP="00475DF2">
            <w:pPr>
              <w:jc w:val="left"/>
              <w:rPr>
                <w:i/>
                <w:lang w:val="es-MX" w:eastAsia="ar-SA"/>
              </w:rPr>
            </w:pPr>
            <w:r w:rsidRPr="00B771A6">
              <w:rPr>
                <w:lang w:val="es-MX" w:eastAsia="ar-SA"/>
              </w:rPr>
              <w:t>Cobertura geográfica</w:t>
            </w:r>
          </w:p>
        </w:tc>
        <w:tc>
          <w:tcPr>
            <w:tcW w:w="3834" w:type="pct"/>
          </w:tcPr>
          <w:tbl>
            <w:tblPr>
              <w:tblpPr w:leftFromText="142" w:rightFromText="142" w:topFromText="539" w:vertAnchor="text" w:horzAnchor="margin" w:tblpY="1"/>
              <w:tblOverlap w:val="never"/>
              <w:tblW w:w="7645" w:type="dxa"/>
              <w:tblCellMar>
                <w:left w:w="0" w:type="dxa"/>
                <w:right w:w="0" w:type="dxa"/>
              </w:tblCellMar>
              <w:tblLook w:val="01E0" w:firstRow="1" w:lastRow="1" w:firstColumn="1" w:lastColumn="1" w:noHBand="0" w:noVBand="0"/>
            </w:tblPr>
            <w:tblGrid>
              <w:gridCol w:w="212"/>
              <w:gridCol w:w="1260"/>
              <w:gridCol w:w="6173"/>
            </w:tblGrid>
            <w:tr w:rsidR="005F185A" w:rsidRPr="00B32D35" w:rsidTr="00E65802">
              <w:trPr>
                <w:gridAfter w:val="1"/>
                <w:wAfter w:w="6173"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rsidTr="00E65802">
              <w:trPr>
                <w:gridAfter w:val="1"/>
                <w:wAfter w:w="6173"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E65802">
              <w:trPr>
                <w:gridAfter w:val="1"/>
                <w:wAfter w:w="6173"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rsidTr="00E65802">
              <w:trPr>
                <w:gridAfter w:val="1"/>
                <w:wAfter w:w="6173"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E65802">
              <w:trPr>
                <w:gridAfter w:val="1"/>
                <w:wAfter w:w="6173"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rsidTr="00E65802">
              <w:trPr>
                <w:gridAfter w:val="1"/>
                <w:wAfter w:w="6173"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E65802">
              <w:trPr>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60"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6173" w:type="dxa"/>
                  <w:tcBorders>
                    <w:bottom w:val="single" w:sz="8" w:space="0" w:color="auto"/>
                  </w:tcBorders>
                </w:tcPr>
                <w:p w:rsidR="005F185A" w:rsidRPr="00CF34F9" w:rsidRDefault="00C67129" w:rsidP="00E65802">
                  <w:pPr>
                    <w:pStyle w:val="Sinespaciado1"/>
                    <w:tabs>
                      <w:tab w:val="left" w:pos="279"/>
                    </w:tabs>
                    <w:ind w:left="143" w:right="-720"/>
                    <w:rPr>
                      <w:sz w:val="18"/>
                      <w:szCs w:val="18"/>
                      <w:lang w:val="es-CR" w:eastAsia="ar-SA"/>
                    </w:rPr>
                  </w:pPr>
                  <w:r>
                    <w:rPr>
                      <w:sz w:val="18"/>
                      <w:szCs w:val="18"/>
                      <w:lang w:val="es-CR" w:eastAsia="ar-SA"/>
                    </w:rPr>
                    <w:t>J</w:t>
                  </w:r>
                  <w:r w:rsidR="00E65802">
                    <w:rPr>
                      <w:sz w:val="18"/>
                      <w:szCs w:val="18"/>
                      <w:lang w:val="es-CR" w:eastAsia="ar-SA"/>
                    </w:rPr>
                    <w:t>urisdicción de las corporaciones autónomas regionales y de desarrollo sostenible</w:t>
                  </w:r>
                </w:p>
              </w:tc>
            </w:tr>
          </w:tbl>
          <w:p w:rsidR="005F185A" w:rsidRPr="00BD0FB2" w:rsidRDefault="005F185A" w:rsidP="00CE322E">
            <w:pPr>
              <w:pStyle w:val="Sinespaciado1"/>
              <w:rPr>
                <w:rFonts w:cs="Arial"/>
                <w:sz w:val="18"/>
                <w:szCs w:val="18"/>
                <w:lang w:eastAsia="ar-SA"/>
              </w:rPr>
            </w:pPr>
          </w:p>
        </w:tc>
      </w:tr>
      <w:tr w:rsidR="003F0A4E" w:rsidRPr="00B771A6" w:rsidTr="00C20065">
        <w:trPr>
          <w:trHeight w:val="20"/>
          <w:jc w:val="center"/>
        </w:trPr>
        <w:tc>
          <w:tcPr>
            <w:tcW w:w="1166" w:type="pct"/>
            <w:vAlign w:val="center"/>
          </w:tcPr>
          <w:p w:rsidR="005F185A" w:rsidRPr="00D948CB" w:rsidRDefault="005F185A" w:rsidP="00BE18F3">
            <w:pPr>
              <w:rPr>
                <w:szCs w:val="20"/>
                <w:lang w:val="es-MX" w:eastAsia="ar-SA"/>
              </w:rPr>
            </w:pPr>
            <w:r w:rsidRPr="00D948CB">
              <w:rPr>
                <w:lang w:val="es-MX" w:eastAsia="ar-SA"/>
              </w:rPr>
              <w:t>Cobertura temporal</w:t>
            </w:r>
          </w:p>
        </w:tc>
        <w:tc>
          <w:tcPr>
            <w:tcW w:w="3834" w:type="pct"/>
            <w:vAlign w:val="center"/>
          </w:tcPr>
          <w:p w:rsidR="005F185A" w:rsidRPr="004E3984" w:rsidRDefault="00A231BB" w:rsidP="00BE18F3">
            <w:pPr>
              <w:rPr>
                <w:lang w:eastAsia="ar-SA"/>
              </w:rPr>
            </w:pPr>
            <w:r>
              <w:rPr>
                <w:lang w:eastAsia="ar-SA"/>
              </w:rPr>
              <w:t>2016</w:t>
            </w:r>
            <w:r w:rsidR="000A75C4">
              <w:rPr>
                <w:lang w:eastAsia="ar-SA"/>
              </w:rPr>
              <w:t>-</w:t>
            </w:r>
          </w:p>
        </w:tc>
      </w:tr>
      <w:tr w:rsidR="005F185A" w:rsidRPr="000E652E" w:rsidTr="00C20065">
        <w:trPr>
          <w:trHeight w:val="20"/>
          <w:jc w:val="center"/>
        </w:trPr>
        <w:tc>
          <w:tcPr>
            <w:tcW w:w="5000" w:type="pct"/>
            <w:gridSpan w:val="2"/>
            <w:vAlign w:val="center"/>
          </w:tcPr>
          <w:p w:rsidR="005F185A" w:rsidRPr="00D77866" w:rsidRDefault="005F185A" w:rsidP="00A93AB4">
            <w:pPr>
              <w:pStyle w:val="Ttulo5"/>
            </w:pPr>
            <w:r w:rsidRPr="00D77866">
              <w:t>Descripción del Indicador</w:t>
            </w:r>
            <w:r w:rsidR="0038443C">
              <w:t xml:space="preserve">        </w:t>
            </w:r>
          </w:p>
        </w:tc>
      </w:tr>
      <w:tr w:rsidR="003F0A4E" w:rsidRPr="00B771A6" w:rsidTr="00C20065">
        <w:trPr>
          <w:trHeight w:val="20"/>
          <w:jc w:val="center"/>
        </w:trPr>
        <w:tc>
          <w:tcPr>
            <w:tcW w:w="1166" w:type="pct"/>
            <w:vAlign w:val="center"/>
          </w:tcPr>
          <w:p w:rsidR="005F185A" w:rsidRPr="00746D28" w:rsidRDefault="005F185A" w:rsidP="00BE18F3">
            <w:r w:rsidRPr="00C115B5">
              <w:rPr>
                <w:lang w:eastAsia="ar-SA"/>
              </w:rPr>
              <w:t>Definición</w:t>
            </w:r>
          </w:p>
        </w:tc>
        <w:tc>
          <w:tcPr>
            <w:tcW w:w="3834" w:type="pct"/>
          </w:tcPr>
          <w:p w:rsidR="005F185A" w:rsidRPr="00C67129" w:rsidRDefault="00C66CB5" w:rsidP="00D24744">
            <w:r>
              <w:t xml:space="preserve">Es la relación entre el número de </w:t>
            </w:r>
            <w:r w:rsidR="005C2853">
              <w:t xml:space="preserve">áreas protegidas </w:t>
            </w:r>
            <w:r w:rsidRPr="00C66CB5">
              <w:t>con planes de manejo en ejecución</w:t>
            </w:r>
            <w:r>
              <w:t xml:space="preserve"> y el número de </w:t>
            </w:r>
            <w:r w:rsidR="005C2853">
              <w:t>áreas protegidas</w:t>
            </w:r>
            <w:r w:rsidR="00653337">
              <w:t xml:space="preserve"> regionales en jurisdicción de la Corporación</w:t>
            </w:r>
            <w:r w:rsidR="005C2853">
              <w:t xml:space="preserve"> </w:t>
            </w:r>
            <w:r w:rsidR="00653337">
              <w:t>registradas</w:t>
            </w:r>
            <w:r w:rsidR="005C2853">
              <w:t xml:space="preserve"> en el RUNAP, cuya administración es responsabilidad de la autoridad ambiental</w:t>
            </w:r>
            <w:r>
              <w:t>.</w:t>
            </w:r>
            <w:r w:rsidR="005C2853">
              <w:t xml:space="preserve"> Comprende áreas protegidas</w:t>
            </w:r>
            <w:r w:rsidR="00D24744">
              <w:t xml:space="preserve"> tanto continentales como marinas, costeras e insulares</w:t>
            </w:r>
            <w:r w:rsidR="006039EA">
              <w:t>.</w:t>
            </w:r>
          </w:p>
        </w:tc>
      </w:tr>
      <w:tr w:rsidR="003F0A4E" w:rsidRPr="00B771A6" w:rsidTr="009733BD">
        <w:trPr>
          <w:trHeight w:val="20"/>
          <w:jc w:val="center"/>
        </w:trPr>
        <w:tc>
          <w:tcPr>
            <w:tcW w:w="1166" w:type="pct"/>
          </w:tcPr>
          <w:p w:rsidR="005F185A" w:rsidRPr="00B771A6" w:rsidRDefault="005F185A" w:rsidP="009733BD">
            <w:pPr>
              <w:jc w:val="left"/>
              <w:rPr>
                <w:lang w:eastAsia="ar-SA"/>
              </w:rPr>
            </w:pPr>
            <w:r w:rsidRPr="00B771A6">
              <w:rPr>
                <w:lang w:eastAsia="ar-SA"/>
              </w:rPr>
              <w:t>Pertinencia</w:t>
            </w:r>
          </w:p>
        </w:tc>
        <w:tc>
          <w:tcPr>
            <w:tcW w:w="3834" w:type="pct"/>
          </w:tcPr>
          <w:p w:rsidR="005F185A" w:rsidRPr="00C67129" w:rsidRDefault="005F185A" w:rsidP="00BE18F3">
            <w:pPr>
              <w:rPr>
                <w:b/>
                <w:lang w:val="es-MX" w:eastAsia="ar-SA"/>
              </w:rPr>
            </w:pPr>
            <w:r w:rsidRPr="00C67129">
              <w:rPr>
                <w:b/>
                <w:lang w:val="es-MX" w:eastAsia="ar-SA"/>
              </w:rPr>
              <w:t>Finalidad / Propósito</w:t>
            </w:r>
            <w:r w:rsidR="00C67129" w:rsidRPr="00C67129">
              <w:rPr>
                <w:b/>
                <w:lang w:val="es-MX" w:eastAsia="ar-SA"/>
              </w:rPr>
              <w:t>:</w:t>
            </w:r>
          </w:p>
          <w:p w:rsidR="00FD2063" w:rsidRPr="002D3829" w:rsidRDefault="00C66CB5" w:rsidP="005C2853">
            <w:pPr>
              <w:rPr>
                <w:lang w:val="es-ES"/>
              </w:rPr>
            </w:pPr>
            <w:r>
              <w:rPr>
                <w:lang w:val="es-ES"/>
              </w:rPr>
              <w:t xml:space="preserve">El indicador mide que la autoridad ambiental realice acciones dirigidas a la implementación de los planes de manejo de </w:t>
            </w:r>
            <w:r w:rsidR="005C2853">
              <w:rPr>
                <w:lang w:val="es-ES"/>
              </w:rPr>
              <w:t xml:space="preserve">las </w:t>
            </w:r>
            <w:r w:rsidR="005C2853" w:rsidRPr="002D3829">
              <w:rPr>
                <w:lang w:val="es-ES"/>
              </w:rPr>
              <w:t>áreas protegidas</w:t>
            </w:r>
            <w:r w:rsidR="005C2853" w:rsidRPr="002D3829">
              <w:t xml:space="preserve">, cuya administración es responsabilidad de la autoridad ambiental. </w:t>
            </w:r>
            <w:r w:rsidRPr="002D3829">
              <w:rPr>
                <w:lang w:val="es-ES"/>
              </w:rPr>
              <w:t xml:space="preserve">De esta manera, la Corporación contribuye a la ejecución a nivel regional de la Política Nacional </w:t>
            </w:r>
            <w:r w:rsidR="000208E7" w:rsidRPr="002D3829">
              <w:rPr>
                <w:lang w:val="es-ES"/>
              </w:rPr>
              <w:t xml:space="preserve">de </w:t>
            </w:r>
            <w:r w:rsidRPr="002D3829">
              <w:rPr>
                <w:lang w:val="es-ES"/>
              </w:rPr>
              <w:t xml:space="preserve">Gestión </w:t>
            </w:r>
            <w:r w:rsidR="00FD2063" w:rsidRPr="002D3829">
              <w:rPr>
                <w:lang w:val="es-ES"/>
              </w:rPr>
              <w:t xml:space="preserve">de la </w:t>
            </w:r>
            <w:r w:rsidRPr="002D3829">
              <w:rPr>
                <w:lang w:val="es-ES"/>
              </w:rPr>
              <w:t xml:space="preserve">Biodiversidad </w:t>
            </w:r>
            <w:r w:rsidR="00FD2063" w:rsidRPr="002D3829">
              <w:rPr>
                <w:lang w:val="es-ES"/>
              </w:rPr>
              <w:t xml:space="preserve">y sus </w:t>
            </w:r>
            <w:r w:rsidRPr="002D3829">
              <w:rPr>
                <w:lang w:val="es-ES"/>
              </w:rPr>
              <w:t>Ser</w:t>
            </w:r>
            <w:r w:rsidR="00956024" w:rsidRPr="002D3829">
              <w:rPr>
                <w:lang w:val="es-ES"/>
              </w:rPr>
              <w:t>v</w:t>
            </w:r>
            <w:r w:rsidR="005C2853" w:rsidRPr="002D3829">
              <w:rPr>
                <w:lang w:val="es-ES"/>
              </w:rPr>
              <w:t>icios Ecosistémicos.</w:t>
            </w:r>
          </w:p>
          <w:p w:rsidR="005F185A" w:rsidRPr="002D3829" w:rsidRDefault="00C67129" w:rsidP="00BE18F3">
            <w:pPr>
              <w:rPr>
                <w:b/>
                <w:lang w:val="es-MX" w:eastAsia="ar-SA"/>
              </w:rPr>
            </w:pPr>
            <w:r w:rsidRPr="002D3829">
              <w:rPr>
                <w:b/>
                <w:lang w:val="es-MX" w:eastAsia="ar-SA"/>
              </w:rPr>
              <w:t>Normatividad de soporte:</w:t>
            </w:r>
          </w:p>
          <w:p w:rsidR="00CA62D3" w:rsidRPr="00D44963" w:rsidRDefault="005C2853" w:rsidP="00D44963">
            <w:pPr>
              <w:spacing w:after="0"/>
              <w:rPr>
                <w:lang w:val="es-MX" w:eastAsia="ar-SA"/>
              </w:rPr>
            </w:pPr>
            <w:r w:rsidRPr="002D3829">
              <w:rPr>
                <w:lang w:val="es-MX" w:eastAsia="ar-SA"/>
              </w:rPr>
              <w:t>Decreto 1076 de 2</w:t>
            </w:r>
            <w:r w:rsidR="00D44963">
              <w:rPr>
                <w:lang w:val="es-MX" w:eastAsia="ar-SA"/>
              </w:rPr>
              <w:t>015</w:t>
            </w:r>
            <w:r w:rsidRPr="002D3829">
              <w:rPr>
                <w:lang w:val="es-MX" w:eastAsia="ar-SA"/>
              </w:rPr>
              <w:t>.</w:t>
            </w:r>
          </w:p>
          <w:p w:rsidR="00CA62D3" w:rsidRPr="002D3829" w:rsidRDefault="00CA62D3" w:rsidP="009733BD">
            <w:pPr>
              <w:rPr>
                <w:b/>
                <w:lang w:eastAsia="ar-SA"/>
              </w:rPr>
            </w:pPr>
          </w:p>
          <w:p w:rsidR="009733BD" w:rsidRDefault="00FD2063" w:rsidP="009733BD">
            <w:pPr>
              <w:rPr>
                <w:b/>
                <w:lang w:val="es-MX" w:eastAsia="ar-SA"/>
              </w:rPr>
            </w:pPr>
            <w:r w:rsidRPr="002D3829">
              <w:rPr>
                <w:b/>
                <w:lang w:val="es-MX" w:eastAsia="ar-SA"/>
              </w:rPr>
              <w:t>Documentos de referencia</w:t>
            </w:r>
            <w:r>
              <w:rPr>
                <w:b/>
                <w:lang w:val="es-MX" w:eastAsia="ar-SA"/>
              </w:rPr>
              <w:t>:</w:t>
            </w:r>
          </w:p>
          <w:p w:rsidR="003D1B95" w:rsidRPr="002F3E12" w:rsidRDefault="002F3E12" w:rsidP="002F3E12">
            <w:pPr>
              <w:spacing w:after="0"/>
              <w:rPr>
                <w:b/>
                <w:sz w:val="20"/>
                <w:szCs w:val="20"/>
                <w:lang w:val="es-ES" w:eastAsia="ar-SA"/>
              </w:rPr>
            </w:pPr>
            <w:r w:rsidRPr="000208E7">
              <w:rPr>
                <w:lang w:val="es-ES"/>
              </w:rPr>
              <w:t xml:space="preserve">Política Nacional de </w:t>
            </w:r>
            <w:r>
              <w:rPr>
                <w:lang w:val="es-ES"/>
              </w:rPr>
              <w:t>Gestión Integral de la Biodiversidad y sus Servicios Ecosistémicos</w:t>
            </w:r>
          </w:p>
        </w:tc>
      </w:tr>
      <w:tr w:rsidR="003F0A4E" w:rsidRPr="00B771A6" w:rsidTr="00C20065">
        <w:trPr>
          <w:trHeight w:val="20"/>
          <w:jc w:val="center"/>
        </w:trPr>
        <w:tc>
          <w:tcPr>
            <w:tcW w:w="1166" w:type="pct"/>
            <w:vAlign w:val="center"/>
          </w:tcPr>
          <w:p w:rsidR="005F185A" w:rsidRPr="00B771A6" w:rsidRDefault="005F185A" w:rsidP="00BE18F3">
            <w:pPr>
              <w:rPr>
                <w:bCs/>
                <w:lang w:eastAsia="ar-SA"/>
              </w:rPr>
            </w:pPr>
            <w:r w:rsidRPr="00B771A6">
              <w:rPr>
                <w:lang w:val="es-MX" w:eastAsia="ar-SA"/>
              </w:rPr>
              <w:lastRenderedPageBreak/>
              <w:t>Metas / Estándares</w:t>
            </w:r>
          </w:p>
        </w:tc>
        <w:tc>
          <w:tcPr>
            <w:tcW w:w="3834" w:type="pct"/>
            <w:vAlign w:val="center"/>
          </w:tcPr>
          <w:p w:rsidR="0027380F" w:rsidRPr="003D1B95" w:rsidRDefault="0027380F" w:rsidP="003D1B95">
            <w:pPr>
              <w:rPr>
                <w:lang w:val="es-MX" w:eastAsia="ar-SA"/>
              </w:rPr>
            </w:pPr>
          </w:p>
          <w:p w:rsidR="005F185A" w:rsidRPr="003D1B95" w:rsidRDefault="005F185A" w:rsidP="00BE18F3">
            <w:pPr>
              <w:rPr>
                <w:lang w:val="es-MX" w:eastAsia="ar-SA"/>
              </w:rPr>
            </w:pPr>
          </w:p>
        </w:tc>
      </w:tr>
      <w:tr w:rsidR="003F0A4E" w:rsidRPr="00B771A6" w:rsidTr="00475DF2">
        <w:trPr>
          <w:trHeight w:val="20"/>
          <w:jc w:val="center"/>
        </w:trPr>
        <w:tc>
          <w:tcPr>
            <w:tcW w:w="1166" w:type="pct"/>
          </w:tcPr>
          <w:p w:rsidR="005F185A" w:rsidRPr="00B771A6" w:rsidRDefault="005F185A" w:rsidP="00475DF2">
            <w:pPr>
              <w:jc w:val="left"/>
              <w:rPr>
                <w:lang w:eastAsia="ar-SA"/>
              </w:rPr>
            </w:pPr>
            <w:r w:rsidRPr="00B771A6">
              <w:rPr>
                <w:lang w:eastAsia="ar-SA"/>
              </w:rPr>
              <w:t>Marco conceptual</w:t>
            </w:r>
          </w:p>
        </w:tc>
        <w:tc>
          <w:tcPr>
            <w:tcW w:w="3834" w:type="pct"/>
          </w:tcPr>
          <w:p w:rsidR="005C2853" w:rsidRDefault="005C2853" w:rsidP="005C2853">
            <w:pPr>
              <w:tabs>
                <w:tab w:val="left" w:pos="601"/>
              </w:tabs>
              <w:rPr>
                <w:rFonts w:asciiTheme="minorHAnsi" w:hAnsiTheme="minorHAnsi"/>
              </w:rPr>
            </w:pPr>
            <w:r>
              <w:rPr>
                <w:rFonts w:asciiTheme="minorHAnsi" w:hAnsiTheme="minorHAnsi"/>
              </w:rPr>
              <w:t>E</w:t>
            </w:r>
            <w:r w:rsidRPr="009E50CC">
              <w:rPr>
                <w:rFonts w:asciiTheme="minorHAnsi" w:hAnsiTheme="minorHAnsi"/>
              </w:rPr>
              <w:t>l Convenio sobre Diversidad Biológica, aprobado por la Ley 165 de 1994</w:t>
            </w:r>
            <w:r>
              <w:rPr>
                <w:rFonts w:asciiTheme="minorHAnsi" w:hAnsiTheme="minorHAnsi"/>
              </w:rPr>
              <w:t xml:space="preserve">, señala </w:t>
            </w:r>
            <w:r w:rsidRPr="009E50CC">
              <w:rPr>
                <w:rFonts w:asciiTheme="minorHAnsi" w:hAnsiTheme="minorHAnsi"/>
              </w:rPr>
              <w:t>que los objetivos de</w:t>
            </w:r>
            <w:r>
              <w:rPr>
                <w:rFonts w:asciiTheme="minorHAnsi" w:hAnsiTheme="minorHAnsi"/>
              </w:rPr>
              <w:t xml:space="preserve"> </w:t>
            </w:r>
            <w:r w:rsidRPr="009E50CC">
              <w:rPr>
                <w:rFonts w:asciiTheme="minorHAnsi" w:hAnsiTheme="minorHAnsi"/>
              </w:rPr>
              <w:t>conservación de la biodive</w:t>
            </w:r>
            <w:r>
              <w:rPr>
                <w:rFonts w:asciiTheme="minorHAnsi" w:hAnsiTheme="minorHAnsi"/>
              </w:rPr>
              <w:t>rsidad que se persiguen son: l</w:t>
            </w:r>
            <w:r w:rsidRPr="009E50CC">
              <w:rPr>
                <w:rFonts w:asciiTheme="minorHAnsi" w:hAnsiTheme="minorHAnsi"/>
              </w:rPr>
              <w:t>a conservación de la diversidad, la utilización</w:t>
            </w:r>
            <w:r>
              <w:rPr>
                <w:rFonts w:asciiTheme="minorHAnsi" w:hAnsiTheme="minorHAnsi"/>
              </w:rPr>
              <w:t xml:space="preserve"> </w:t>
            </w:r>
            <w:r w:rsidRPr="009E50CC">
              <w:rPr>
                <w:rFonts w:asciiTheme="minorHAnsi" w:hAnsiTheme="minorHAnsi"/>
              </w:rPr>
              <w:t>sostenible de sus componentes y la participación justa y equitativa en los beneficios que se deriven del</w:t>
            </w:r>
            <w:r>
              <w:rPr>
                <w:rFonts w:asciiTheme="minorHAnsi" w:hAnsiTheme="minorHAnsi"/>
              </w:rPr>
              <w:t xml:space="preserve"> </w:t>
            </w:r>
            <w:r w:rsidRPr="009E50CC">
              <w:rPr>
                <w:rFonts w:asciiTheme="minorHAnsi" w:hAnsiTheme="minorHAnsi"/>
              </w:rPr>
              <w:t>uso de recursos genéticos</w:t>
            </w:r>
            <w:r>
              <w:rPr>
                <w:rFonts w:asciiTheme="minorHAnsi" w:hAnsiTheme="minorHAnsi"/>
              </w:rPr>
              <w:t>.</w:t>
            </w:r>
          </w:p>
          <w:p w:rsidR="005C2853" w:rsidRPr="002D3829" w:rsidRDefault="005C2853" w:rsidP="005C2853">
            <w:pPr>
              <w:tabs>
                <w:tab w:val="left" w:pos="601"/>
              </w:tabs>
              <w:rPr>
                <w:rFonts w:asciiTheme="minorHAnsi" w:hAnsiTheme="minorHAnsi"/>
              </w:rPr>
            </w:pPr>
            <w:r>
              <w:rPr>
                <w:rFonts w:asciiTheme="minorHAnsi" w:hAnsiTheme="minorHAnsi"/>
              </w:rPr>
              <w:t xml:space="preserve">La </w:t>
            </w:r>
            <w:r w:rsidRPr="00844DCC">
              <w:rPr>
                <w:rFonts w:asciiTheme="minorHAnsi" w:hAnsiTheme="minorHAnsi"/>
              </w:rPr>
              <w:t>Decisión VII.28 de la Séptima Conferencia de las Partes -COP 7- del Convenio sobre</w:t>
            </w:r>
            <w:r>
              <w:rPr>
                <w:rFonts w:asciiTheme="minorHAnsi" w:hAnsiTheme="minorHAnsi"/>
              </w:rPr>
              <w:t xml:space="preserve"> Diversidad Biológica, a</w:t>
            </w:r>
            <w:r w:rsidRPr="00844DCC">
              <w:rPr>
                <w:rFonts w:asciiTheme="minorHAnsi" w:hAnsiTheme="minorHAnsi"/>
              </w:rPr>
              <w:t>probó el Programa Te</w:t>
            </w:r>
            <w:r w:rsidRPr="002D3829">
              <w:rPr>
                <w:rFonts w:asciiTheme="minorHAnsi" w:hAnsiTheme="minorHAnsi"/>
              </w:rPr>
              <w:t>mático de Áreas Protegidas que confirma que es indispensable hacer esfuerzos para establecer y mantener sistemas de áreas protegidas, aplicando el enfoque ecosistémico con el objetivo de establecer y mantener sistemas completos, eficazmente manejados y ecológicamente representativos de áreas protegidas.</w:t>
            </w:r>
          </w:p>
          <w:p w:rsidR="005C2853" w:rsidRPr="002D3829" w:rsidRDefault="005C2853" w:rsidP="005C2853">
            <w:pPr>
              <w:tabs>
                <w:tab w:val="left" w:pos="601"/>
              </w:tabs>
              <w:rPr>
                <w:rFonts w:asciiTheme="minorHAnsi" w:hAnsiTheme="minorHAnsi"/>
              </w:rPr>
            </w:pPr>
            <w:r w:rsidRPr="002D3829">
              <w:rPr>
                <w:rFonts w:asciiTheme="minorHAnsi" w:hAnsiTheme="minorHAnsi"/>
              </w:rPr>
              <w:t xml:space="preserve">En tal sentido, el Decreto </w:t>
            </w:r>
            <w:r w:rsidR="00CA62D3" w:rsidRPr="002D3829">
              <w:rPr>
                <w:rFonts w:asciiTheme="minorHAnsi" w:hAnsiTheme="minorHAnsi"/>
              </w:rPr>
              <w:t>1076 de 2015</w:t>
            </w:r>
            <w:r w:rsidRPr="002D3829">
              <w:rPr>
                <w:rFonts w:asciiTheme="minorHAnsi" w:hAnsiTheme="minorHAnsi"/>
              </w:rPr>
              <w:t xml:space="preserve"> define un área protegida como una superficie definida geográficamente que haya sido designada, regulada y administrada a fin de alcanzar objetivos específicos de conservación. </w:t>
            </w:r>
          </w:p>
          <w:p w:rsidR="00CA73CC" w:rsidRDefault="00D44963" w:rsidP="005C2853">
            <w:pPr>
              <w:tabs>
                <w:tab w:val="left" w:pos="601"/>
              </w:tabs>
              <w:rPr>
                <w:rFonts w:asciiTheme="minorHAnsi" w:hAnsiTheme="minorHAnsi"/>
              </w:rPr>
            </w:pPr>
            <w:r>
              <w:rPr>
                <w:rFonts w:asciiTheme="minorHAnsi" w:hAnsiTheme="minorHAnsi"/>
              </w:rPr>
              <w:t>E</w:t>
            </w:r>
            <w:r w:rsidR="005C2853" w:rsidRPr="002D3829">
              <w:rPr>
                <w:rFonts w:asciiTheme="minorHAnsi" w:hAnsiTheme="minorHAnsi"/>
              </w:rPr>
              <w:t>l mencionado Decreto,</w:t>
            </w:r>
            <w:r w:rsidR="00CA62D3" w:rsidRPr="002D3829">
              <w:rPr>
                <w:rFonts w:asciiTheme="minorHAnsi" w:hAnsiTheme="minorHAnsi"/>
              </w:rPr>
              <w:t xml:space="preserve"> </w:t>
            </w:r>
            <w:r w:rsidR="00CA73CC">
              <w:rPr>
                <w:rFonts w:asciiTheme="minorHAnsi" w:hAnsiTheme="minorHAnsi"/>
              </w:rPr>
              <w:t xml:space="preserve">establece </w:t>
            </w:r>
            <w:r w:rsidR="00CA62D3" w:rsidRPr="002D3829">
              <w:rPr>
                <w:rFonts w:asciiTheme="minorHAnsi" w:hAnsiTheme="minorHAnsi"/>
              </w:rPr>
              <w:t>las</w:t>
            </w:r>
            <w:r w:rsidR="005C2853" w:rsidRPr="002D3829">
              <w:rPr>
                <w:rFonts w:asciiTheme="minorHAnsi" w:hAnsiTheme="minorHAnsi"/>
              </w:rPr>
              <w:t xml:space="preserve"> categorías de áreas protegidas </w:t>
            </w:r>
            <w:r w:rsidR="00CA73CC">
              <w:rPr>
                <w:rFonts w:asciiTheme="minorHAnsi" w:hAnsiTheme="minorHAnsi"/>
              </w:rPr>
              <w:t>nacionales y regionales.</w:t>
            </w:r>
          </w:p>
          <w:p w:rsidR="005F185A" w:rsidRPr="002A2A42" w:rsidRDefault="00D44963" w:rsidP="00CA73CC">
            <w:pPr>
              <w:tabs>
                <w:tab w:val="left" w:pos="601"/>
              </w:tabs>
              <w:rPr>
                <w:rFonts w:asciiTheme="minorHAnsi" w:hAnsiTheme="minorHAnsi"/>
              </w:rPr>
            </w:pPr>
            <w:r>
              <w:rPr>
                <w:rFonts w:asciiTheme="minorHAnsi" w:hAnsiTheme="minorHAnsi"/>
              </w:rPr>
              <w:t xml:space="preserve">Adicionalmente, el Decreto </w:t>
            </w:r>
            <w:proofErr w:type="spellStart"/>
            <w:r>
              <w:rPr>
                <w:rFonts w:asciiTheme="minorHAnsi" w:hAnsiTheme="minorHAnsi"/>
              </w:rPr>
              <w:t>ibidem</w:t>
            </w:r>
            <w:proofErr w:type="spellEnd"/>
            <w:r w:rsidR="00D82EAE" w:rsidRPr="002D3829">
              <w:rPr>
                <w:rFonts w:asciiTheme="minorHAnsi" w:hAnsiTheme="minorHAnsi"/>
              </w:rPr>
              <w:t xml:space="preserve">, establece que cada una de las áreas protegidas que integran el </w:t>
            </w:r>
            <w:r w:rsidR="00A069C1" w:rsidRPr="002D3829">
              <w:rPr>
                <w:rFonts w:asciiTheme="minorHAnsi" w:hAnsiTheme="minorHAnsi"/>
              </w:rPr>
              <w:t xml:space="preserve">SINAP </w:t>
            </w:r>
            <w:r w:rsidR="00D82EAE" w:rsidRPr="002D3829">
              <w:rPr>
                <w:rFonts w:asciiTheme="minorHAnsi" w:hAnsiTheme="minorHAnsi"/>
              </w:rPr>
              <w:t>contarán con un plan de manejo que será el principal instrumento de planificación que orienta su gestión de conservación para un periodo de cinco (5) años de</w:t>
            </w:r>
            <w:r w:rsidR="00D82EAE" w:rsidRPr="00D82EAE">
              <w:rPr>
                <w:rFonts w:asciiTheme="minorHAnsi" w:hAnsiTheme="minorHAnsi"/>
              </w:rPr>
              <w:t xml:space="preserve"> manera que se evidencien resultados frente al logro de los objetivos</w:t>
            </w:r>
            <w:r w:rsidR="00D82EAE">
              <w:rPr>
                <w:rFonts w:asciiTheme="minorHAnsi" w:hAnsiTheme="minorHAnsi"/>
              </w:rPr>
              <w:t xml:space="preserve"> </w:t>
            </w:r>
            <w:r w:rsidR="00D82EAE" w:rsidRPr="00D82EAE">
              <w:rPr>
                <w:rFonts w:asciiTheme="minorHAnsi" w:hAnsiTheme="minorHAnsi"/>
              </w:rPr>
              <w:t>de conservación que motivaron su designación y su contribución al desarrollo del</w:t>
            </w:r>
            <w:r w:rsidR="00D82EAE">
              <w:rPr>
                <w:rFonts w:asciiTheme="minorHAnsi" w:hAnsiTheme="minorHAnsi"/>
              </w:rPr>
              <w:t xml:space="preserve"> </w:t>
            </w:r>
            <w:r w:rsidR="003C4579" w:rsidRPr="00D82EAE">
              <w:rPr>
                <w:rFonts w:asciiTheme="minorHAnsi" w:hAnsiTheme="minorHAnsi"/>
              </w:rPr>
              <w:t>SINAP</w:t>
            </w:r>
            <w:r w:rsidR="00D82EAE" w:rsidRPr="00D82EAE">
              <w:rPr>
                <w:rFonts w:asciiTheme="minorHAnsi" w:hAnsiTheme="minorHAnsi"/>
              </w:rPr>
              <w:t>. Este plan deberá formularse dentro del año siguiente a la declaratoria o en el</w:t>
            </w:r>
            <w:r w:rsidR="00D82EAE">
              <w:rPr>
                <w:rFonts w:asciiTheme="minorHAnsi" w:hAnsiTheme="minorHAnsi"/>
              </w:rPr>
              <w:t xml:space="preserve"> </w:t>
            </w:r>
            <w:r w:rsidR="00D82EAE" w:rsidRPr="00D82EAE">
              <w:rPr>
                <w:rFonts w:asciiTheme="minorHAnsi" w:hAnsiTheme="minorHAnsi"/>
              </w:rPr>
              <w:t xml:space="preserve">caso de las áreas existentes que se integren al </w:t>
            </w:r>
            <w:r w:rsidR="003C4579" w:rsidRPr="00D82EAE">
              <w:rPr>
                <w:rFonts w:asciiTheme="minorHAnsi" w:hAnsiTheme="minorHAnsi"/>
              </w:rPr>
              <w:t>SINAP</w:t>
            </w:r>
            <w:r w:rsidR="00D82EAE" w:rsidRPr="00D82EAE">
              <w:rPr>
                <w:rFonts w:asciiTheme="minorHAnsi" w:hAnsiTheme="minorHAnsi"/>
              </w:rPr>
              <w:t xml:space="preserve"> dentro del año siguiente al</w:t>
            </w:r>
            <w:r w:rsidR="00D82EAE">
              <w:rPr>
                <w:rFonts w:asciiTheme="minorHAnsi" w:hAnsiTheme="minorHAnsi"/>
              </w:rPr>
              <w:t xml:space="preserve"> </w:t>
            </w:r>
            <w:r w:rsidR="00D82EAE" w:rsidRPr="00D82EAE">
              <w:rPr>
                <w:rFonts w:asciiTheme="minorHAnsi" w:hAnsiTheme="minorHAnsi"/>
              </w:rPr>
              <w:t>registro</w:t>
            </w:r>
            <w:r w:rsidR="00D82EAE">
              <w:rPr>
                <w:rFonts w:asciiTheme="minorHAnsi" w:hAnsiTheme="minorHAnsi"/>
              </w:rPr>
              <w:t>.</w:t>
            </w:r>
          </w:p>
        </w:tc>
      </w:tr>
      <w:tr w:rsidR="003F0A4E" w:rsidRPr="00B771A6" w:rsidTr="00475DF2">
        <w:trPr>
          <w:trHeight w:val="20"/>
          <w:jc w:val="center"/>
        </w:trPr>
        <w:tc>
          <w:tcPr>
            <w:tcW w:w="1166" w:type="pct"/>
          </w:tcPr>
          <w:p w:rsidR="005F185A" w:rsidRPr="00B771A6" w:rsidRDefault="005F185A" w:rsidP="00475DF2">
            <w:pPr>
              <w:jc w:val="left"/>
              <w:rPr>
                <w:lang w:eastAsia="ar-SA"/>
              </w:rPr>
            </w:pPr>
            <w:r w:rsidRPr="00B771A6">
              <w:rPr>
                <w:lang w:eastAsia="ar-SA"/>
              </w:rPr>
              <w:t>Fórmula de cálculo</w:t>
            </w:r>
          </w:p>
        </w:tc>
        <w:tc>
          <w:tcPr>
            <w:tcW w:w="3834" w:type="pct"/>
          </w:tcPr>
          <w:p w:rsidR="00235B6E" w:rsidRPr="00235B6E" w:rsidRDefault="00235B6E" w:rsidP="00235E8A">
            <w:pPr>
              <w:rPr>
                <w:b/>
              </w:rPr>
            </w:pPr>
            <w:r w:rsidRPr="00235B6E">
              <w:rPr>
                <w:b/>
              </w:rPr>
              <w:t xml:space="preserve">Indicador Porcentaje de </w:t>
            </w:r>
            <w:r w:rsidR="005C2853">
              <w:rPr>
                <w:b/>
              </w:rPr>
              <w:t>áreas protegidas</w:t>
            </w:r>
            <w:r w:rsidR="007332D0">
              <w:rPr>
                <w:b/>
              </w:rPr>
              <w:t xml:space="preserve"> </w:t>
            </w:r>
            <w:r w:rsidRPr="00235B6E">
              <w:rPr>
                <w:b/>
              </w:rPr>
              <w:t>con planes de manejo en ejecución</w:t>
            </w:r>
          </w:p>
          <w:p w:rsidR="00235E8A" w:rsidRPr="001E399B" w:rsidRDefault="00884587" w:rsidP="00235E8A">
            <m:oMathPara>
              <m:oMathParaPr>
                <m:jc m:val="left"/>
              </m:oMathParaPr>
              <m:oMath>
                <m:sSub>
                  <m:sSubPr>
                    <m:ctrlPr>
                      <w:rPr>
                        <w:rFonts w:ascii="Cambria Math" w:hAnsi="Cambria Math"/>
                        <w:i/>
                        <w:sz w:val="20"/>
                      </w:rPr>
                    </m:ctrlPr>
                  </m:sSubPr>
                  <m:e>
                    <m:r>
                      <w:rPr>
                        <w:rFonts w:ascii="Cambria Math" w:hAnsi="Cambria Math"/>
                        <w:sz w:val="20"/>
                      </w:rPr>
                      <m:t>PAPME</m:t>
                    </m:r>
                  </m:e>
                  <m:sub>
                    <m:r>
                      <w:rPr>
                        <w:rFonts w:ascii="Cambria Math" w:hAnsi="Cambria Math"/>
                        <w:sz w:val="20"/>
                      </w:rPr>
                      <m:t>t</m:t>
                    </m:r>
                  </m:sub>
                </m:sSub>
                <m:r>
                  <w:rPr>
                    <w:rFonts w:ascii="Cambria Math" w:hAnsi="Cambria Math"/>
                    <w:sz w:val="20"/>
                  </w:rPr>
                  <m:t xml:space="preserve">= </m:t>
                </m:r>
                <m:f>
                  <m:fPr>
                    <m:ctrlPr>
                      <w:rPr>
                        <w:rFonts w:ascii="Cambria Math" w:hAnsi="Cambria Math"/>
                        <w:i/>
                        <w:sz w:val="20"/>
                      </w:rPr>
                    </m:ctrlPr>
                  </m:fPr>
                  <m:num>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APME</m:t>
                            </m:r>
                          </m:e>
                          <m:sub>
                            <m:r>
                              <w:rPr>
                                <w:rFonts w:ascii="Cambria Math" w:hAnsi="Cambria Math"/>
                                <w:sz w:val="20"/>
                              </w:rPr>
                              <m:t>it</m:t>
                            </m:r>
                          </m:sub>
                        </m:sSub>
                      </m:e>
                    </m:nary>
                  </m:num>
                  <m:den>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APCAR</m:t>
                            </m:r>
                          </m:e>
                          <m:sub>
                            <m:r>
                              <w:rPr>
                                <w:rFonts w:ascii="Cambria Math" w:hAnsi="Cambria Math"/>
                                <w:sz w:val="20"/>
                              </w:rPr>
                              <m:t>it</m:t>
                            </m:r>
                          </m:sub>
                        </m:sSub>
                      </m:e>
                    </m:nary>
                  </m:den>
                </m:f>
              </m:oMath>
            </m:oMathPara>
          </w:p>
          <w:p w:rsidR="00905748" w:rsidRPr="00224678" w:rsidRDefault="00905748" w:rsidP="00905748">
            <w:r w:rsidRPr="00224678">
              <w:t>Donde:</w:t>
            </w:r>
          </w:p>
          <w:p w:rsidR="00235E8A" w:rsidRDefault="007332D0" w:rsidP="00905748">
            <w:pPr>
              <w:tabs>
                <w:tab w:val="left" w:pos="601"/>
              </w:tabs>
            </w:pPr>
            <w:r>
              <w:t>PAP</w:t>
            </w:r>
            <w:r w:rsidR="00235E8A">
              <w:t>ME</w:t>
            </w:r>
            <w:r w:rsidR="00905748">
              <w:t xml:space="preserve"> </w:t>
            </w:r>
            <w:r w:rsidR="00905748" w:rsidRPr="001E399B">
              <w:rPr>
                <w:vertAlign w:val="subscript"/>
              </w:rPr>
              <w:t>t</w:t>
            </w:r>
            <w:r w:rsidR="00905748">
              <w:t xml:space="preserve"> = </w:t>
            </w:r>
            <w:r w:rsidR="00235E8A" w:rsidRPr="00235E8A">
              <w:t xml:space="preserve">Porcentaje de </w:t>
            </w:r>
            <w:r w:rsidR="005C2853">
              <w:t>áreas protegidas</w:t>
            </w:r>
            <w:r>
              <w:t xml:space="preserve"> </w:t>
            </w:r>
            <w:r w:rsidR="00235E8A" w:rsidRPr="00235E8A">
              <w:t>con planes de manejo en ejecución</w:t>
            </w:r>
            <w:r w:rsidR="00235E8A">
              <w:t>, en el tiempo t.</w:t>
            </w:r>
          </w:p>
          <w:p w:rsidR="00235E8A" w:rsidRDefault="00235E8A" w:rsidP="00235E8A">
            <w:pPr>
              <w:tabs>
                <w:tab w:val="left" w:pos="601"/>
              </w:tabs>
            </w:pPr>
            <w:r>
              <w:t xml:space="preserve">APME </w:t>
            </w:r>
            <w:proofErr w:type="spellStart"/>
            <w:r w:rsidR="00727F3D">
              <w:rPr>
                <w:vertAlign w:val="subscript"/>
              </w:rPr>
              <w:t>it</w:t>
            </w:r>
            <w:proofErr w:type="spellEnd"/>
            <w:r>
              <w:t xml:space="preserve"> = Número de </w:t>
            </w:r>
            <w:r w:rsidR="005C2853">
              <w:t>áreas protegidas</w:t>
            </w:r>
            <w:r w:rsidR="007332D0">
              <w:t xml:space="preserve"> </w:t>
            </w:r>
            <w:r w:rsidR="00727F3D" w:rsidRPr="00727F3D">
              <w:rPr>
                <w:i/>
              </w:rPr>
              <w:t>i</w:t>
            </w:r>
            <w:r w:rsidR="00727F3D">
              <w:t xml:space="preserve"> </w:t>
            </w:r>
            <w:r w:rsidRPr="00235E8A">
              <w:t>con planes de manejo en ejecución</w:t>
            </w:r>
            <w:r>
              <w:t>, en el tiempo t.</w:t>
            </w:r>
          </w:p>
          <w:p w:rsidR="00235E8A" w:rsidRDefault="00235E8A" w:rsidP="00235E8A">
            <w:pPr>
              <w:tabs>
                <w:tab w:val="left" w:pos="601"/>
              </w:tabs>
            </w:pPr>
            <w:r>
              <w:t>AP</w:t>
            </w:r>
            <w:r w:rsidR="007332D0">
              <w:t>CAR</w:t>
            </w:r>
            <w:r>
              <w:t xml:space="preserve"> </w:t>
            </w:r>
            <w:proofErr w:type="spellStart"/>
            <w:r w:rsidR="00727F3D">
              <w:rPr>
                <w:vertAlign w:val="subscript"/>
              </w:rPr>
              <w:t>it</w:t>
            </w:r>
            <w:proofErr w:type="spellEnd"/>
            <w:r>
              <w:t xml:space="preserve"> = Número </w:t>
            </w:r>
            <w:r w:rsidRPr="00235E8A">
              <w:t xml:space="preserve">de </w:t>
            </w:r>
            <w:r w:rsidR="005C2853">
              <w:t>áreas protegidas</w:t>
            </w:r>
            <w:r w:rsidR="007332D0">
              <w:t xml:space="preserve"> </w:t>
            </w:r>
            <w:r w:rsidR="00727F3D" w:rsidRPr="00727F3D">
              <w:rPr>
                <w:i/>
              </w:rPr>
              <w:t>i</w:t>
            </w:r>
            <w:r w:rsidR="007332D0">
              <w:t xml:space="preserve"> cuya administración es responsabilidad de la Corporación Autónoma Regional</w:t>
            </w:r>
            <w:r>
              <w:t>, en el tiempo t.</w:t>
            </w:r>
          </w:p>
          <w:p w:rsidR="00F710AF" w:rsidRDefault="00F710AF" w:rsidP="00F710AF">
            <w:pPr>
              <w:tabs>
                <w:tab w:val="left" w:pos="601"/>
              </w:tabs>
              <w:spacing w:after="0"/>
              <w:rPr>
                <w:b/>
              </w:rPr>
            </w:pPr>
            <w:r>
              <w:rPr>
                <w:b/>
              </w:rPr>
              <w:t>Indicador complementario:</w:t>
            </w:r>
          </w:p>
          <w:p w:rsidR="00001DDC" w:rsidRDefault="00F710AF" w:rsidP="00001DDC">
            <w:pPr>
              <w:tabs>
                <w:tab w:val="left" w:pos="601"/>
              </w:tabs>
              <w:rPr>
                <w:b/>
              </w:rPr>
            </w:pPr>
            <w:r>
              <w:rPr>
                <w:b/>
              </w:rPr>
              <w:t>Inversión</w:t>
            </w:r>
            <w:r w:rsidR="00182D92">
              <w:rPr>
                <w:b/>
              </w:rPr>
              <w:t xml:space="preserve"> a</w:t>
            </w:r>
            <w:r>
              <w:rPr>
                <w:b/>
              </w:rPr>
              <w:t>sociada</w:t>
            </w:r>
            <w:r w:rsidR="00182D92">
              <w:rPr>
                <w:b/>
              </w:rPr>
              <w:t xml:space="preserve"> a la ejecución de los planes de manejo de </w:t>
            </w:r>
            <w:r w:rsidR="005C2853">
              <w:rPr>
                <w:b/>
              </w:rPr>
              <w:t>áreas protegidas</w:t>
            </w:r>
          </w:p>
          <w:p w:rsidR="00001DDC" w:rsidRPr="001E399B" w:rsidRDefault="00884587" w:rsidP="00001DDC">
            <m:oMathPara>
              <m:oMathParaPr>
                <m:jc m:val="left"/>
              </m:oMathParaPr>
              <m:oMath>
                <m:sSub>
                  <m:sSubPr>
                    <m:ctrlPr>
                      <w:rPr>
                        <w:rFonts w:ascii="Cambria Math" w:hAnsi="Cambria Math"/>
                        <w:i/>
                        <w:sz w:val="20"/>
                      </w:rPr>
                    </m:ctrlPr>
                  </m:sSubPr>
                  <m:e>
                    <m:r>
                      <w:rPr>
                        <w:rFonts w:ascii="Cambria Math" w:hAnsi="Cambria Math"/>
                        <w:sz w:val="20"/>
                      </w:rPr>
                      <m:t>IPMAP</m:t>
                    </m:r>
                  </m:e>
                  <m:sub>
                    <m:r>
                      <w:rPr>
                        <w:rFonts w:ascii="Cambria Math" w:hAnsi="Cambria Math"/>
                        <w:sz w:val="20"/>
                      </w:rPr>
                      <m:t>t</m:t>
                    </m:r>
                  </m:sub>
                </m:sSub>
                <m:r>
                  <w:rPr>
                    <w:rFonts w:ascii="Cambria Math" w:hAnsi="Cambria Math"/>
                    <w:sz w:val="20"/>
                  </w:rPr>
                  <m:t xml:space="preserve">= </m:t>
                </m:r>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PDAP</m:t>
                        </m:r>
                      </m:e>
                      <m:sub>
                        <m:r>
                          <w:rPr>
                            <w:rFonts w:ascii="Cambria Math" w:hAnsi="Cambria Math"/>
                            <w:sz w:val="20"/>
                          </w:rPr>
                          <m:t>i</m:t>
                        </m:r>
                      </m:sub>
                    </m:sSub>
                  </m:e>
                </m:nary>
              </m:oMath>
            </m:oMathPara>
          </w:p>
          <w:p w:rsidR="00001DDC" w:rsidRPr="00224678" w:rsidRDefault="00001DDC" w:rsidP="00001DDC">
            <w:r w:rsidRPr="00224678">
              <w:t>Donde:</w:t>
            </w:r>
          </w:p>
          <w:p w:rsidR="00F710AF" w:rsidRDefault="007332D0" w:rsidP="00001DDC">
            <w:pPr>
              <w:tabs>
                <w:tab w:val="left" w:pos="601"/>
              </w:tabs>
            </w:pPr>
            <w:r>
              <w:t>IPM</w:t>
            </w:r>
            <w:r w:rsidR="00F710AF">
              <w:t>A</w:t>
            </w:r>
            <w:r>
              <w:t>P</w:t>
            </w:r>
            <w:r w:rsidR="00001DDC">
              <w:t xml:space="preserve"> </w:t>
            </w:r>
            <w:r w:rsidR="00F710AF">
              <w:rPr>
                <w:vertAlign w:val="subscript"/>
              </w:rPr>
              <w:t>t</w:t>
            </w:r>
            <w:r w:rsidR="00001DDC">
              <w:t xml:space="preserve"> = </w:t>
            </w:r>
            <w:r w:rsidR="00F710AF">
              <w:t xml:space="preserve">Inversión asociada a la </w:t>
            </w:r>
            <w:r w:rsidR="00F710AF" w:rsidRPr="00F710AF">
              <w:t xml:space="preserve">ejecución de los planes de manejo </w:t>
            </w:r>
            <w:r>
              <w:t>de las</w:t>
            </w:r>
            <w:r w:rsidR="00F710AF" w:rsidRPr="00F710AF">
              <w:t xml:space="preserve"> </w:t>
            </w:r>
            <w:r>
              <w:t>áreas protegida</w:t>
            </w:r>
            <w:r w:rsidR="00F710AF" w:rsidRPr="00F710AF">
              <w:t>s</w:t>
            </w:r>
            <w:r>
              <w:t xml:space="preserve"> a cargo de la Corporación Autónoma Regional</w:t>
            </w:r>
            <w:r w:rsidR="00F710AF">
              <w:t>, en el año t.</w:t>
            </w:r>
          </w:p>
          <w:p w:rsidR="005F185A" w:rsidRPr="00235E8A" w:rsidRDefault="00F710AF" w:rsidP="00235E8A">
            <w:pPr>
              <w:tabs>
                <w:tab w:val="left" w:pos="601"/>
              </w:tabs>
            </w:pPr>
            <w:r>
              <w:t>P</w:t>
            </w:r>
            <w:r w:rsidR="007332D0">
              <w:t>D</w:t>
            </w:r>
            <w:r w:rsidR="00235E8A">
              <w:t>A</w:t>
            </w:r>
            <w:r w:rsidR="007332D0">
              <w:t>P</w:t>
            </w:r>
            <w:r w:rsidR="00001DDC">
              <w:t xml:space="preserve"> </w:t>
            </w:r>
            <w:r w:rsidR="00235E8A">
              <w:rPr>
                <w:vertAlign w:val="subscript"/>
              </w:rPr>
              <w:t>i</w:t>
            </w:r>
            <w:r w:rsidR="00001DDC">
              <w:t xml:space="preserve"> = </w:t>
            </w:r>
            <w:r>
              <w:t xml:space="preserve">Presupuesto definitivo asociado a la </w:t>
            </w:r>
            <w:r w:rsidR="00235E8A">
              <w:t>ejecución del plan</w:t>
            </w:r>
            <w:r w:rsidR="007332D0">
              <w:t xml:space="preserve"> de manejo del área protegida </w:t>
            </w:r>
            <w:r w:rsidR="00235E8A">
              <w:t>i</w:t>
            </w:r>
            <w:r w:rsidR="00A82098">
              <w:t>, en el año</w:t>
            </w:r>
            <w:r w:rsidR="00001DDC">
              <w:t xml:space="preserve"> t.</w:t>
            </w:r>
          </w:p>
        </w:tc>
      </w:tr>
      <w:tr w:rsidR="003F0A4E" w:rsidRPr="00B771A6" w:rsidTr="00C20065">
        <w:trPr>
          <w:trHeight w:val="20"/>
          <w:jc w:val="center"/>
        </w:trPr>
        <w:tc>
          <w:tcPr>
            <w:tcW w:w="1166" w:type="pct"/>
            <w:vAlign w:val="center"/>
          </w:tcPr>
          <w:p w:rsidR="005F185A" w:rsidRPr="00B771A6" w:rsidRDefault="005F185A" w:rsidP="00BE18F3">
            <w:pPr>
              <w:rPr>
                <w:lang w:eastAsia="ar-SA"/>
              </w:rPr>
            </w:pPr>
            <w:r w:rsidRPr="00B771A6">
              <w:rPr>
                <w:lang w:eastAsia="ar-SA"/>
              </w:rPr>
              <w:t>Metodología de cálculo</w:t>
            </w:r>
          </w:p>
        </w:tc>
        <w:tc>
          <w:tcPr>
            <w:tcW w:w="3834" w:type="pct"/>
          </w:tcPr>
          <w:p w:rsidR="00576DA6" w:rsidRDefault="00CD25E3" w:rsidP="00C77427">
            <w:pPr>
              <w:rPr>
                <w:lang w:eastAsia="ar-SA"/>
              </w:rPr>
            </w:pPr>
            <w:r>
              <w:rPr>
                <w:lang w:eastAsia="ar-SA"/>
              </w:rPr>
              <w:t>Para su cálculo, se reporta</w:t>
            </w:r>
            <w:r w:rsidR="00576DA6">
              <w:rPr>
                <w:lang w:eastAsia="ar-SA"/>
              </w:rPr>
              <w:t xml:space="preserve"> la siguiente información:</w:t>
            </w:r>
          </w:p>
          <w:tbl>
            <w:tblPr>
              <w:tblW w:w="8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62"/>
              <w:gridCol w:w="1351"/>
              <w:gridCol w:w="1164"/>
              <w:gridCol w:w="699"/>
            </w:tblGrid>
            <w:tr w:rsidR="00A069C1" w:rsidRPr="003F0A4E" w:rsidTr="00D24744">
              <w:trPr>
                <w:trHeight w:val="20"/>
              </w:trPr>
              <w:tc>
                <w:tcPr>
                  <w:tcW w:w="5162" w:type="dxa"/>
                  <w:hideMark/>
                </w:tcPr>
                <w:p w:rsidR="00A069C1" w:rsidRPr="003F0A4E" w:rsidRDefault="00D24744" w:rsidP="00D24744">
                  <w:pPr>
                    <w:spacing w:after="0"/>
                    <w:jc w:val="center"/>
                    <w:rPr>
                      <w:color w:val="000000"/>
                      <w:sz w:val="22"/>
                      <w:szCs w:val="22"/>
                      <w:lang w:eastAsia="es-CO"/>
                    </w:rPr>
                  </w:pPr>
                  <w:r w:rsidRPr="00A069C1">
                    <w:rPr>
                      <w:color w:val="000000"/>
                      <w:lang w:eastAsia="es-CO"/>
                    </w:rPr>
                    <w:t>VARIABLE</w:t>
                  </w:r>
                </w:p>
              </w:tc>
              <w:tc>
                <w:tcPr>
                  <w:tcW w:w="1351" w:type="dxa"/>
                  <w:shd w:val="clear" w:color="auto" w:fill="auto"/>
                  <w:hideMark/>
                </w:tcPr>
                <w:p w:rsidR="00A069C1" w:rsidRPr="003F0A4E" w:rsidRDefault="00A069C1" w:rsidP="00D24744">
                  <w:pPr>
                    <w:spacing w:after="0"/>
                    <w:jc w:val="center"/>
                    <w:rPr>
                      <w:rFonts w:asciiTheme="majorHAnsi" w:hAnsiTheme="majorHAnsi"/>
                      <w:color w:val="000000"/>
                      <w:lang w:eastAsia="es-CO"/>
                    </w:rPr>
                  </w:pPr>
                  <w:r>
                    <w:rPr>
                      <w:rFonts w:asciiTheme="majorHAnsi" w:hAnsiTheme="majorHAnsi"/>
                      <w:color w:val="000000"/>
                      <w:lang w:eastAsia="es-CO"/>
                    </w:rPr>
                    <w:t>CONTINENTALES</w:t>
                  </w:r>
                </w:p>
              </w:tc>
              <w:tc>
                <w:tcPr>
                  <w:tcW w:w="1164" w:type="dxa"/>
                  <w:shd w:val="clear" w:color="auto" w:fill="auto"/>
                  <w:hideMark/>
                </w:tcPr>
                <w:p w:rsidR="00A069C1" w:rsidRPr="003F0A4E" w:rsidRDefault="00A069C1" w:rsidP="00D24744">
                  <w:pPr>
                    <w:spacing w:after="0"/>
                    <w:jc w:val="center"/>
                    <w:rPr>
                      <w:rFonts w:asciiTheme="majorHAnsi" w:hAnsiTheme="majorHAnsi"/>
                      <w:color w:val="000000"/>
                      <w:lang w:eastAsia="es-CO"/>
                    </w:rPr>
                  </w:pPr>
                  <w:r>
                    <w:rPr>
                      <w:rFonts w:asciiTheme="majorHAnsi" w:hAnsiTheme="majorHAnsi"/>
                      <w:color w:val="000000"/>
                      <w:lang w:eastAsia="es-CO"/>
                    </w:rPr>
                    <w:t>MARINAS</w:t>
                  </w:r>
                  <w:r w:rsidR="00D24744">
                    <w:rPr>
                      <w:rFonts w:asciiTheme="majorHAnsi" w:hAnsiTheme="majorHAnsi"/>
                      <w:color w:val="000000"/>
                      <w:lang w:eastAsia="es-CO"/>
                    </w:rPr>
                    <w:t>, COSTERAS E INSULARES</w:t>
                  </w:r>
                </w:p>
              </w:tc>
              <w:tc>
                <w:tcPr>
                  <w:tcW w:w="699" w:type="dxa"/>
                  <w:shd w:val="clear" w:color="auto" w:fill="auto"/>
                  <w:hideMark/>
                </w:tcPr>
                <w:p w:rsidR="00A069C1" w:rsidRPr="003F0A4E" w:rsidRDefault="00A069C1" w:rsidP="00D24744">
                  <w:pPr>
                    <w:spacing w:after="0"/>
                    <w:jc w:val="center"/>
                    <w:rPr>
                      <w:rFonts w:asciiTheme="majorHAnsi" w:hAnsiTheme="majorHAnsi"/>
                      <w:color w:val="000000"/>
                      <w:lang w:eastAsia="es-CO"/>
                    </w:rPr>
                  </w:pPr>
                  <w:r>
                    <w:rPr>
                      <w:rFonts w:asciiTheme="majorHAnsi" w:hAnsiTheme="majorHAnsi"/>
                      <w:color w:val="000000"/>
                      <w:lang w:eastAsia="es-CO"/>
                    </w:rPr>
                    <w:t>TOTAL</w:t>
                  </w:r>
                </w:p>
              </w:tc>
            </w:tr>
            <w:tr w:rsidR="00A069C1" w:rsidRPr="003F0A4E" w:rsidTr="00D24744">
              <w:trPr>
                <w:trHeight w:val="20"/>
              </w:trPr>
              <w:tc>
                <w:tcPr>
                  <w:tcW w:w="5162" w:type="dxa"/>
                  <w:shd w:val="clear" w:color="auto" w:fill="auto"/>
                  <w:hideMark/>
                </w:tcPr>
                <w:p w:rsidR="00A069C1" w:rsidRPr="003F0A4E" w:rsidRDefault="00A069C1" w:rsidP="007332D0">
                  <w:pPr>
                    <w:spacing w:after="0"/>
                    <w:jc w:val="left"/>
                    <w:rPr>
                      <w:color w:val="000000"/>
                      <w:lang w:eastAsia="es-CO"/>
                    </w:rPr>
                  </w:pPr>
                  <w:r w:rsidRPr="003F0A4E">
                    <w:rPr>
                      <w:color w:val="000000"/>
                      <w:lang w:eastAsia="es-CO"/>
                    </w:rPr>
                    <w:t xml:space="preserve">Número de </w:t>
                  </w:r>
                  <w:r>
                    <w:rPr>
                      <w:color w:val="000000"/>
                      <w:lang w:eastAsia="es-CO"/>
                    </w:rPr>
                    <w:t xml:space="preserve">áreas protegidas </w:t>
                  </w:r>
                  <w:r w:rsidRPr="007332D0">
                    <w:rPr>
                      <w:color w:val="000000"/>
                      <w:lang w:eastAsia="es-CO"/>
                    </w:rPr>
                    <w:t xml:space="preserve">cuya administración es responsabilidad de la Corporación Autónoma Regional </w:t>
                  </w:r>
                </w:p>
              </w:tc>
              <w:tc>
                <w:tcPr>
                  <w:tcW w:w="1351" w:type="dxa"/>
                  <w:shd w:val="clear" w:color="000000" w:fill="FFFF00"/>
                  <w:noWrap/>
                  <w:vAlign w:val="bottom"/>
                  <w:hideMark/>
                </w:tcPr>
                <w:p w:rsidR="00A069C1" w:rsidRPr="003F0A4E" w:rsidRDefault="00A069C1" w:rsidP="003F0A4E">
                  <w:pPr>
                    <w:spacing w:after="0"/>
                    <w:jc w:val="left"/>
                    <w:rPr>
                      <w:color w:val="000000"/>
                      <w:sz w:val="22"/>
                      <w:szCs w:val="22"/>
                      <w:lang w:eastAsia="es-CO"/>
                    </w:rPr>
                  </w:pPr>
                  <w:r w:rsidRPr="003F0A4E">
                    <w:rPr>
                      <w:color w:val="000000"/>
                      <w:sz w:val="22"/>
                      <w:szCs w:val="22"/>
                      <w:lang w:eastAsia="es-CO"/>
                    </w:rPr>
                    <w:t> </w:t>
                  </w:r>
                </w:p>
              </w:tc>
              <w:tc>
                <w:tcPr>
                  <w:tcW w:w="1164" w:type="dxa"/>
                  <w:shd w:val="clear" w:color="000000" w:fill="FFFF00"/>
                  <w:noWrap/>
                  <w:vAlign w:val="bottom"/>
                  <w:hideMark/>
                </w:tcPr>
                <w:p w:rsidR="00A069C1" w:rsidRPr="003F0A4E" w:rsidRDefault="00A069C1" w:rsidP="003F0A4E">
                  <w:pPr>
                    <w:spacing w:after="0"/>
                    <w:jc w:val="left"/>
                    <w:rPr>
                      <w:color w:val="000000"/>
                      <w:sz w:val="22"/>
                      <w:szCs w:val="22"/>
                      <w:lang w:eastAsia="es-CO"/>
                    </w:rPr>
                  </w:pPr>
                  <w:r w:rsidRPr="003F0A4E">
                    <w:rPr>
                      <w:color w:val="000000"/>
                      <w:sz w:val="22"/>
                      <w:szCs w:val="22"/>
                      <w:lang w:eastAsia="es-CO"/>
                    </w:rPr>
                    <w:t> </w:t>
                  </w:r>
                </w:p>
              </w:tc>
              <w:tc>
                <w:tcPr>
                  <w:tcW w:w="699" w:type="dxa"/>
                  <w:shd w:val="clear" w:color="000000" w:fill="FFFF00"/>
                  <w:noWrap/>
                  <w:vAlign w:val="bottom"/>
                  <w:hideMark/>
                </w:tcPr>
                <w:p w:rsidR="00A069C1" w:rsidRPr="003F0A4E" w:rsidRDefault="00A069C1" w:rsidP="003F0A4E">
                  <w:pPr>
                    <w:spacing w:after="0"/>
                    <w:jc w:val="left"/>
                    <w:rPr>
                      <w:color w:val="000000"/>
                      <w:sz w:val="22"/>
                      <w:szCs w:val="22"/>
                      <w:lang w:eastAsia="es-CO"/>
                    </w:rPr>
                  </w:pPr>
                  <w:r w:rsidRPr="003F0A4E">
                    <w:rPr>
                      <w:color w:val="000000"/>
                      <w:sz w:val="22"/>
                      <w:szCs w:val="22"/>
                      <w:lang w:eastAsia="es-CO"/>
                    </w:rPr>
                    <w:t> </w:t>
                  </w:r>
                </w:p>
              </w:tc>
            </w:tr>
            <w:tr w:rsidR="00A069C1" w:rsidRPr="003F0A4E" w:rsidTr="00D24744">
              <w:trPr>
                <w:trHeight w:val="20"/>
              </w:trPr>
              <w:tc>
                <w:tcPr>
                  <w:tcW w:w="5162" w:type="dxa"/>
                  <w:shd w:val="clear" w:color="auto" w:fill="auto"/>
                  <w:hideMark/>
                </w:tcPr>
                <w:p w:rsidR="00A069C1" w:rsidRPr="003F0A4E" w:rsidRDefault="00A069C1" w:rsidP="003F0A4E">
                  <w:pPr>
                    <w:spacing w:after="0"/>
                    <w:jc w:val="left"/>
                    <w:rPr>
                      <w:color w:val="000000"/>
                      <w:lang w:eastAsia="es-CO"/>
                    </w:rPr>
                  </w:pPr>
                  <w:r w:rsidRPr="003F0A4E">
                    <w:rPr>
                      <w:color w:val="000000"/>
                      <w:lang w:eastAsia="es-CO"/>
                    </w:rPr>
                    <w:t xml:space="preserve">Número de </w:t>
                  </w:r>
                  <w:r>
                    <w:rPr>
                      <w:color w:val="000000"/>
                      <w:lang w:eastAsia="es-CO"/>
                    </w:rPr>
                    <w:t xml:space="preserve">áreas protegidas </w:t>
                  </w:r>
                  <w:r w:rsidR="00732082">
                    <w:rPr>
                      <w:color w:val="000000"/>
                      <w:lang w:eastAsia="es-CO"/>
                    </w:rPr>
                    <w:t>con plan de manejo adoptado</w:t>
                  </w:r>
                </w:p>
              </w:tc>
              <w:tc>
                <w:tcPr>
                  <w:tcW w:w="1351" w:type="dxa"/>
                  <w:shd w:val="clear" w:color="000000" w:fill="FFFF00"/>
                  <w:noWrap/>
                  <w:vAlign w:val="bottom"/>
                  <w:hideMark/>
                </w:tcPr>
                <w:p w:rsidR="00A069C1" w:rsidRPr="003F0A4E" w:rsidRDefault="00A069C1" w:rsidP="003F0A4E">
                  <w:pPr>
                    <w:spacing w:after="0"/>
                    <w:jc w:val="left"/>
                    <w:rPr>
                      <w:color w:val="000000"/>
                      <w:sz w:val="22"/>
                      <w:szCs w:val="22"/>
                      <w:lang w:eastAsia="es-CO"/>
                    </w:rPr>
                  </w:pPr>
                  <w:r w:rsidRPr="003F0A4E">
                    <w:rPr>
                      <w:color w:val="000000"/>
                      <w:sz w:val="22"/>
                      <w:szCs w:val="22"/>
                      <w:lang w:eastAsia="es-CO"/>
                    </w:rPr>
                    <w:t> </w:t>
                  </w:r>
                </w:p>
              </w:tc>
              <w:tc>
                <w:tcPr>
                  <w:tcW w:w="1164" w:type="dxa"/>
                  <w:shd w:val="clear" w:color="000000" w:fill="FFFF00"/>
                  <w:noWrap/>
                  <w:vAlign w:val="bottom"/>
                  <w:hideMark/>
                </w:tcPr>
                <w:p w:rsidR="00A069C1" w:rsidRPr="003F0A4E" w:rsidRDefault="00A069C1" w:rsidP="003F0A4E">
                  <w:pPr>
                    <w:spacing w:after="0"/>
                    <w:jc w:val="left"/>
                    <w:rPr>
                      <w:color w:val="000000"/>
                      <w:sz w:val="22"/>
                      <w:szCs w:val="22"/>
                      <w:lang w:eastAsia="es-CO"/>
                    </w:rPr>
                  </w:pPr>
                  <w:r w:rsidRPr="003F0A4E">
                    <w:rPr>
                      <w:color w:val="000000"/>
                      <w:sz w:val="22"/>
                      <w:szCs w:val="22"/>
                      <w:lang w:eastAsia="es-CO"/>
                    </w:rPr>
                    <w:t> </w:t>
                  </w:r>
                </w:p>
              </w:tc>
              <w:tc>
                <w:tcPr>
                  <w:tcW w:w="699" w:type="dxa"/>
                  <w:shd w:val="clear" w:color="000000" w:fill="FFFF00"/>
                  <w:noWrap/>
                  <w:vAlign w:val="bottom"/>
                  <w:hideMark/>
                </w:tcPr>
                <w:p w:rsidR="00A069C1" w:rsidRPr="003F0A4E" w:rsidRDefault="00A069C1" w:rsidP="003F0A4E">
                  <w:pPr>
                    <w:spacing w:after="0"/>
                    <w:jc w:val="left"/>
                    <w:rPr>
                      <w:color w:val="000000"/>
                      <w:sz w:val="22"/>
                      <w:szCs w:val="22"/>
                      <w:lang w:eastAsia="es-CO"/>
                    </w:rPr>
                  </w:pPr>
                  <w:r w:rsidRPr="003F0A4E">
                    <w:rPr>
                      <w:color w:val="000000"/>
                      <w:sz w:val="22"/>
                      <w:szCs w:val="22"/>
                      <w:lang w:eastAsia="es-CO"/>
                    </w:rPr>
                    <w:t> </w:t>
                  </w:r>
                </w:p>
              </w:tc>
            </w:tr>
            <w:tr w:rsidR="00A069C1" w:rsidRPr="003F0A4E" w:rsidTr="00D24744">
              <w:trPr>
                <w:trHeight w:val="20"/>
              </w:trPr>
              <w:tc>
                <w:tcPr>
                  <w:tcW w:w="5162" w:type="dxa"/>
                  <w:shd w:val="clear" w:color="auto" w:fill="auto"/>
                  <w:hideMark/>
                </w:tcPr>
                <w:p w:rsidR="00A069C1" w:rsidRPr="003F0A4E" w:rsidRDefault="00A069C1" w:rsidP="003F0A4E">
                  <w:pPr>
                    <w:spacing w:after="0"/>
                    <w:jc w:val="left"/>
                    <w:rPr>
                      <w:color w:val="000000"/>
                      <w:lang w:eastAsia="es-CO"/>
                    </w:rPr>
                  </w:pPr>
                  <w:r w:rsidRPr="003F0A4E">
                    <w:rPr>
                      <w:color w:val="000000"/>
                      <w:lang w:eastAsia="es-CO"/>
                    </w:rPr>
                    <w:t xml:space="preserve">Número de </w:t>
                  </w:r>
                  <w:r>
                    <w:rPr>
                      <w:color w:val="000000"/>
                      <w:lang w:eastAsia="es-CO"/>
                    </w:rPr>
                    <w:t xml:space="preserve">áreas protegidas </w:t>
                  </w:r>
                  <w:r w:rsidRPr="003F0A4E">
                    <w:rPr>
                      <w:color w:val="000000"/>
                      <w:lang w:eastAsia="es-CO"/>
                    </w:rPr>
                    <w:t>con plan de manejo en ejecución</w:t>
                  </w:r>
                </w:p>
              </w:tc>
              <w:tc>
                <w:tcPr>
                  <w:tcW w:w="1351" w:type="dxa"/>
                  <w:shd w:val="clear" w:color="000000" w:fill="FFFF00"/>
                  <w:noWrap/>
                  <w:vAlign w:val="bottom"/>
                  <w:hideMark/>
                </w:tcPr>
                <w:p w:rsidR="00A069C1" w:rsidRPr="003F0A4E" w:rsidRDefault="00A069C1" w:rsidP="003F0A4E">
                  <w:pPr>
                    <w:spacing w:after="0"/>
                    <w:jc w:val="left"/>
                    <w:rPr>
                      <w:color w:val="000000"/>
                      <w:sz w:val="22"/>
                      <w:szCs w:val="22"/>
                      <w:lang w:eastAsia="es-CO"/>
                    </w:rPr>
                  </w:pPr>
                  <w:r w:rsidRPr="003F0A4E">
                    <w:rPr>
                      <w:color w:val="000000"/>
                      <w:sz w:val="22"/>
                      <w:szCs w:val="22"/>
                      <w:lang w:eastAsia="es-CO"/>
                    </w:rPr>
                    <w:t> </w:t>
                  </w:r>
                </w:p>
              </w:tc>
              <w:tc>
                <w:tcPr>
                  <w:tcW w:w="1164" w:type="dxa"/>
                  <w:shd w:val="clear" w:color="000000" w:fill="FFFF00"/>
                  <w:noWrap/>
                  <w:vAlign w:val="bottom"/>
                  <w:hideMark/>
                </w:tcPr>
                <w:p w:rsidR="00A069C1" w:rsidRPr="003F0A4E" w:rsidRDefault="00A069C1" w:rsidP="003F0A4E">
                  <w:pPr>
                    <w:spacing w:after="0"/>
                    <w:jc w:val="left"/>
                    <w:rPr>
                      <w:color w:val="000000"/>
                      <w:sz w:val="22"/>
                      <w:szCs w:val="22"/>
                      <w:lang w:eastAsia="es-CO"/>
                    </w:rPr>
                  </w:pPr>
                  <w:r w:rsidRPr="003F0A4E">
                    <w:rPr>
                      <w:color w:val="000000"/>
                      <w:sz w:val="22"/>
                      <w:szCs w:val="22"/>
                      <w:lang w:eastAsia="es-CO"/>
                    </w:rPr>
                    <w:t> </w:t>
                  </w:r>
                </w:p>
              </w:tc>
              <w:tc>
                <w:tcPr>
                  <w:tcW w:w="699" w:type="dxa"/>
                  <w:shd w:val="clear" w:color="000000" w:fill="FFFF00"/>
                  <w:noWrap/>
                  <w:vAlign w:val="bottom"/>
                  <w:hideMark/>
                </w:tcPr>
                <w:p w:rsidR="00A069C1" w:rsidRPr="003F0A4E" w:rsidRDefault="00A069C1" w:rsidP="003F0A4E">
                  <w:pPr>
                    <w:spacing w:after="0"/>
                    <w:jc w:val="left"/>
                    <w:rPr>
                      <w:color w:val="000000"/>
                      <w:sz w:val="22"/>
                      <w:szCs w:val="22"/>
                      <w:lang w:eastAsia="es-CO"/>
                    </w:rPr>
                  </w:pPr>
                  <w:r w:rsidRPr="003F0A4E">
                    <w:rPr>
                      <w:color w:val="000000"/>
                      <w:sz w:val="22"/>
                      <w:szCs w:val="22"/>
                      <w:lang w:eastAsia="es-CO"/>
                    </w:rPr>
                    <w:t> </w:t>
                  </w:r>
                </w:p>
              </w:tc>
            </w:tr>
            <w:tr w:rsidR="00A069C1" w:rsidRPr="003F0A4E" w:rsidTr="00D24744">
              <w:trPr>
                <w:trHeight w:val="20"/>
              </w:trPr>
              <w:tc>
                <w:tcPr>
                  <w:tcW w:w="5162" w:type="dxa"/>
                  <w:shd w:val="clear" w:color="auto" w:fill="auto"/>
                  <w:hideMark/>
                </w:tcPr>
                <w:p w:rsidR="00A069C1" w:rsidRPr="003F0A4E" w:rsidRDefault="00A069C1" w:rsidP="003F0A4E">
                  <w:pPr>
                    <w:spacing w:after="0"/>
                    <w:jc w:val="left"/>
                    <w:rPr>
                      <w:color w:val="000000"/>
                      <w:lang w:eastAsia="es-CO"/>
                    </w:rPr>
                  </w:pPr>
                  <w:r w:rsidRPr="003F0A4E">
                    <w:rPr>
                      <w:color w:val="000000"/>
                      <w:lang w:eastAsia="es-CO"/>
                    </w:rPr>
                    <w:t xml:space="preserve">Porcentaje de </w:t>
                  </w:r>
                  <w:r>
                    <w:rPr>
                      <w:color w:val="000000"/>
                      <w:lang w:eastAsia="es-CO"/>
                    </w:rPr>
                    <w:t xml:space="preserve">áreas protegidas </w:t>
                  </w:r>
                  <w:r w:rsidRPr="003F0A4E">
                    <w:rPr>
                      <w:color w:val="000000"/>
                      <w:lang w:eastAsia="es-CO"/>
                    </w:rPr>
                    <w:t>con planes de manejo en ejecución</w:t>
                  </w:r>
                </w:p>
              </w:tc>
              <w:tc>
                <w:tcPr>
                  <w:tcW w:w="1351" w:type="dxa"/>
                  <w:shd w:val="clear" w:color="000000" w:fill="C6EFCE"/>
                  <w:noWrap/>
                  <w:vAlign w:val="bottom"/>
                  <w:hideMark/>
                </w:tcPr>
                <w:p w:rsidR="00A069C1" w:rsidRPr="003F0A4E" w:rsidRDefault="00A069C1" w:rsidP="003F0A4E">
                  <w:pPr>
                    <w:spacing w:after="0"/>
                    <w:jc w:val="left"/>
                    <w:rPr>
                      <w:color w:val="006100"/>
                      <w:lang w:eastAsia="es-CO"/>
                    </w:rPr>
                  </w:pPr>
                  <w:r w:rsidRPr="003F0A4E">
                    <w:rPr>
                      <w:color w:val="006100"/>
                      <w:lang w:eastAsia="es-CO"/>
                    </w:rPr>
                    <w:t> </w:t>
                  </w:r>
                </w:p>
              </w:tc>
              <w:tc>
                <w:tcPr>
                  <w:tcW w:w="1164" w:type="dxa"/>
                  <w:shd w:val="clear" w:color="000000" w:fill="C6EFCE"/>
                  <w:noWrap/>
                  <w:vAlign w:val="bottom"/>
                  <w:hideMark/>
                </w:tcPr>
                <w:p w:rsidR="00A069C1" w:rsidRPr="003F0A4E" w:rsidRDefault="00A069C1" w:rsidP="003F0A4E">
                  <w:pPr>
                    <w:spacing w:after="0"/>
                    <w:jc w:val="left"/>
                    <w:rPr>
                      <w:color w:val="006100"/>
                      <w:lang w:eastAsia="es-CO"/>
                    </w:rPr>
                  </w:pPr>
                  <w:r w:rsidRPr="003F0A4E">
                    <w:rPr>
                      <w:color w:val="006100"/>
                      <w:lang w:eastAsia="es-CO"/>
                    </w:rPr>
                    <w:t> </w:t>
                  </w:r>
                </w:p>
              </w:tc>
              <w:tc>
                <w:tcPr>
                  <w:tcW w:w="699" w:type="dxa"/>
                  <w:shd w:val="clear" w:color="000000" w:fill="C6EFCE"/>
                  <w:noWrap/>
                  <w:vAlign w:val="bottom"/>
                  <w:hideMark/>
                </w:tcPr>
                <w:p w:rsidR="00A069C1" w:rsidRPr="003F0A4E" w:rsidRDefault="00A069C1" w:rsidP="003F0A4E">
                  <w:pPr>
                    <w:spacing w:after="0"/>
                    <w:jc w:val="left"/>
                    <w:rPr>
                      <w:color w:val="006100"/>
                      <w:lang w:eastAsia="es-CO"/>
                    </w:rPr>
                  </w:pPr>
                  <w:r w:rsidRPr="003F0A4E">
                    <w:rPr>
                      <w:color w:val="006100"/>
                      <w:lang w:eastAsia="es-CO"/>
                    </w:rPr>
                    <w:t> </w:t>
                  </w:r>
                </w:p>
              </w:tc>
            </w:tr>
          </w:tbl>
          <w:p w:rsidR="00C767E2" w:rsidRPr="00235E8A" w:rsidRDefault="00C767E2" w:rsidP="003F0A4E">
            <w:pPr>
              <w:rPr>
                <w:sz w:val="16"/>
                <w:lang w:eastAsia="ar-SA"/>
              </w:rPr>
            </w:pPr>
          </w:p>
          <w:p w:rsidR="003F0A4E" w:rsidRPr="00A65BFB" w:rsidRDefault="003F0A4E" w:rsidP="00A65BFB">
            <w:pPr>
              <w:spacing w:after="0"/>
              <w:rPr>
                <w:b/>
                <w:lang w:eastAsia="ar-SA"/>
              </w:rPr>
            </w:pPr>
            <w:r w:rsidRPr="00A65BFB">
              <w:rPr>
                <w:b/>
                <w:lang w:eastAsia="ar-SA"/>
              </w:rPr>
              <w:t>Indicador complementario:</w:t>
            </w:r>
          </w:p>
          <w:p w:rsidR="003F0A4E" w:rsidRPr="00A65BFB" w:rsidRDefault="00235E8A" w:rsidP="003F0A4E">
            <w:pPr>
              <w:rPr>
                <w:b/>
                <w:lang w:eastAsia="ar-SA"/>
              </w:rPr>
            </w:pPr>
            <w:r>
              <w:rPr>
                <w:b/>
                <w:lang w:eastAsia="ar-SA"/>
              </w:rPr>
              <w:t>Inversión asociada</w:t>
            </w:r>
            <w:r w:rsidR="003F0A4E" w:rsidRPr="00A65BFB">
              <w:rPr>
                <w:b/>
                <w:lang w:eastAsia="ar-SA"/>
              </w:rPr>
              <w:t xml:space="preserve"> a</w:t>
            </w:r>
            <w:r>
              <w:rPr>
                <w:b/>
                <w:lang w:eastAsia="ar-SA"/>
              </w:rPr>
              <w:t xml:space="preserve"> la ejecución de</w:t>
            </w:r>
            <w:r w:rsidR="003F0A4E" w:rsidRPr="00A65BFB">
              <w:rPr>
                <w:b/>
                <w:lang w:eastAsia="ar-SA"/>
              </w:rPr>
              <w:t xml:space="preserve"> los planes de manejo de </w:t>
            </w:r>
            <w:r w:rsidR="005C2853">
              <w:rPr>
                <w:b/>
                <w:lang w:eastAsia="ar-SA"/>
              </w:rPr>
              <w:t>áreas protegidas</w:t>
            </w:r>
            <w:r w:rsidR="00A069C1">
              <w:rPr>
                <w:b/>
                <w:lang w:eastAsia="ar-SA"/>
              </w:rPr>
              <w:t xml:space="preserve"> </w:t>
            </w:r>
            <w:r w:rsidR="003F0A4E" w:rsidRPr="00A65BFB">
              <w:rPr>
                <w:b/>
                <w:lang w:eastAsia="ar-SA"/>
              </w:rPr>
              <w:t>(Millones de $)</w:t>
            </w:r>
          </w:p>
          <w:p w:rsidR="00C767E2" w:rsidRDefault="003F0A4E" w:rsidP="003F0A4E">
            <w:pPr>
              <w:rPr>
                <w:lang w:eastAsia="ar-SA"/>
              </w:rPr>
            </w:pPr>
            <w:r>
              <w:rPr>
                <w:lang w:eastAsia="ar-SA"/>
              </w:rPr>
              <w:lastRenderedPageBreak/>
              <w:t>(*) Adicione tantas filas cuantas sean necesarias.</w:t>
            </w:r>
          </w:p>
          <w:tbl>
            <w:tblPr>
              <w:tblW w:w="8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2"/>
              <w:gridCol w:w="1330"/>
              <w:gridCol w:w="1014"/>
              <w:gridCol w:w="1309"/>
              <w:gridCol w:w="943"/>
              <w:gridCol w:w="583"/>
              <w:gridCol w:w="1054"/>
              <w:gridCol w:w="1166"/>
              <w:gridCol w:w="847"/>
            </w:tblGrid>
            <w:tr w:rsidR="00D24744" w:rsidRPr="003F0A4E" w:rsidTr="00D24744">
              <w:trPr>
                <w:trHeight w:val="20"/>
              </w:trPr>
              <w:tc>
                <w:tcPr>
                  <w:tcW w:w="243" w:type="dxa"/>
                  <w:shd w:val="clear" w:color="auto" w:fill="auto"/>
                  <w:vAlign w:val="center"/>
                  <w:hideMark/>
                </w:tcPr>
                <w:p w:rsidR="003F0A4E" w:rsidRPr="003F0A4E" w:rsidRDefault="003F0A4E" w:rsidP="002B214A">
                  <w:pPr>
                    <w:spacing w:after="0"/>
                    <w:jc w:val="center"/>
                    <w:rPr>
                      <w:sz w:val="16"/>
                      <w:lang w:eastAsia="ar-SA"/>
                    </w:rPr>
                  </w:pPr>
                  <w:r w:rsidRPr="003F0A4E">
                    <w:rPr>
                      <w:sz w:val="16"/>
                      <w:lang w:eastAsia="ar-SA"/>
                    </w:rPr>
                    <w:t>N</w:t>
                  </w:r>
                </w:p>
              </w:tc>
              <w:tc>
                <w:tcPr>
                  <w:tcW w:w="1349" w:type="dxa"/>
                  <w:shd w:val="clear" w:color="auto" w:fill="auto"/>
                  <w:vAlign w:val="center"/>
                  <w:hideMark/>
                </w:tcPr>
                <w:p w:rsidR="003F0A4E" w:rsidRPr="003F0A4E" w:rsidRDefault="003F0A4E" w:rsidP="002B214A">
                  <w:pPr>
                    <w:spacing w:after="0"/>
                    <w:jc w:val="center"/>
                    <w:rPr>
                      <w:sz w:val="16"/>
                      <w:lang w:eastAsia="ar-SA"/>
                    </w:rPr>
                  </w:pPr>
                  <w:r w:rsidRPr="003F0A4E">
                    <w:rPr>
                      <w:sz w:val="16"/>
                      <w:lang w:eastAsia="ar-SA"/>
                    </w:rPr>
                    <w:t>Nombre de acción / proyecto (*)</w:t>
                  </w:r>
                </w:p>
              </w:tc>
              <w:tc>
                <w:tcPr>
                  <w:tcW w:w="1028" w:type="dxa"/>
                  <w:shd w:val="clear" w:color="auto" w:fill="auto"/>
                  <w:vAlign w:val="center"/>
                  <w:hideMark/>
                </w:tcPr>
                <w:p w:rsidR="003F0A4E" w:rsidRPr="003F0A4E" w:rsidRDefault="00A069C1" w:rsidP="002B214A">
                  <w:pPr>
                    <w:spacing w:after="0"/>
                    <w:jc w:val="center"/>
                    <w:rPr>
                      <w:sz w:val="16"/>
                      <w:lang w:eastAsia="ar-SA"/>
                    </w:rPr>
                  </w:pPr>
                  <w:r>
                    <w:rPr>
                      <w:sz w:val="16"/>
                      <w:lang w:eastAsia="ar-SA"/>
                    </w:rPr>
                    <w:t>Nombre de AP</w:t>
                  </w:r>
                </w:p>
              </w:tc>
              <w:tc>
                <w:tcPr>
                  <w:tcW w:w="1328" w:type="dxa"/>
                  <w:shd w:val="clear" w:color="auto" w:fill="auto"/>
                  <w:vAlign w:val="center"/>
                  <w:hideMark/>
                </w:tcPr>
                <w:p w:rsidR="003F0A4E" w:rsidRPr="003F0A4E" w:rsidRDefault="00D24744" w:rsidP="006039EA">
                  <w:pPr>
                    <w:spacing w:after="0"/>
                    <w:jc w:val="center"/>
                    <w:rPr>
                      <w:sz w:val="16"/>
                      <w:lang w:eastAsia="ar-SA"/>
                    </w:rPr>
                  </w:pPr>
                  <w:r>
                    <w:rPr>
                      <w:sz w:val="16"/>
                      <w:lang w:eastAsia="ar-SA"/>
                    </w:rPr>
                    <w:t>Tipo (c</w:t>
                  </w:r>
                  <w:r w:rsidR="00A069C1" w:rsidRPr="003F0A4E">
                    <w:rPr>
                      <w:sz w:val="16"/>
                      <w:lang w:eastAsia="ar-SA"/>
                    </w:rPr>
                    <w:t>ontinental</w:t>
                  </w:r>
                  <w:r>
                    <w:rPr>
                      <w:sz w:val="16"/>
                      <w:lang w:eastAsia="ar-SA"/>
                    </w:rPr>
                    <w:t xml:space="preserve">, </w:t>
                  </w:r>
                  <w:r w:rsidR="00A069C1" w:rsidRPr="003F0A4E">
                    <w:rPr>
                      <w:sz w:val="16"/>
                      <w:lang w:eastAsia="ar-SA"/>
                    </w:rPr>
                    <w:t>marina</w:t>
                  </w:r>
                  <w:r>
                    <w:rPr>
                      <w:sz w:val="16"/>
                      <w:lang w:eastAsia="ar-SA"/>
                    </w:rPr>
                    <w:t>, costera, insular)</w:t>
                  </w:r>
                </w:p>
              </w:tc>
              <w:tc>
                <w:tcPr>
                  <w:tcW w:w="956" w:type="dxa"/>
                  <w:shd w:val="clear" w:color="auto" w:fill="auto"/>
                  <w:vAlign w:val="center"/>
                  <w:hideMark/>
                </w:tcPr>
                <w:p w:rsidR="003F0A4E" w:rsidRPr="003F0A4E" w:rsidRDefault="00A069C1" w:rsidP="002B214A">
                  <w:pPr>
                    <w:spacing w:after="0"/>
                    <w:jc w:val="center"/>
                    <w:rPr>
                      <w:sz w:val="16"/>
                      <w:lang w:eastAsia="ar-SA"/>
                    </w:rPr>
                  </w:pPr>
                  <w:r>
                    <w:rPr>
                      <w:sz w:val="16"/>
                      <w:lang w:eastAsia="ar-SA"/>
                    </w:rPr>
                    <w:t>Categoría de AP</w:t>
                  </w:r>
                </w:p>
              </w:tc>
              <w:tc>
                <w:tcPr>
                  <w:tcW w:w="590" w:type="dxa"/>
                  <w:shd w:val="clear" w:color="auto" w:fill="auto"/>
                  <w:vAlign w:val="center"/>
                  <w:hideMark/>
                </w:tcPr>
                <w:p w:rsidR="003F0A4E" w:rsidRDefault="003F0A4E" w:rsidP="002B214A">
                  <w:pPr>
                    <w:spacing w:after="0"/>
                    <w:jc w:val="center"/>
                    <w:rPr>
                      <w:sz w:val="16"/>
                      <w:lang w:eastAsia="ar-SA"/>
                    </w:rPr>
                  </w:pPr>
                  <w:proofErr w:type="spellStart"/>
                  <w:r>
                    <w:rPr>
                      <w:sz w:val="16"/>
                      <w:lang w:eastAsia="ar-SA"/>
                    </w:rPr>
                    <w:t>Ppto</w:t>
                  </w:r>
                  <w:proofErr w:type="spellEnd"/>
                  <w:r>
                    <w:rPr>
                      <w:sz w:val="16"/>
                      <w:lang w:eastAsia="ar-SA"/>
                    </w:rPr>
                    <w:t>.</w:t>
                  </w:r>
                </w:p>
                <w:p w:rsidR="003F0A4E" w:rsidRPr="003F0A4E" w:rsidRDefault="003F0A4E" w:rsidP="002B214A">
                  <w:pPr>
                    <w:spacing w:after="0"/>
                    <w:jc w:val="center"/>
                    <w:rPr>
                      <w:sz w:val="16"/>
                      <w:lang w:eastAsia="ar-SA"/>
                    </w:rPr>
                  </w:pPr>
                  <w:r>
                    <w:rPr>
                      <w:sz w:val="16"/>
                      <w:lang w:eastAsia="ar-SA"/>
                    </w:rPr>
                    <w:t>I</w:t>
                  </w:r>
                  <w:r w:rsidRPr="003F0A4E">
                    <w:rPr>
                      <w:sz w:val="16"/>
                      <w:lang w:eastAsia="ar-SA"/>
                    </w:rPr>
                    <w:t>nicial</w:t>
                  </w:r>
                </w:p>
              </w:tc>
              <w:tc>
                <w:tcPr>
                  <w:tcW w:w="1069" w:type="dxa"/>
                  <w:shd w:val="clear" w:color="auto" w:fill="auto"/>
                  <w:vAlign w:val="center"/>
                  <w:hideMark/>
                </w:tcPr>
                <w:p w:rsidR="003F0A4E" w:rsidRDefault="003F0A4E" w:rsidP="002B214A">
                  <w:pPr>
                    <w:spacing w:after="0"/>
                    <w:jc w:val="center"/>
                    <w:rPr>
                      <w:sz w:val="16"/>
                      <w:lang w:eastAsia="ar-SA"/>
                    </w:rPr>
                  </w:pPr>
                  <w:r>
                    <w:rPr>
                      <w:sz w:val="16"/>
                      <w:lang w:eastAsia="ar-SA"/>
                    </w:rPr>
                    <w:t>Presupuesto</w:t>
                  </w:r>
                </w:p>
                <w:p w:rsidR="003F0A4E" w:rsidRPr="003F0A4E" w:rsidRDefault="003F0A4E" w:rsidP="002B214A">
                  <w:pPr>
                    <w:spacing w:after="0"/>
                    <w:jc w:val="center"/>
                    <w:rPr>
                      <w:sz w:val="16"/>
                      <w:lang w:eastAsia="ar-SA"/>
                    </w:rPr>
                  </w:pPr>
                  <w:r>
                    <w:rPr>
                      <w:sz w:val="16"/>
                      <w:lang w:eastAsia="ar-SA"/>
                    </w:rPr>
                    <w:t>Definitivo</w:t>
                  </w:r>
                </w:p>
              </w:tc>
              <w:tc>
                <w:tcPr>
                  <w:tcW w:w="1182" w:type="dxa"/>
                  <w:shd w:val="clear" w:color="auto" w:fill="auto"/>
                  <w:vAlign w:val="center"/>
                  <w:hideMark/>
                </w:tcPr>
                <w:p w:rsidR="003F0A4E" w:rsidRPr="003F0A4E" w:rsidRDefault="003F0A4E" w:rsidP="002B214A">
                  <w:pPr>
                    <w:spacing w:after="0"/>
                    <w:jc w:val="center"/>
                    <w:rPr>
                      <w:sz w:val="16"/>
                      <w:lang w:eastAsia="ar-SA"/>
                    </w:rPr>
                  </w:pPr>
                  <w:r w:rsidRPr="003F0A4E">
                    <w:rPr>
                      <w:sz w:val="16"/>
                      <w:lang w:eastAsia="ar-SA"/>
                    </w:rPr>
                    <w:t>Compromisos</w:t>
                  </w:r>
                </w:p>
              </w:tc>
              <w:tc>
                <w:tcPr>
                  <w:tcW w:w="858" w:type="dxa"/>
                  <w:shd w:val="clear" w:color="auto" w:fill="auto"/>
                  <w:vAlign w:val="center"/>
                  <w:hideMark/>
                </w:tcPr>
                <w:p w:rsidR="003F0A4E" w:rsidRPr="003F0A4E" w:rsidRDefault="003F0A4E" w:rsidP="002B214A">
                  <w:pPr>
                    <w:spacing w:after="0"/>
                    <w:jc w:val="center"/>
                    <w:rPr>
                      <w:sz w:val="16"/>
                      <w:lang w:eastAsia="ar-SA"/>
                    </w:rPr>
                  </w:pPr>
                  <w:r w:rsidRPr="003F0A4E">
                    <w:rPr>
                      <w:sz w:val="16"/>
                      <w:lang w:eastAsia="ar-SA"/>
                    </w:rPr>
                    <w:t>Pagos</w:t>
                  </w:r>
                </w:p>
              </w:tc>
            </w:tr>
            <w:tr w:rsidR="00D24744" w:rsidRPr="003F0A4E" w:rsidTr="00D24744">
              <w:trPr>
                <w:trHeight w:val="20"/>
              </w:trPr>
              <w:tc>
                <w:tcPr>
                  <w:tcW w:w="243" w:type="dxa"/>
                  <w:shd w:val="clear" w:color="auto" w:fill="auto"/>
                  <w:noWrap/>
                  <w:vAlign w:val="bottom"/>
                </w:tcPr>
                <w:p w:rsidR="003F0A4E" w:rsidRPr="003F0A4E" w:rsidRDefault="003F0A4E" w:rsidP="003F0A4E">
                  <w:pPr>
                    <w:spacing w:after="0"/>
                    <w:jc w:val="right"/>
                    <w:rPr>
                      <w:color w:val="000000"/>
                      <w:sz w:val="22"/>
                      <w:szCs w:val="22"/>
                      <w:lang w:eastAsia="es-CO"/>
                    </w:rPr>
                  </w:pPr>
                </w:p>
              </w:tc>
              <w:tc>
                <w:tcPr>
                  <w:tcW w:w="1349" w:type="dxa"/>
                  <w:shd w:val="clear" w:color="000000" w:fill="FFFF00"/>
                </w:tcPr>
                <w:p w:rsidR="003F0A4E" w:rsidRPr="003F0A4E" w:rsidRDefault="003F0A4E" w:rsidP="003F0A4E">
                  <w:pPr>
                    <w:spacing w:after="0"/>
                    <w:jc w:val="left"/>
                    <w:rPr>
                      <w:color w:val="000000"/>
                      <w:lang w:eastAsia="es-CO"/>
                    </w:rPr>
                  </w:pPr>
                </w:p>
              </w:tc>
              <w:tc>
                <w:tcPr>
                  <w:tcW w:w="1028" w:type="dxa"/>
                  <w:shd w:val="clear" w:color="000000" w:fill="FFFF00"/>
                </w:tcPr>
                <w:p w:rsidR="003F0A4E" w:rsidRPr="003F0A4E" w:rsidRDefault="003F0A4E" w:rsidP="003F0A4E">
                  <w:pPr>
                    <w:spacing w:after="0"/>
                    <w:jc w:val="left"/>
                    <w:rPr>
                      <w:color w:val="000000"/>
                      <w:lang w:eastAsia="es-CO"/>
                    </w:rPr>
                  </w:pPr>
                </w:p>
              </w:tc>
              <w:tc>
                <w:tcPr>
                  <w:tcW w:w="1328" w:type="dxa"/>
                  <w:shd w:val="clear" w:color="000000" w:fill="FFFF00"/>
                </w:tcPr>
                <w:p w:rsidR="003F0A4E" w:rsidRPr="003F0A4E" w:rsidRDefault="003F0A4E" w:rsidP="003F0A4E">
                  <w:pPr>
                    <w:spacing w:after="0"/>
                    <w:jc w:val="left"/>
                    <w:rPr>
                      <w:color w:val="000000"/>
                      <w:lang w:eastAsia="es-CO"/>
                    </w:rPr>
                  </w:pPr>
                </w:p>
              </w:tc>
              <w:tc>
                <w:tcPr>
                  <w:tcW w:w="956" w:type="dxa"/>
                  <w:shd w:val="clear" w:color="000000" w:fill="FFFF00"/>
                  <w:noWrap/>
                  <w:vAlign w:val="bottom"/>
                </w:tcPr>
                <w:p w:rsidR="003F0A4E" w:rsidRPr="003F0A4E" w:rsidRDefault="003F0A4E" w:rsidP="003F0A4E">
                  <w:pPr>
                    <w:spacing w:after="0"/>
                    <w:jc w:val="left"/>
                    <w:rPr>
                      <w:color w:val="000000"/>
                      <w:lang w:eastAsia="es-CO"/>
                    </w:rPr>
                  </w:pPr>
                </w:p>
              </w:tc>
              <w:tc>
                <w:tcPr>
                  <w:tcW w:w="590" w:type="dxa"/>
                  <w:shd w:val="clear" w:color="000000" w:fill="FFFF00"/>
                  <w:noWrap/>
                </w:tcPr>
                <w:p w:rsidR="003F0A4E" w:rsidRPr="003F0A4E" w:rsidRDefault="003F0A4E" w:rsidP="003F0A4E">
                  <w:pPr>
                    <w:spacing w:after="0"/>
                    <w:jc w:val="right"/>
                    <w:rPr>
                      <w:color w:val="000000"/>
                      <w:lang w:eastAsia="es-CO"/>
                    </w:rPr>
                  </w:pPr>
                </w:p>
              </w:tc>
              <w:tc>
                <w:tcPr>
                  <w:tcW w:w="1069" w:type="dxa"/>
                  <w:shd w:val="clear" w:color="000000" w:fill="FFFF00"/>
                  <w:noWrap/>
                </w:tcPr>
                <w:p w:rsidR="003F0A4E" w:rsidRPr="003F0A4E" w:rsidRDefault="003F0A4E" w:rsidP="003F0A4E">
                  <w:pPr>
                    <w:spacing w:after="0"/>
                    <w:jc w:val="right"/>
                    <w:rPr>
                      <w:color w:val="000000"/>
                      <w:lang w:eastAsia="es-CO"/>
                    </w:rPr>
                  </w:pPr>
                </w:p>
              </w:tc>
              <w:tc>
                <w:tcPr>
                  <w:tcW w:w="1182" w:type="dxa"/>
                  <w:shd w:val="clear" w:color="000000" w:fill="FFFF00"/>
                  <w:noWrap/>
                </w:tcPr>
                <w:p w:rsidR="003F0A4E" w:rsidRPr="003F0A4E" w:rsidRDefault="003F0A4E" w:rsidP="003F0A4E">
                  <w:pPr>
                    <w:spacing w:after="0"/>
                    <w:jc w:val="right"/>
                    <w:rPr>
                      <w:color w:val="000000"/>
                      <w:lang w:eastAsia="es-CO"/>
                    </w:rPr>
                  </w:pPr>
                </w:p>
              </w:tc>
              <w:tc>
                <w:tcPr>
                  <w:tcW w:w="858" w:type="dxa"/>
                  <w:shd w:val="clear" w:color="000000" w:fill="FFFF00"/>
                  <w:noWrap/>
                </w:tcPr>
                <w:p w:rsidR="003F0A4E" w:rsidRPr="003F0A4E" w:rsidRDefault="003F0A4E" w:rsidP="003F0A4E">
                  <w:pPr>
                    <w:spacing w:after="0"/>
                    <w:jc w:val="right"/>
                    <w:rPr>
                      <w:color w:val="000000"/>
                      <w:lang w:eastAsia="es-CO"/>
                    </w:rPr>
                  </w:pPr>
                </w:p>
              </w:tc>
            </w:tr>
            <w:tr w:rsidR="00D24744" w:rsidRPr="003F0A4E" w:rsidTr="00D24744">
              <w:trPr>
                <w:trHeight w:val="20"/>
              </w:trPr>
              <w:tc>
                <w:tcPr>
                  <w:tcW w:w="243" w:type="dxa"/>
                  <w:shd w:val="clear" w:color="auto" w:fill="auto"/>
                  <w:noWrap/>
                  <w:vAlign w:val="bottom"/>
                </w:tcPr>
                <w:p w:rsidR="003F0A4E" w:rsidRPr="003F0A4E" w:rsidRDefault="003F0A4E" w:rsidP="003F0A4E">
                  <w:pPr>
                    <w:spacing w:after="0"/>
                    <w:jc w:val="right"/>
                    <w:rPr>
                      <w:color w:val="000000"/>
                      <w:sz w:val="22"/>
                      <w:szCs w:val="22"/>
                      <w:lang w:eastAsia="es-CO"/>
                    </w:rPr>
                  </w:pPr>
                </w:p>
              </w:tc>
              <w:tc>
                <w:tcPr>
                  <w:tcW w:w="1349" w:type="dxa"/>
                  <w:shd w:val="clear" w:color="000000" w:fill="FFFF00"/>
                </w:tcPr>
                <w:p w:rsidR="003F0A4E" w:rsidRPr="003F0A4E" w:rsidRDefault="003F0A4E" w:rsidP="003F0A4E">
                  <w:pPr>
                    <w:spacing w:after="0"/>
                    <w:jc w:val="left"/>
                    <w:rPr>
                      <w:color w:val="000000"/>
                      <w:lang w:eastAsia="es-CO"/>
                    </w:rPr>
                  </w:pPr>
                </w:p>
              </w:tc>
              <w:tc>
                <w:tcPr>
                  <w:tcW w:w="1028" w:type="dxa"/>
                  <w:shd w:val="clear" w:color="000000" w:fill="FFFF00"/>
                </w:tcPr>
                <w:p w:rsidR="003F0A4E" w:rsidRPr="003F0A4E" w:rsidRDefault="003F0A4E" w:rsidP="003F0A4E">
                  <w:pPr>
                    <w:spacing w:after="0"/>
                    <w:jc w:val="left"/>
                    <w:rPr>
                      <w:color w:val="000000"/>
                      <w:lang w:eastAsia="es-CO"/>
                    </w:rPr>
                  </w:pPr>
                </w:p>
              </w:tc>
              <w:tc>
                <w:tcPr>
                  <w:tcW w:w="1328" w:type="dxa"/>
                  <w:shd w:val="clear" w:color="000000" w:fill="FFFF00"/>
                </w:tcPr>
                <w:p w:rsidR="003F0A4E" w:rsidRPr="003F0A4E" w:rsidRDefault="003F0A4E" w:rsidP="003F0A4E">
                  <w:pPr>
                    <w:spacing w:after="0"/>
                    <w:jc w:val="left"/>
                    <w:rPr>
                      <w:color w:val="000000"/>
                      <w:lang w:eastAsia="es-CO"/>
                    </w:rPr>
                  </w:pPr>
                </w:p>
              </w:tc>
              <w:tc>
                <w:tcPr>
                  <w:tcW w:w="956" w:type="dxa"/>
                  <w:shd w:val="clear" w:color="000000" w:fill="FFFF00"/>
                  <w:noWrap/>
                  <w:vAlign w:val="bottom"/>
                </w:tcPr>
                <w:p w:rsidR="003F0A4E" w:rsidRPr="003F0A4E" w:rsidRDefault="003F0A4E" w:rsidP="003F0A4E">
                  <w:pPr>
                    <w:spacing w:after="0"/>
                    <w:jc w:val="left"/>
                    <w:rPr>
                      <w:color w:val="000000"/>
                      <w:lang w:eastAsia="es-CO"/>
                    </w:rPr>
                  </w:pPr>
                </w:p>
              </w:tc>
              <w:tc>
                <w:tcPr>
                  <w:tcW w:w="590" w:type="dxa"/>
                  <w:shd w:val="clear" w:color="000000" w:fill="FFFF00"/>
                  <w:noWrap/>
                </w:tcPr>
                <w:p w:rsidR="003F0A4E" w:rsidRPr="003F0A4E" w:rsidRDefault="003F0A4E" w:rsidP="003F0A4E">
                  <w:pPr>
                    <w:spacing w:after="0"/>
                    <w:jc w:val="right"/>
                    <w:rPr>
                      <w:color w:val="000000"/>
                      <w:lang w:eastAsia="es-CO"/>
                    </w:rPr>
                  </w:pPr>
                </w:p>
              </w:tc>
              <w:tc>
                <w:tcPr>
                  <w:tcW w:w="1069" w:type="dxa"/>
                  <w:shd w:val="clear" w:color="000000" w:fill="FFFF00"/>
                  <w:noWrap/>
                </w:tcPr>
                <w:p w:rsidR="003F0A4E" w:rsidRPr="003F0A4E" w:rsidRDefault="003F0A4E" w:rsidP="003F0A4E">
                  <w:pPr>
                    <w:spacing w:after="0"/>
                    <w:jc w:val="right"/>
                    <w:rPr>
                      <w:color w:val="000000"/>
                      <w:lang w:eastAsia="es-CO"/>
                    </w:rPr>
                  </w:pPr>
                </w:p>
              </w:tc>
              <w:tc>
                <w:tcPr>
                  <w:tcW w:w="1182" w:type="dxa"/>
                  <w:shd w:val="clear" w:color="000000" w:fill="FFFF00"/>
                  <w:noWrap/>
                </w:tcPr>
                <w:p w:rsidR="003F0A4E" w:rsidRPr="003F0A4E" w:rsidRDefault="003F0A4E" w:rsidP="003F0A4E">
                  <w:pPr>
                    <w:spacing w:after="0"/>
                    <w:jc w:val="right"/>
                    <w:rPr>
                      <w:color w:val="000000"/>
                      <w:lang w:eastAsia="es-CO"/>
                    </w:rPr>
                  </w:pPr>
                </w:p>
              </w:tc>
              <w:tc>
                <w:tcPr>
                  <w:tcW w:w="858" w:type="dxa"/>
                  <w:shd w:val="clear" w:color="000000" w:fill="FFFF00"/>
                  <w:noWrap/>
                </w:tcPr>
                <w:p w:rsidR="003F0A4E" w:rsidRPr="003F0A4E" w:rsidRDefault="003F0A4E" w:rsidP="003F0A4E">
                  <w:pPr>
                    <w:spacing w:after="0"/>
                    <w:jc w:val="right"/>
                    <w:rPr>
                      <w:color w:val="000000"/>
                      <w:lang w:eastAsia="es-CO"/>
                    </w:rPr>
                  </w:pPr>
                </w:p>
              </w:tc>
            </w:tr>
            <w:tr w:rsidR="00D24744" w:rsidRPr="003F0A4E" w:rsidTr="00D24744">
              <w:trPr>
                <w:trHeight w:val="20"/>
              </w:trPr>
              <w:tc>
                <w:tcPr>
                  <w:tcW w:w="243" w:type="dxa"/>
                  <w:shd w:val="clear" w:color="auto" w:fill="auto"/>
                  <w:noWrap/>
                  <w:vAlign w:val="bottom"/>
                </w:tcPr>
                <w:p w:rsidR="003F0A4E" w:rsidRPr="003F0A4E" w:rsidRDefault="003F0A4E" w:rsidP="003F0A4E">
                  <w:pPr>
                    <w:spacing w:after="0"/>
                    <w:jc w:val="right"/>
                    <w:rPr>
                      <w:color w:val="000000"/>
                      <w:sz w:val="22"/>
                      <w:szCs w:val="22"/>
                      <w:lang w:eastAsia="es-CO"/>
                    </w:rPr>
                  </w:pPr>
                </w:p>
              </w:tc>
              <w:tc>
                <w:tcPr>
                  <w:tcW w:w="1349" w:type="dxa"/>
                  <w:shd w:val="clear" w:color="000000" w:fill="FFFF00"/>
                </w:tcPr>
                <w:p w:rsidR="003F0A4E" w:rsidRPr="003F0A4E" w:rsidRDefault="003F0A4E" w:rsidP="003F0A4E">
                  <w:pPr>
                    <w:spacing w:after="0"/>
                    <w:jc w:val="left"/>
                    <w:rPr>
                      <w:color w:val="000000"/>
                      <w:lang w:eastAsia="es-CO"/>
                    </w:rPr>
                  </w:pPr>
                </w:p>
              </w:tc>
              <w:tc>
                <w:tcPr>
                  <w:tcW w:w="1028" w:type="dxa"/>
                  <w:shd w:val="clear" w:color="000000" w:fill="FFFF00"/>
                </w:tcPr>
                <w:p w:rsidR="003F0A4E" w:rsidRPr="003F0A4E" w:rsidRDefault="003F0A4E" w:rsidP="003F0A4E">
                  <w:pPr>
                    <w:spacing w:after="0"/>
                    <w:jc w:val="left"/>
                    <w:rPr>
                      <w:color w:val="000000"/>
                      <w:lang w:eastAsia="es-CO"/>
                    </w:rPr>
                  </w:pPr>
                </w:p>
              </w:tc>
              <w:tc>
                <w:tcPr>
                  <w:tcW w:w="1328" w:type="dxa"/>
                  <w:shd w:val="clear" w:color="000000" w:fill="FFFF00"/>
                </w:tcPr>
                <w:p w:rsidR="003F0A4E" w:rsidRPr="003F0A4E" w:rsidRDefault="003F0A4E" w:rsidP="003F0A4E">
                  <w:pPr>
                    <w:spacing w:after="0"/>
                    <w:jc w:val="left"/>
                    <w:rPr>
                      <w:color w:val="000000"/>
                      <w:lang w:eastAsia="es-CO"/>
                    </w:rPr>
                  </w:pPr>
                </w:p>
              </w:tc>
              <w:tc>
                <w:tcPr>
                  <w:tcW w:w="956" w:type="dxa"/>
                  <w:shd w:val="clear" w:color="000000" w:fill="FFFF00"/>
                  <w:noWrap/>
                  <w:vAlign w:val="bottom"/>
                </w:tcPr>
                <w:p w:rsidR="003F0A4E" w:rsidRPr="003F0A4E" w:rsidRDefault="003F0A4E" w:rsidP="003F0A4E">
                  <w:pPr>
                    <w:spacing w:after="0"/>
                    <w:jc w:val="left"/>
                    <w:rPr>
                      <w:color w:val="000000"/>
                      <w:lang w:eastAsia="es-CO"/>
                    </w:rPr>
                  </w:pPr>
                </w:p>
              </w:tc>
              <w:tc>
                <w:tcPr>
                  <w:tcW w:w="590" w:type="dxa"/>
                  <w:shd w:val="clear" w:color="000000" w:fill="FFFF00"/>
                  <w:noWrap/>
                </w:tcPr>
                <w:p w:rsidR="003F0A4E" w:rsidRPr="003F0A4E" w:rsidRDefault="003F0A4E" w:rsidP="003F0A4E">
                  <w:pPr>
                    <w:spacing w:after="0"/>
                    <w:jc w:val="right"/>
                    <w:rPr>
                      <w:color w:val="000000"/>
                      <w:lang w:eastAsia="es-CO"/>
                    </w:rPr>
                  </w:pPr>
                </w:p>
              </w:tc>
              <w:tc>
                <w:tcPr>
                  <w:tcW w:w="1069" w:type="dxa"/>
                  <w:shd w:val="clear" w:color="000000" w:fill="FFFF00"/>
                  <w:noWrap/>
                </w:tcPr>
                <w:p w:rsidR="003F0A4E" w:rsidRPr="003F0A4E" w:rsidRDefault="003F0A4E" w:rsidP="003F0A4E">
                  <w:pPr>
                    <w:spacing w:after="0"/>
                    <w:jc w:val="right"/>
                    <w:rPr>
                      <w:color w:val="000000"/>
                      <w:lang w:eastAsia="es-CO"/>
                    </w:rPr>
                  </w:pPr>
                </w:p>
              </w:tc>
              <w:tc>
                <w:tcPr>
                  <w:tcW w:w="1182" w:type="dxa"/>
                  <w:shd w:val="clear" w:color="000000" w:fill="FFFF00"/>
                  <w:noWrap/>
                </w:tcPr>
                <w:p w:rsidR="003F0A4E" w:rsidRPr="003F0A4E" w:rsidRDefault="003F0A4E" w:rsidP="003F0A4E">
                  <w:pPr>
                    <w:spacing w:after="0"/>
                    <w:jc w:val="right"/>
                    <w:rPr>
                      <w:color w:val="000000"/>
                      <w:lang w:eastAsia="es-CO"/>
                    </w:rPr>
                  </w:pPr>
                </w:p>
              </w:tc>
              <w:tc>
                <w:tcPr>
                  <w:tcW w:w="858" w:type="dxa"/>
                  <w:shd w:val="clear" w:color="000000" w:fill="FFFF00"/>
                  <w:noWrap/>
                </w:tcPr>
                <w:p w:rsidR="003F0A4E" w:rsidRPr="003F0A4E" w:rsidRDefault="003F0A4E" w:rsidP="003F0A4E">
                  <w:pPr>
                    <w:spacing w:after="0"/>
                    <w:jc w:val="right"/>
                    <w:rPr>
                      <w:color w:val="000000"/>
                      <w:lang w:eastAsia="es-CO"/>
                    </w:rPr>
                  </w:pPr>
                </w:p>
              </w:tc>
            </w:tr>
            <w:tr w:rsidR="00D24744" w:rsidRPr="003F0A4E" w:rsidTr="00D24744">
              <w:trPr>
                <w:trHeight w:val="20"/>
              </w:trPr>
              <w:tc>
                <w:tcPr>
                  <w:tcW w:w="243" w:type="dxa"/>
                  <w:shd w:val="clear" w:color="auto" w:fill="auto"/>
                  <w:noWrap/>
                  <w:vAlign w:val="bottom"/>
                </w:tcPr>
                <w:p w:rsidR="003F0A4E" w:rsidRPr="003F0A4E" w:rsidRDefault="003F0A4E" w:rsidP="003F0A4E">
                  <w:pPr>
                    <w:spacing w:after="0"/>
                    <w:jc w:val="right"/>
                    <w:rPr>
                      <w:color w:val="000000"/>
                      <w:sz w:val="22"/>
                      <w:szCs w:val="22"/>
                      <w:lang w:eastAsia="es-CO"/>
                    </w:rPr>
                  </w:pPr>
                </w:p>
              </w:tc>
              <w:tc>
                <w:tcPr>
                  <w:tcW w:w="1349" w:type="dxa"/>
                  <w:shd w:val="clear" w:color="000000" w:fill="FFFF00"/>
                </w:tcPr>
                <w:p w:rsidR="003F0A4E" w:rsidRPr="003F0A4E" w:rsidRDefault="003F0A4E" w:rsidP="003F0A4E">
                  <w:pPr>
                    <w:spacing w:after="0"/>
                    <w:jc w:val="left"/>
                    <w:rPr>
                      <w:color w:val="000000"/>
                      <w:lang w:eastAsia="es-CO"/>
                    </w:rPr>
                  </w:pPr>
                </w:p>
              </w:tc>
              <w:tc>
                <w:tcPr>
                  <w:tcW w:w="1028" w:type="dxa"/>
                  <w:shd w:val="clear" w:color="000000" w:fill="FFFF00"/>
                </w:tcPr>
                <w:p w:rsidR="003F0A4E" w:rsidRPr="003F0A4E" w:rsidRDefault="003F0A4E" w:rsidP="003F0A4E">
                  <w:pPr>
                    <w:spacing w:after="0"/>
                    <w:jc w:val="left"/>
                    <w:rPr>
                      <w:color w:val="000000"/>
                      <w:lang w:eastAsia="es-CO"/>
                    </w:rPr>
                  </w:pPr>
                </w:p>
              </w:tc>
              <w:tc>
                <w:tcPr>
                  <w:tcW w:w="1328" w:type="dxa"/>
                  <w:shd w:val="clear" w:color="000000" w:fill="FFFF00"/>
                </w:tcPr>
                <w:p w:rsidR="003F0A4E" w:rsidRPr="003F0A4E" w:rsidRDefault="003F0A4E" w:rsidP="003F0A4E">
                  <w:pPr>
                    <w:spacing w:after="0"/>
                    <w:jc w:val="left"/>
                    <w:rPr>
                      <w:color w:val="000000"/>
                      <w:lang w:eastAsia="es-CO"/>
                    </w:rPr>
                  </w:pPr>
                </w:p>
              </w:tc>
              <w:tc>
                <w:tcPr>
                  <w:tcW w:w="956" w:type="dxa"/>
                  <w:shd w:val="clear" w:color="000000" w:fill="FFFF00"/>
                  <w:noWrap/>
                  <w:vAlign w:val="bottom"/>
                </w:tcPr>
                <w:p w:rsidR="003F0A4E" w:rsidRPr="003F0A4E" w:rsidRDefault="003F0A4E" w:rsidP="003F0A4E">
                  <w:pPr>
                    <w:spacing w:after="0"/>
                    <w:jc w:val="left"/>
                    <w:rPr>
                      <w:color w:val="000000"/>
                      <w:lang w:eastAsia="es-CO"/>
                    </w:rPr>
                  </w:pPr>
                </w:p>
              </w:tc>
              <w:tc>
                <w:tcPr>
                  <w:tcW w:w="590" w:type="dxa"/>
                  <w:shd w:val="clear" w:color="000000" w:fill="FFFF00"/>
                  <w:noWrap/>
                </w:tcPr>
                <w:p w:rsidR="003F0A4E" w:rsidRPr="003F0A4E" w:rsidRDefault="003F0A4E" w:rsidP="003F0A4E">
                  <w:pPr>
                    <w:spacing w:after="0"/>
                    <w:jc w:val="right"/>
                    <w:rPr>
                      <w:color w:val="000000"/>
                      <w:lang w:eastAsia="es-CO"/>
                    </w:rPr>
                  </w:pPr>
                </w:p>
              </w:tc>
              <w:tc>
                <w:tcPr>
                  <w:tcW w:w="1069" w:type="dxa"/>
                  <w:shd w:val="clear" w:color="000000" w:fill="FFFF00"/>
                  <w:noWrap/>
                </w:tcPr>
                <w:p w:rsidR="003F0A4E" w:rsidRPr="003F0A4E" w:rsidRDefault="003F0A4E" w:rsidP="003F0A4E">
                  <w:pPr>
                    <w:spacing w:after="0"/>
                    <w:jc w:val="right"/>
                    <w:rPr>
                      <w:color w:val="000000"/>
                      <w:lang w:eastAsia="es-CO"/>
                    </w:rPr>
                  </w:pPr>
                </w:p>
              </w:tc>
              <w:tc>
                <w:tcPr>
                  <w:tcW w:w="1182" w:type="dxa"/>
                  <w:shd w:val="clear" w:color="000000" w:fill="FFFF00"/>
                  <w:noWrap/>
                </w:tcPr>
                <w:p w:rsidR="003F0A4E" w:rsidRPr="003F0A4E" w:rsidRDefault="003F0A4E" w:rsidP="003F0A4E">
                  <w:pPr>
                    <w:spacing w:after="0"/>
                    <w:jc w:val="right"/>
                    <w:rPr>
                      <w:color w:val="000000"/>
                      <w:lang w:eastAsia="es-CO"/>
                    </w:rPr>
                  </w:pPr>
                </w:p>
              </w:tc>
              <w:tc>
                <w:tcPr>
                  <w:tcW w:w="858" w:type="dxa"/>
                  <w:shd w:val="clear" w:color="000000" w:fill="FFFF00"/>
                  <w:noWrap/>
                </w:tcPr>
                <w:p w:rsidR="003F0A4E" w:rsidRPr="003F0A4E" w:rsidRDefault="003F0A4E" w:rsidP="003F0A4E">
                  <w:pPr>
                    <w:spacing w:after="0"/>
                    <w:jc w:val="right"/>
                    <w:rPr>
                      <w:color w:val="000000"/>
                      <w:lang w:eastAsia="es-CO"/>
                    </w:rPr>
                  </w:pPr>
                </w:p>
              </w:tc>
            </w:tr>
            <w:tr w:rsidR="00D24744" w:rsidRPr="003F0A4E" w:rsidTr="00D24744">
              <w:trPr>
                <w:trHeight w:val="20"/>
              </w:trPr>
              <w:tc>
                <w:tcPr>
                  <w:tcW w:w="243" w:type="dxa"/>
                  <w:shd w:val="clear" w:color="auto" w:fill="auto"/>
                  <w:noWrap/>
                  <w:vAlign w:val="bottom"/>
                </w:tcPr>
                <w:p w:rsidR="003F0A4E" w:rsidRPr="003F0A4E" w:rsidRDefault="003F0A4E" w:rsidP="003F0A4E">
                  <w:pPr>
                    <w:spacing w:after="0"/>
                    <w:jc w:val="right"/>
                    <w:rPr>
                      <w:color w:val="000000"/>
                      <w:sz w:val="22"/>
                      <w:szCs w:val="22"/>
                      <w:lang w:eastAsia="es-CO"/>
                    </w:rPr>
                  </w:pPr>
                </w:p>
              </w:tc>
              <w:tc>
                <w:tcPr>
                  <w:tcW w:w="1349" w:type="dxa"/>
                  <w:shd w:val="clear" w:color="000000" w:fill="FFFF00"/>
                </w:tcPr>
                <w:p w:rsidR="003F0A4E" w:rsidRPr="003F0A4E" w:rsidRDefault="003F0A4E" w:rsidP="003F0A4E">
                  <w:pPr>
                    <w:spacing w:after="0"/>
                    <w:jc w:val="left"/>
                    <w:rPr>
                      <w:color w:val="000000"/>
                      <w:lang w:eastAsia="es-CO"/>
                    </w:rPr>
                  </w:pPr>
                </w:p>
              </w:tc>
              <w:tc>
                <w:tcPr>
                  <w:tcW w:w="1028" w:type="dxa"/>
                  <w:shd w:val="clear" w:color="000000" w:fill="FFFF00"/>
                </w:tcPr>
                <w:p w:rsidR="003F0A4E" w:rsidRPr="003F0A4E" w:rsidRDefault="003F0A4E" w:rsidP="003F0A4E">
                  <w:pPr>
                    <w:spacing w:after="0"/>
                    <w:jc w:val="left"/>
                    <w:rPr>
                      <w:color w:val="000000"/>
                      <w:lang w:eastAsia="es-CO"/>
                    </w:rPr>
                  </w:pPr>
                </w:p>
              </w:tc>
              <w:tc>
                <w:tcPr>
                  <w:tcW w:w="1328" w:type="dxa"/>
                  <w:shd w:val="clear" w:color="000000" w:fill="FFFF00"/>
                </w:tcPr>
                <w:p w:rsidR="003F0A4E" w:rsidRPr="003F0A4E" w:rsidRDefault="003F0A4E" w:rsidP="003F0A4E">
                  <w:pPr>
                    <w:spacing w:after="0"/>
                    <w:jc w:val="left"/>
                    <w:rPr>
                      <w:color w:val="000000"/>
                      <w:lang w:eastAsia="es-CO"/>
                    </w:rPr>
                  </w:pPr>
                </w:p>
              </w:tc>
              <w:tc>
                <w:tcPr>
                  <w:tcW w:w="956" w:type="dxa"/>
                  <w:shd w:val="clear" w:color="000000" w:fill="FFFF00"/>
                  <w:noWrap/>
                  <w:vAlign w:val="bottom"/>
                </w:tcPr>
                <w:p w:rsidR="003F0A4E" w:rsidRPr="003F0A4E" w:rsidRDefault="003F0A4E" w:rsidP="003F0A4E">
                  <w:pPr>
                    <w:spacing w:after="0"/>
                    <w:jc w:val="left"/>
                    <w:rPr>
                      <w:color w:val="000000"/>
                      <w:lang w:eastAsia="es-CO"/>
                    </w:rPr>
                  </w:pPr>
                </w:p>
              </w:tc>
              <w:tc>
                <w:tcPr>
                  <w:tcW w:w="590" w:type="dxa"/>
                  <w:shd w:val="clear" w:color="000000" w:fill="FFFF00"/>
                  <w:noWrap/>
                </w:tcPr>
                <w:p w:rsidR="003F0A4E" w:rsidRPr="003F0A4E" w:rsidRDefault="003F0A4E" w:rsidP="003F0A4E">
                  <w:pPr>
                    <w:spacing w:after="0"/>
                    <w:jc w:val="right"/>
                    <w:rPr>
                      <w:color w:val="000000"/>
                      <w:lang w:eastAsia="es-CO"/>
                    </w:rPr>
                  </w:pPr>
                </w:p>
              </w:tc>
              <w:tc>
                <w:tcPr>
                  <w:tcW w:w="1069" w:type="dxa"/>
                  <w:shd w:val="clear" w:color="000000" w:fill="FFFF00"/>
                  <w:noWrap/>
                </w:tcPr>
                <w:p w:rsidR="003F0A4E" w:rsidRPr="003F0A4E" w:rsidRDefault="003F0A4E" w:rsidP="003F0A4E">
                  <w:pPr>
                    <w:spacing w:after="0"/>
                    <w:jc w:val="right"/>
                    <w:rPr>
                      <w:color w:val="000000"/>
                      <w:lang w:eastAsia="es-CO"/>
                    </w:rPr>
                  </w:pPr>
                </w:p>
              </w:tc>
              <w:tc>
                <w:tcPr>
                  <w:tcW w:w="1182" w:type="dxa"/>
                  <w:shd w:val="clear" w:color="000000" w:fill="FFFF00"/>
                  <w:noWrap/>
                </w:tcPr>
                <w:p w:rsidR="003F0A4E" w:rsidRPr="003F0A4E" w:rsidRDefault="003F0A4E" w:rsidP="003F0A4E">
                  <w:pPr>
                    <w:spacing w:after="0"/>
                    <w:jc w:val="right"/>
                    <w:rPr>
                      <w:color w:val="000000"/>
                      <w:lang w:eastAsia="es-CO"/>
                    </w:rPr>
                  </w:pPr>
                </w:p>
              </w:tc>
              <w:tc>
                <w:tcPr>
                  <w:tcW w:w="858" w:type="dxa"/>
                  <w:shd w:val="clear" w:color="000000" w:fill="FFFF00"/>
                  <w:noWrap/>
                </w:tcPr>
                <w:p w:rsidR="003F0A4E" w:rsidRPr="003F0A4E" w:rsidRDefault="003F0A4E" w:rsidP="003F0A4E">
                  <w:pPr>
                    <w:spacing w:after="0"/>
                    <w:jc w:val="right"/>
                    <w:rPr>
                      <w:color w:val="000000"/>
                      <w:lang w:eastAsia="es-CO"/>
                    </w:rPr>
                  </w:pPr>
                </w:p>
              </w:tc>
            </w:tr>
            <w:tr w:rsidR="00D24744" w:rsidRPr="003F0A4E" w:rsidTr="00D24744">
              <w:trPr>
                <w:trHeight w:val="20"/>
              </w:trPr>
              <w:tc>
                <w:tcPr>
                  <w:tcW w:w="243" w:type="dxa"/>
                  <w:shd w:val="clear" w:color="auto" w:fill="auto"/>
                  <w:noWrap/>
                  <w:vAlign w:val="bottom"/>
                </w:tcPr>
                <w:p w:rsidR="003F0A4E" w:rsidRPr="003F0A4E" w:rsidRDefault="003F0A4E" w:rsidP="003F0A4E">
                  <w:pPr>
                    <w:spacing w:after="0"/>
                    <w:jc w:val="right"/>
                    <w:rPr>
                      <w:color w:val="000000"/>
                      <w:sz w:val="22"/>
                      <w:szCs w:val="22"/>
                      <w:lang w:eastAsia="es-CO"/>
                    </w:rPr>
                  </w:pPr>
                </w:p>
              </w:tc>
              <w:tc>
                <w:tcPr>
                  <w:tcW w:w="1349" w:type="dxa"/>
                  <w:shd w:val="clear" w:color="000000" w:fill="FFFF00"/>
                </w:tcPr>
                <w:p w:rsidR="003F0A4E" w:rsidRPr="003F0A4E" w:rsidRDefault="003F0A4E" w:rsidP="003F0A4E">
                  <w:pPr>
                    <w:spacing w:after="0"/>
                    <w:jc w:val="left"/>
                    <w:rPr>
                      <w:color w:val="000000"/>
                      <w:lang w:eastAsia="es-CO"/>
                    </w:rPr>
                  </w:pPr>
                </w:p>
              </w:tc>
              <w:tc>
                <w:tcPr>
                  <w:tcW w:w="1028" w:type="dxa"/>
                  <w:shd w:val="clear" w:color="000000" w:fill="FFFF00"/>
                </w:tcPr>
                <w:p w:rsidR="003F0A4E" w:rsidRPr="003F0A4E" w:rsidRDefault="003F0A4E" w:rsidP="003F0A4E">
                  <w:pPr>
                    <w:spacing w:after="0"/>
                    <w:jc w:val="left"/>
                    <w:rPr>
                      <w:color w:val="000000"/>
                      <w:lang w:eastAsia="es-CO"/>
                    </w:rPr>
                  </w:pPr>
                </w:p>
              </w:tc>
              <w:tc>
                <w:tcPr>
                  <w:tcW w:w="1328" w:type="dxa"/>
                  <w:shd w:val="clear" w:color="000000" w:fill="FFFF00"/>
                </w:tcPr>
                <w:p w:rsidR="003F0A4E" w:rsidRPr="003F0A4E" w:rsidRDefault="003F0A4E" w:rsidP="003F0A4E">
                  <w:pPr>
                    <w:spacing w:after="0"/>
                    <w:jc w:val="left"/>
                    <w:rPr>
                      <w:color w:val="000000"/>
                      <w:lang w:eastAsia="es-CO"/>
                    </w:rPr>
                  </w:pPr>
                </w:p>
              </w:tc>
              <w:tc>
                <w:tcPr>
                  <w:tcW w:w="956" w:type="dxa"/>
                  <w:shd w:val="clear" w:color="000000" w:fill="FFFF00"/>
                  <w:noWrap/>
                  <w:vAlign w:val="bottom"/>
                </w:tcPr>
                <w:p w:rsidR="003F0A4E" w:rsidRPr="003F0A4E" w:rsidRDefault="003F0A4E" w:rsidP="003F0A4E">
                  <w:pPr>
                    <w:spacing w:after="0"/>
                    <w:jc w:val="left"/>
                    <w:rPr>
                      <w:color w:val="000000"/>
                      <w:lang w:eastAsia="es-CO"/>
                    </w:rPr>
                  </w:pPr>
                </w:p>
              </w:tc>
              <w:tc>
                <w:tcPr>
                  <w:tcW w:w="590" w:type="dxa"/>
                  <w:shd w:val="clear" w:color="000000" w:fill="FFFF00"/>
                  <w:noWrap/>
                </w:tcPr>
                <w:p w:rsidR="003F0A4E" w:rsidRPr="003F0A4E" w:rsidRDefault="003F0A4E" w:rsidP="003F0A4E">
                  <w:pPr>
                    <w:spacing w:after="0"/>
                    <w:jc w:val="right"/>
                    <w:rPr>
                      <w:color w:val="000000"/>
                      <w:lang w:eastAsia="es-CO"/>
                    </w:rPr>
                  </w:pPr>
                </w:p>
              </w:tc>
              <w:tc>
                <w:tcPr>
                  <w:tcW w:w="1069" w:type="dxa"/>
                  <w:shd w:val="clear" w:color="000000" w:fill="FFFF00"/>
                  <w:noWrap/>
                </w:tcPr>
                <w:p w:rsidR="003F0A4E" w:rsidRPr="003F0A4E" w:rsidRDefault="003F0A4E" w:rsidP="003F0A4E">
                  <w:pPr>
                    <w:spacing w:after="0"/>
                    <w:jc w:val="right"/>
                    <w:rPr>
                      <w:color w:val="000000"/>
                      <w:lang w:eastAsia="es-CO"/>
                    </w:rPr>
                  </w:pPr>
                </w:p>
              </w:tc>
              <w:tc>
                <w:tcPr>
                  <w:tcW w:w="1182" w:type="dxa"/>
                  <w:shd w:val="clear" w:color="000000" w:fill="FFFF00"/>
                  <w:noWrap/>
                </w:tcPr>
                <w:p w:rsidR="003F0A4E" w:rsidRPr="003F0A4E" w:rsidRDefault="003F0A4E" w:rsidP="003F0A4E">
                  <w:pPr>
                    <w:spacing w:after="0"/>
                    <w:jc w:val="right"/>
                    <w:rPr>
                      <w:color w:val="000000"/>
                      <w:lang w:eastAsia="es-CO"/>
                    </w:rPr>
                  </w:pPr>
                </w:p>
              </w:tc>
              <w:tc>
                <w:tcPr>
                  <w:tcW w:w="858" w:type="dxa"/>
                  <w:shd w:val="clear" w:color="000000" w:fill="FFFF00"/>
                  <w:noWrap/>
                </w:tcPr>
                <w:p w:rsidR="003F0A4E" w:rsidRPr="003F0A4E" w:rsidRDefault="003F0A4E" w:rsidP="003F0A4E">
                  <w:pPr>
                    <w:spacing w:after="0"/>
                    <w:jc w:val="right"/>
                    <w:rPr>
                      <w:color w:val="000000"/>
                      <w:lang w:eastAsia="es-CO"/>
                    </w:rPr>
                  </w:pPr>
                </w:p>
              </w:tc>
            </w:tr>
            <w:tr w:rsidR="00D24744" w:rsidRPr="003F0A4E" w:rsidTr="00D24744">
              <w:trPr>
                <w:trHeight w:val="20"/>
              </w:trPr>
              <w:tc>
                <w:tcPr>
                  <w:tcW w:w="243" w:type="dxa"/>
                  <w:shd w:val="clear" w:color="auto" w:fill="auto"/>
                  <w:noWrap/>
                  <w:vAlign w:val="bottom"/>
                </w:tcPr>
                <w:p w:rsidR="003F0A4E" w:rsidRPr="003F0A4E" w:rsidRDefault="003F0A4E" w:rsidP="003F0A4E">
                  <w:pPr>
                    <w:spacing w:after="0"/>
                    <w:jc w:val="right"/>
                    <w:rPr>
                      <w:color w:val="000000"/>
                      <w:sz w:val="22"/>
                      <w:szCs w:val="22"/>
                      <w:lang w:eastAsia="es-CO"/>
                    </w:rPr>
                  </w:pPr>
                </w:p>
              </w:tc>
              <w:tc>
                <w:tcPr>
                  <w:tcW w:w="1349" w:type="dxa"/>
                  <w:shd w:val="clear" w:color="000000" w:fill="FFFF00"/>
                </w:tcPr>
                <w:p w:rsidR="003F0A4E" w:rsidRPr="003F0A4E" w:rsidRDefault="003F0A4E" w:rsidP="003F0A4E">
                  <w:pPr>
                    <w:spacing w:after="0"/>
                    <w:jc w:val="left"/>
                    <w:rPr>
                      <w:color w:val="000000"/>
                      <w:lang w:eastAsia="es-CO"/>
                    </w:rPr>
                  </w:pPr>
                </w:p>
              </w:tc>
              <w:tc>
                <w:tcPr>
                  <w:tcW w:w="1028" w:type="dxa"/>
                  <w:shd w:val="clear" w:color="000000" w:fill="FFFF00"/>
                </w:tcPr>
                <w:p w:rsidR="003F0A4E" w:rsidRPr="003F0A4E" w:rsidRDefault="003F0A4E" w:rsidP="003F0A4E">
                  <w:pPr>
                    <w:spacing w:after="0"/>
                    <w:jc w:val="left"/>
                    <w:rPr>
                      <w:color w:val="000000"/>
                      <w:lang w:eastAsia="es-CO"/>
                    </w:rPr>
                  </w:pPr>
                </w:p>
              </w:tc>
              <w:tc>
                <w:tcPr>
                  <w:tcW w:w="1328" w:type="dxa"/>
                  <w:shd w:val="clear" w:color="000000" w:fill="FFFF00"/>
                </w:tcPr>
                <w:p w:rsidR="003F0A4E" w:rsidRPr="003F0A4E" w:rsidRDefault="003F0A4E" w:rsidP="003F0A4E">
                  <w:pPr>
                    <w:spacing w:after="0"/>
                    <w:jc w:val="left"/>
                    <w:rPr>
                      <w:color w:val="000000"/>
                      <w:lang w:eastAsia="es-CO"/>
                    </w:rPr>
                  </w:pPr>
                </w:p>
              </w:tc>
              <w:tc>
                <w:tcPr>
                  <w:tcW w:w="956" w:type="dxa"/>
                  <w:shd w:val="clear" w:color="000000" w:fill="FFFF00"/>
                  <w:noWrap/>
                  <w:vAlign w:val="bottom"/>
                </w:tcPr>
                <w:p w:rsidR="003F0A4E" w:rsidRPr="003F0A4E" w:rsidRDefault="003F0A4E" w:rsidP="003F0A4E">
                  <w:pPr>
                    <w:spacing w:after="0"/>
                    <w:jc w:val="left"/>
                    <w:rPr>
                      <w:color w:val="000000"/>
                      <w:lang w:eastAsia="es-CO"/>
                    </w:rPr>
                  </w:pPr>
                </w:p>
              </w:tc>
              <w:tc>
                <w:tcPr>
                  <w:tcW w:w="590" w:type="dxa"/>
                  <w:shd w:val="clear" w:color="000000" w:fill="FFFF00"/>
                  <w:noWrap/>
                </w:tcPr>
                <w:p w:rsidR="003F0A4E" w:rsidRPr="003F0A4E" w:rsidRDefault="003F0A4E" w:rsidP="003F0A4E">
                  <w:pPr>
                    <w:spacing w:after="0"/>
                    <w:jc w:val="right"/>
                    <w:rPr>
                      <w:color w:val="000000"/>
                      <w:lang w:eastAsia="es-CO"/>
                    </w:rPr>
                  </w:pPr>
                </w:p>
              </w:tc>
              <w:tc>
                <w:tcPr>
                  <w:tcW w:w="1069" w:type="dxa"/>
                  <w:shd w:val="clear" w:color="000000" w:fill="FFFF00"/>
                  <w:noWrap/>
                </w:tcPr>
                <w:p w:rsidR="003F0A4E" w:rsidRPr="003F0A4E" w:rsidRDefault="003F0A4E" w:rsidP="003F0A4E">
                  <w:pPr>
                    <w:spacing w:after="0"/>
                    <w:jc w:val="right"/>
                    <w:rPr>
                      <w:color w:val="000000"/>
                      <w:lang w:eastAsia="es-CO"/>
                    </w:rPr>
                  </w:pPr>
                </w:p>
              </w:tc>
              <w:tc>
                <w:tcPr>
                  <w:tcW w:w="1182" w:type="dxa"/>
                  <w:shd w:val="clear" w:color="000000" w:fill="FFFF00"/>
                  <w:noWrap/>
                </w:tcPr>
                <w:p w:rsidR="003F0A4E" w:rsidRPr="003F0A4E" w:rsidRDefault="003F0A4E" w:rsidP="003F0A4E">
                  <w:pPr>
                    <w:spacing w:after="0"/>
                    <w:jc w:val="right"/>
                    <w:rPr>
                      <w:color w:val="000000"/>
                      <w:lang w:eastAsia="es-CO"/>
                    </w:rPr>
                  </w:pPr>
                </w:p>
              </w:tc>
              <w:tc>
                <w:tcPr>
                  <w:tcW w:w="858" w:type="dxa"/>
                  <w:shd w:val="clear" w:color="000000" w:fill="FFFF00"/>
                  <w:noWrap/>
                </w:tcPr>
                <w:p w:rsidR="003F0A4E" w:rsidRPr="003F0A4E" w:rsidRDefault="003F0A4E" w:rsidP="003F0A4E">
                  <w:pPr>
                    <w:spacing w:after="0"/>
                    <w:jc w:val="right"/>
                    <w:rPr>
                      <w:color w:val="000000"/>
                      <w:lang w:eastAsia="es-CO"/>
                    </w:rPr>
                  </w:pPr>
                </w:p>
              </w:tc>
            </w:tr>
            <w:tr w:rsidR="00D24744" w:rsidRPr="003F0A4E" w:rsidTr="00D24744">
              <w:trPr>
                <w:trHeight w:val="20"/>
              </w:trPr>
              <w:tc>
                <w:tcPr>
                  <w:tcW w:w="243" w:type="dxa"/>
                  <w:shd w:val="clear" w:color="auto" w:fill="auto"/>
                  <w:noWrap/>
                  <w:vAlign w:val="bottom"/>
                </w:tcPr>
                <w:p w:rsidR="003F0A4E" w:rsidRPr="003F0A4E" w:rsidRDefault="003F0A4E" w:rsidP="003F0A4E">
                  <w:pPr>
                    <w:spacing w:after="0"/>
                    <w:jc w:val="right"/>
                    <w:rPr>
                      <w:color w:val="000000"/>
                      <w:sz w:val="22"/>
                      <w:szCs w:val="22"/>
                      <w:lang w:eastAsia="es-CO"/>
                    </w:rPr>
                  </w:pPr>
                </w:p>
              </w:tc>
              <w:tc>
                <w:tcPr>
                  <w:tcW w:w="1349" w:type="dxa"/>
                  <w:shd w:val="clear" w:color="000000" w:fill="FFFF00"/>
                </w:tcPr>
                <w:p w:rsidR="003F0A4E" w:rsidRPr="003F0A4E" w:rsidRDefault="003F0A4E" w:rsidP="003F0A4E">
                  <w:pPr>
                    <w:spacing w:after="0"/>
                    <w:jc w:val="left"/>
                    <w:rPr>
                      <w:color w:val="000000"/>
                      <w:lang w:eastAsia="es-CO"/>
                    </w:rPr>
                  </w:pPr>
                </w:p>
              </w:tc>
              <w:tc>
                <w:tcPr>
                  <w:tcW w:w="1028" w:type="dxa"/>
                  <w:shd w:val="clear" w:color="000000" w:fill="FFFF00"/>
                </w:tcPr>
                <w:p w:rsidR="003F0A4E" w:rsidRPr="003F0A4E" w:rsidRDefault="003F0A4E" w:rsidP="003F0A4E">
                  <w:pPr>
                    <w:spacing w:after="0"/>
                    <w:jc w:val="left"/>
                    <w:rPr>
                      <w:color w:val="000000"/>
                      <w:lang w:eastAsia="es-CO"/>
                    </w:rPr>
                  </w:pPr>
                </w:p>
              </w:tc>
              <w:tc>
                <w:tcPr>
                  <w:tcW w:w="1328" w:type="dxa"/>
                  <w:shd w:val="clear" w:color="000000" w:fill="FFFF00"/>
                </w:tcPr>
                <w:p w:rsidR="003F0A4E" w:rsidRPr="003F0A4E" w:rsidRDefault="003F0A4E" w:rsidP="003F0A4E">
                  <w:pPr>
                    <w:spacing w:after="0"/>
                    <w:jc w:val="left"/>
                    <w:rPr>
                      <w:color w:val="000000"/>
                      <w:lang w:eastAsia="es-CO"/>
                    </w:rPr>
                  </w:pPr>
                </w:p>
              </w:tc>
              <w:tc>
                <w:tcPr>
                  <w:tcW w:w="956" w:type="dxa"/>
                  <w:shd w:val="clear" w:color="000000" w:fill="FFFF00"/>
                  <w:noWrap/>
                  <w:vAlign w:val="bottom"/>
                </w:tcPr>
                <w:p w:rsidR="003F0A4E" w:rsidRPr="003F0A4E" w:rsidRDefault="003F0A4E" w:rsidP="003F0A4E">
                  <w:pPr>
                    <w:spacing w:after="0"/>
                    <w:jc w:val="left"/>
                    <w:rPr>
                      <w:color w:val="000000"/>
                      <w:lang w:eastAsia="es-CO"/>
                    </w:rPr>
                  </w:pPr>
                </w:p>
              </w:tc>
              <w:tc>
                <w:tcPr>
                  <w:tcW w:w="590" w:type="dxa"/>
                  <w:shd w:val="clear" w:color="000000" w:fill="FFFF00"/>
                  <w:noWrap/>
                </w:tcPr>
                <w:p w:rsidR="003F0A4E" w:rsidRPr="003F0A4E" w:rsidRDefault="003F0A4E" w:rsidP="003F0A4E">
                  <w:pPr>
                    <w:spacing w:after="0"/>
                    <w:jc w:val="right"/>
                    <w:rPr>
                      <w:color w:val="000000"/>
                      <w:lang w:eastAsia="es-CO"/>
                    </w:rPr>
                  </w:pPr>
                </w:p>
              </w:tc>
              <w:tc>
                <w:tcPr>
                  <w:tcW w:w="1069" w:type="dxa"/>
                  <w:shd w:val="clear" w:color="000000" w:fill="FFFF00"/>
                  <w:noWrap/>
                </w:tcPr>
                <w:p w:rsidR="003F0A4E" w:rsidRPr="003F0A4E" w:rsidRDefault="003F0A4E" w:rsidP="003F0A4E">
                  <w:pPr>
                    <w:spacing w:after="0"/>
                    <w:jc w:val="right"/>
                    <w:rPr>
                      <w:color w:val="000000"/>
                      <w:lang w:eastAsia="es-CO"/>
                    </w:rPr>
                  </w:pPr>
                </w:p>
              </w:tc>
              <w:tc>
                <w:tcPr>
                  <w:tcW w:w="1182" w:type="dxa"/>
                  <w:shd w:val="clear" w:color="000000" w:fill="FFFF00"/>
                  <w:noWrap/>
                </w:tcPr>
                <w:p w:rsidR="003F0A4E" w:rsidRPr="003F0A4E" w:rsidRDefault="003F0A4E" w:rsidP="003F0A4E">
                  <w:pPr>
                    <w:spacing w:after="0"/>
                    <w:jc w:val="right"/>
                    <w:rPr>
                      <w:color w:val="000000"/>
                      <w:lang w:eastAsia="es-CO"/>
                    </w:rPr>
                  </w:pPr>
                </w:p>
              </w:tc>
              <w:tc>
                <w:tcPr>
                  <w:tcW w:w="858" w:type="dxa"/>
                  <w:shd w:val="clear" w:color="000000" w:fill="FFFF00"/>
                  <w:noWrap/>
                </w:tcPr>
                <w:p w:rsidR="003F0A4E" w:rsidRPr="003F0A4E" w:rsidRDefault="003F0A4E" w:rsidP="003F0A4E">
                  <w:pPr>
                    <w:spacing w:after="0"/>
                    <w:jc w:val="right"/>
                    <w:rPr>
                      <w:color w:val="000000"/>
                      <w:lang w:eastAsia="es-CO"/>
                    </w:rPr>
                  </w:pPr>
                </w:p>
              </w:tc>
            </w:tr>
            <w:tr w:rsidR="00D24744" w:rsidRPr="003F0A4E" w:rsidTr="00D24744">
              <w:trPr>
                <w:trHeight w:val="20"/>
              </w:trPr>
              <w:tc>
                <w:tcPr>
                  <w:tcW w:w="243" w:type="dxa"/>
                  <w:shd w:val="clear" w:color="auto" w:fill="auto"/>
                  <w:noWrap/>
                  <w:vAlign w:val="bottom"/>
                </w:tcPr>
                <w:p w:rsidR="003F0A4E" w:rsidRPr="003F0A4E" w:rsidRDefault="003F0A4E" w:rsidP="003F0A4E">
                  <w:pPr>
                    <w:spacing w:after="0"/>
                    <w:jc w:val="right"/>
                    <w:rPr>
                      <w:color w:val="000000"/>
                      <w:sz w:val="22"/>
                      <w:szCs w:val="22"/>
                      <w:lang w:eastAsia="es-CO"/>
                    </w:rPr>
                  </w:pPr>
                </w:p>
              </w:tc>
              <w:tc>
                <w:tcPr>
                  <w:tcW w:w="1349" w:type="dxa"/>
                  <w:shd w:val="clear" w:color="000000" w:fill="FFFF00"/>
                </w:tcPr>
                <w:p w:rsidR="003F0A4E" w:rsidRPr="003F0A4E" w:rsidRDefault="003F0A4E" w:rsidP="003F0A4E">
                  <w:pPr>
                    <w:spacing w:after="0"/>
                    <w:jc w:val="left"/>
                    <w:rPr>
                      <w:color w:val="000000"/>
                      <w:lang w:eastAsia="es-CO"/>
                    </w:rPr>
                  </w:pPr>
                </w:p>
              </w:tc>
              <w:tc>
                <w:tcPr>
                  <w:tcW w:w="1028" w:type="dxa"/>
                  <w:shd w:val="clear" w:color="000000" w:fill="FFFF00"/>
                </w:tcPr>
                <w:p w:rsidR="003F0A4E" w:rsidRPr="003F0A4E" w:rsidRDefault="003F0A4E" w:rsidP="003F0A4E">
                  <w:pPr>
                    <w:spacing w:after="0"/>
                    <w:jc w:val="left"/>
                    <w:rPr>
                      <w:color w:val="000000"/>
                      <w:lang w:eastAsia="es-CO"/>
                    </w:rPr>
                  </w:pPr>
                </w:p>
              </w:tc>
              <w:tc>
                <w:tcPr>
                  <w:tcW w:w="1328" w:type="dxa"/>
                  <w:shd w:val="clear" w:color="000000" w:fill="FFFF00"/>
                </w:tcPr>
                <w:p w:rsidR="003F0A4E" w:rsidRPr="003F0A4E" w:rsidRDefault="003F0A4E" w:rsidP="003F0A4E">
                  <w:pPr>
                    <w:spacing w:after="0"/>
                    <w:jc w:val="left"/>
                    <w:rPr>
                      <w:color w:val="000000"/>
                      <w:lang w:eastAsia="es-CO"/>
                    </w:rPr>
                  </w:pPr>
                </w:p>
              </w:tc>
              <w:tc>
                <w:tcPr>
                  <w:tcW w:w="956" w:type="dxa"/>
                  <w:shd w:val="clear" w:color="000000" w:fill="FFFF00"/>
                  <w:noWrap/>
                  <w:vAlign w:val="bottom"/>
                </w:tcPr>
                <w:p w:rsidR="003F0A4E" w:rsidRPr="003F0A4E" w:rsidRDefault="003F0A4E" w:rsidP="003F0A4E">
                  <w:pPr>
                    <w:spacing w:after="0"/>
                    <w:jc w:val="left"/>
                    <w:rPr>
                      <w:color w:val="000000"/>
                      <w:lang w:eastAsia="es-CO"/>
                    </w:rPr>
                  </w:pPr>
                </w:p>
              </w:tc>
              <w:tc>
                <w:tcPr>
                  <w:tcW w:w="590" w:type="dxa"/>
                  <w:shd w:val="clear" w:color="000000" w:fill="FFFF00"/>
                  <w:noWrap/>
                </w:tcPr>
                <w:p w:rsidR="003F0A4E" w:rsidRPr="003F0A4E" w:rsidRDefault="003F0A4E" w:rsidP="003F0A4E">
                  <w:pPr>
                    <w:spacing w:after="0"/>
                    <w:jc w:val="right"/>
                    <w:rPr>
                      <w:color w:val="000000"/>
                      <w:lang w:eastAsia="es-CO"/>
                    </w:rPr>
                  </w:pPr>
                </w:p>
              </w:tc>
              <w:tc>
                <w:tcPr>
                  <w:tcW w:w="1069" w:type="dxa"/>
                  <w:shd w:val="clear" w:color="000000" w:fill="FFFF00"/>
                  <w:noWrap/>
                </w:tcPr>
                <w:p w:rsidR="003F0A4E" w:rsidRPr="003F0A4E" w:rsidRDefault="003F0A4E" w:rsidP="003F0A4E">
                  <w:pPr>
                    <w:spacing w:after="0"/>
                    <w:jc w:val="right"/>
                    <w:rPr>
                      <w:color w:val="000000"/>
                      <w:lang w:eastAsia="es-CO"/>
                    </w:rPr>
                  </w:pPr>
                </w:p>
              </w:tc>
              <w:tc>
                <w:tcPr>
                  <w:tcW w:w="1182" w:type="dxa"/>
                  <w:shd w:val="clear" w:color="000000" w:fill="FFFF00"/>
                  <w:noWrap/>
                </w:tcPr>
                <w:p w:rsidR="003F0A4E" w:rsidRPr="003F0A4E" w:rsidRDefault="003F0A4E" w:rsidP="003F0A4E">
                  <w:pPr>
                    <w:spacing w:after="0"/>
                    <w:jc w:val="right"/>
                    <w:rPr>
                      <w:color w:val="000000"/>
                      <w:lang w:eastAsia="es-CO"/>
                    </w:rPr>
                  </w:pPr>
                </w:p>
              </w:tc>
              <w:tc>
                <w:tcPr>
                  <w:tcW w:w="858" w:type="dxa"/>
                  <w:shd w:val="clear" w:color="000000" w:fill="FFFF00"/>
                  <w:noWrap/>
                </w:tcPr>
                <w:p w:rsidR="003F0A4E" w:rsidRPr="003F0A4E" w:rsidRDefault="003F0A4E" w:rsidP="003F0A4E">
                  <w:pPr>
                    <w:spacing w:after="0"/>
                    <w:jc w:val="right"/>
                    <w:rPr>
                      <w:color w:val="000000"/>
                      <w:lang w:eastAsia="es-CO"/>
                    </w:rPr>
                  </w:pPr>
                </w:p>
              </w:tc>
            </w:tr>
            <w:tr w:rsidR="00D24744" w:rsidRPr="003F0A4E" w:rsidTr="00D24744">
              <w:trPr>
                <w:trHeight w:val="20"/>
              </w:trPr>
              <w:tc>
                <w:tcPr>
                  <w:tcW w:w="243" w:type="dxa"/>
                  <w:shd w:val="clear" w:color="auto" w:fill="auto"/>
                  <w:noWrap/>
                  <w:vAlign w:val="bottom"/>
                  <w:hideMark/>
                </w:tcPr>
                <w:p w:rsidR="003F0A4E" w:rsidRPr="003F0A4E" w:rsidRDefault="003F0A4E" w:rsidP="003F0A4E">
                  <w:pPr>
                    <w:spacing w:after="0"/>
                    <w:jc w:val="right"/>
                    <w:rPr>
                      <w:color w:val="000000"/>
                      <w:lang w:eastAsia="es-CO"/>
                    </w:rPr>
                  </w:pPr>
                </w:p>
              </w:tc>
              <w:tc>
                <w:tcPr>
                  <w:tcW w:w="1349" w:type="dxa"/>
                  <w:shd w:val="clear" w:color="000000" w:fill="C6EFCE"/>
                  <w:noWrap/>
                  <w:vAlign w:val="bottom"/>
                  <w:hideMark/>
                </w:tcPr>
                <w:p w:rsidR="003F0A4E" w:rsidRPr="003F0A4E" w:rsidRDefault="003F0A4E" w:rsidP="003F0A4E">
                  <w:pPr>
                    <w:spacing w:after="0"/>
                    <w:jc w:val="left"/>
                    <w:rPr>
                      <w:color w:val="006100"/>
                      <w:sz w:val="22"/>
                      <w:szCs w:val="22"/>
                      <w:lang w:eastAsia="es-CO"/>
                    </w:rPr>
                  </w:pPr>
                  <w:r w:rsidRPr="003F0A4E">
                    <w:rPr>
                      <w:color w:val="006100"/>
                      <w:sz w:val="16"/>
                      <w:szCs w:val="22"/>
                      <w:lang w:eastAsia="es-CO"/>
                    </w:rPr>
                    <w:t>Total</w:t>
                  </w:r>
                </w:p>
              </w:tc>
              <w:tc>
                <w:tcPr>
                  <w:tcW w:w="1028" w:type="dxa"/>
                  <w:shd w:val="clear" w:color="auto" w:fill="auto"/>
                  <w:noWrap/>
                  <w:vAlign w:val="bottom"/>
                  <w:hideMark/>
                </w:tcPr>
                <w:p w:rsidR="003F0A4E" w:rsidRPr="003F0A4E" w:rsidRDefault="003F0A4E" w:rsidP="003F0A4E">
                  <w:pPr>
                    <w:spacing w:after="0"/>
                    <w:jc w:val="left"/>
                    <w:rPr>
                      <w:color w:val="006100"/>
                      <w:sz w:val="22"/>
                      <w:szCs w:val="22"/>
                      <w:lang w:eastAsia="es-CO"/>
                    </w:rPr>
                  </w:pPr>
                </w:p>
              </w:tc>
              <w:tc>
                <w:tcPr>
                  <w:tcW w:w="1328" w:type="dxa"/>
                  <w:shd w:val="clear" w:color="auto" w:fill="auto"/>
                  <w:noWrap/>
                  <w:vAlign w:val="bottom"/>
                  <w:hideMark/>
                </w:tcPr>
                <w:p w:rsidR="003F0A4E" w:rsidRPr="003F0A4E" w:rsidRDefault="003F0A4E" w:rsidP="003F0A4E">
                  <w:pPr>
                    <w:spacing w:after="0"/>
                    <w:jc w:val="left"/>
                    <w:rPr>
                      <w:rFonts w:ascii="Times New Roman" w:hAnsi="Times New Roman"/>
                      <w:sz w:val="20"/>
                      <w:szCs w:val="20"/>
                      <w:lang w:eastAsia="es-CO"/>
                    </w:rPr>
                  </w:pPr>
                </w:p>
              </w:tc>
              <w:tc>
                <w:tcPr>
                  <w:tcW w:w="956" w:type="dxa"/>
                  <w:shd w:val="clear" w:color="auto" w:fill="auto"/>
                  <w:noWrap/>
                  <w:vAlign w:val="bottom"/>
                  <w:hideMark/>
                </w:tcPr>
                <w:p w:rsidR="003F0A4E" w:rsidRPr="003F0A4E" w:rsidRDefault="003F0A4E" w:rsidP="003F0A4E">
                  <w:pPr>
                    <w:spacing w:after="0"/>
                    <w:jc w:val="left"/>
                    <w:rPr>
                      <w:rFonts w:ascii="Times New Roman" w:hAnsi="Times New Roman"/>
                      <w:sz w:val="20"/>
                      <w:szCs w:val="20"/>
                      <w:lang w:eastAsia="es-CO"/>
                    </w:rPr>
                  </w:pPr>
                </w:p>
              </w:tc>
              <w:tc>
                <w:tcPr>
                  <w:tcW w:w="590" w:type="dxa"/>
                  <w:shd w:val="clear" w:color="000000" w:fill="C6EFCE"/>
                  <w:noWrap/>
                  <w:vAlign w:val="bottom"/>
                </w:tcPr>
                <w:p w:rsidR="003F0A4E" w:rsidRPr="003F0A4E" w:rsidRDefault="003F0A4E" w:rsidP="003F0A4E">
                  <w:pPr>
                    <w:spacing w:after="0"/>
                    <w:jc w:val="right"/>
                    <w:rPr>
                      <w:color w:val="006100"/>
                      <w:lang w:eastAsia="es-CO"/>
                    </w:rPr>
                  </w:pPr>
                </w:p>
              </w:tc>
              <w:tc>
                <w:tcPr>
                  <w:tcW w:w="1069" w:type="dxa"/>
                  <w:shd w:val="clear" w:color="000000" w:fill="C6EFCE"/>
                  <w:noWrap/>
                  <w:vAlign w:val="bottom"/>
                </w:tcPr>
                <w:p w:rsidR="003F0A4E" w:rsidRPr="003F0A4E" w:rsidRDefault="003F0A4E" w:rsidP="003F0A4E">
                  <w:pPr>
                    <w:spacing w:after="0"/>
                    <w:jc w:val="right"/>
                    <w:rPr>
                      <w:color w:val="006100"/>
                      <w:lang w:eastAsia="es-CO"/>
                    </w:rPr>
                  </w:pPr>
                </w:p>
              </w:tc>
              <w:tc>
                <w:tcPr>
                  <w:tcW w:w="1182" w:type="dxa"/>
                  <w:shd w:val="clear" w:color="000000" w:fill="C6EFCE"/>
                  <w:noWrap/>
                  <w:vAlign w:val="bottom"/>
                </w:tcPr>
                <w:p w:rsidR="003F0A4E" w:rsidRPr="003F0A4E" w:rsidRDefault="003F0A4E" w:rsidP="003F0A4E">
                  <w:pPr>
                    <w:spacing w:after="0"/>
                    <w:jc w:val="right"/>
                    <w:rPr>
                      <w:color w:val="006100"/>
                      <w:lang w:eastAsia="es-CO"/>
                    </w:rPr>
                  </w:pPr>
                </w:p>
              </w:tc>
              <w:tc>
                <w:tcPr>
                  <w:tcW w:w="858" w:type="dxa"/>
                  <w:shd w:val="clear" w:color="000000" w:fill="C6EFCE"/>
                  <w:noWrap/>
                  <w:vAlign w:val="bottom"/>
                </w:tcPr>
                <w:p w:rsidR="003F0A4E" w:rsidRPr="003F0A4E" w:rsidRDefault="003F0A4E" w:rsidP="003F0A4E">
                  <w:pPr>
                    <w:spacing w:after="0"/>
                    <w:jc w:val="right"/>
                    <w:rPr>
                      <w:color w:val="006100"/>
                      <w:lang w:eastAsia="es-CO"/>
                    </w:rPr>
                  </w:pPr>
                </w:p>
              </w:tc>
            </w:tr>
          </w:tbl>
          <w:p w:rsidR="00A77F51" w:rsidRPr="00F36DC6" w:rsidRDefault="00A77F51" w:rsidP="00364BF4"/>
        </w:tc>
      </w:tr>
      <w:tr w:rsidR="003F0A4E" w:rsidRPr="00B771A6" w:rsidTr="00C20065">
        <w:trPr>
          <w:trHeight w:val="20"/>
          <w:jc w:val="center"/>
        </w:trPr>
        <w:tc>
          <w:tcPr>
            <w:tcW w:w="1166" w:type="pct"/>
            <w:vAlign w:val="center"/>
          </w:tcPr>
          <w:p w:rsidR="005F185A" w:rsidRPr="00B771A6" w:rsidRDefault="005F185A" w:rsidP="00BE18F3">
            <w:pPr>
              <w:rPr>
                <w:lang w:val="es-CR" w:eastAsia="ar-SA"/>
              </w:rPr>
            </w:pPr>
            <w:r w:rsidRPr="00B771A6">
              <w:rPr>
                <w:lang w:val="es-MX" w:eastAsia="ar-SA"/>
              </w:rPr>
              <w:lastRenderedPageBreak/>
              <w:t>Interpretación</w:t>
            </w:r>
          </w:p>
        </w:tc>
        <w:tc>
          <w:tcPr>
            <w:tcW w:w="3834" w:type="pct"/>
          </w:tcPr>
          <w:p w:rsidR="0031036A" w:rsidRPr="00364BF4" w:rsidRDefault="001E399B" w:rsidP="0031036A">
            <w:pPr>
              <w:rPr>
                <w:lang w:val="es-MX" w:eastAsia="ar-SA"/>
              </w:rPr>
            </w:pPr>
            <w:r>
              <w:rPr>
                <w:lang w:val="es-MX" w:eastAsia="ar-SA"/>
              </w:rPr>
              <w:t>Cuanto más cercano a</w:t>
            </w:r>
            <w:r w:rsidR="004C224B">
              <w:rPr>
                <w:lang w:val="es-MX" w:eastAsia="ar-SA"/>
              </w:rPr>
              <w:t xml:space="preserve"> cien por ciento, mayor</w:t>
            </w:r>
            <w:r w:rsidR="00364BF4">
              <w:rPr>
                <w:lang w:val="es-MX" w:eastAsia="ar-SA"/>
              </w:rPr>
              <w:t>es son las acciones que la autoridad ambiental realiza para la ejecuci</w:t>
            </w:r>
            <w:r w:rsidR="00A65BFB">
              <w:rPr>
                <w:lang w:val="es-MX" w:eastAsia="ar-SA"/>
              </w:rPr>
              <w:t xml:space="preserve">ón </w:t>
            </w:r>
            <w:r w:rsidR="00364BF4">
              <w:rPr>
                <w:lang w:val="es-MX" w:eastAsia="ar-SA"/>
              </w:rPr>
              <w:t xml:space="preserve">de los planes de manejo de las </w:t>
            </w:r>
            <w:r w:rsidR="005C2853">
              <w:rPr>
                <w:lang w:val="es-MX" w:eastAsia="ar-SA"/>
              </w:rPr>
              <w:t>áreas protegidas</w:t>
            </w:r>
            <w:r w:rsidR="00A069C1">
              <w:rPr>
                <w:lang w:val="es-MX" w:eastAsia="ar-SA"/>
              </w:rPr>
              <w:t xml:space="preserve"> </w:t>
            </w:r>
            <w:r w:rsidR="00364BF4">
              <w:rPr>
                <w:lang w:val="es-MX" w:eastAsia="ar-SA"/>
              </w:rPr>
              <w:t xml:space="preserve">que </w:t>
            </w:r>
            <w:r w:rsidR="00A069C1">
              <w:rPr>
                <w:lang w:val="es-MX" w:eastAsia="ar-SA"/>
              </w:rPr>
              <w:t>están a cargo de la Corporación Autónoma Regional.</w:t>
            </w:r>
          </w:p>
        </w:tc>
      </w:tr>
      <w:tr w:rsidR="003F0A4E" w:rsidRPr="00B771A6" w:rsidTr="00C20065">
        <w:trPr>
          <w:trHeight w:val="20"/>
          <w:jc w:val="center"/>
        </w:trPr>
        <w:tc>
          <w:tcPr>
            <w:tcW w:w="1166" w:type="pct"/>
            <w:vAlign w:val="center"/>
          </w:tcPr>
          <w:p w:rsidR="005F185A" w:rsidRPr="00765D15" w:rsidRDefault="005F185A" w:rsidP="00BE18F3">
            <w:pPr>
              <w:rPr>
                <w:lang w:val="es-CR" w:eastAsia="ar-SA"/>
              </w:rPr>
            </w:pPr>
            <w:r w:rsidRPr="00765D15">
              <w:rPr>
                <w:lang w:val="es-MX" w:eastAsia="ar-SA"/>
              </w:rPr>
              <w:t>Restricciones o Limitaciones</w:t>
            </w:r>
          </w:p>
        </w:tc>
        <w:tc>
          <w:tcPr>
            <w:tcW w:w="3834" w:type="pct"/>
          </w:tcPr>
          <w:p w:rsidR="005F185A" w:rsidRPr="00E11FB9" w:rsidRDefault="000073B2" w:rsidP="000073B2">
            <w:pPr>
              <w:rPr>
                <w:lang w:eastAsia="ar-SA"/>
              </w:rPr>
            </w:pPr>
            <w:r>
              <w:rPr>
                <w:lang w:eastAsia="ar-SA"/>
              </w:rPr>
              <w:t>S</w:t>
            </w:r>
            <w:r w:rsidR="00FA6FB8">
              <w:rPr>
                <w:lang w:eastAsia="ar-SA"/>
              </w:rPr>
              <w:t xml:space="preserve">e pueden presentar situaciones de orden operativo, </w:t>
            </w:r>
            <w:r>
              <w:rPr>
                <w:lang w:eastAsia="ar-SA"/>
              </w:rPr>
              <w:t xml:space="preserve">financiero, </w:t>
            </w:r>
            <w:r w:rsidR="00FA6FB8">
              <w:rPr>
                <w:lang w:eastAsia="ar-SA"/>
              </w:rPr>
              <w:t xml:space="preserve">político y social que pueden afectar los </w:t>
            </w:r>
            <w:r>
              <w:rPr>
                <w:lang w:eastAsia="ar-SA"/>
              </w:rPr>
              <w:t xml:space="preserve">presupuestos </w:t>
            </w:r>
            <w:r w:rsidR="0031036A">
              <w:rPr>
                <w:lang w:eastAsia="ar-SA"/>
              </w:rPr>
              <w:t>y</w:t>
            </w:r>
            <w:r>
              <w:rPr>
                <w:lang w:eastAsia="ar-SA"/>
              </w:rPr>
              <w:t xml:space="preserve"> los </w:t>
            </w:r>
            <w:r w:rsidR="00FA6FB8">
              <w:rPr>
                <w:lang w:eastAsia="ar-SA"/>
              </w:rPr>
              <w:t>cro</w:t>
            </w:r>
            <w:r>
              <w:rPr>
                <w:lang w:eastAsia="ar-SA"/>
              </w:rPr>
              <w:t>nogramas definidos en el Plan de Acción de la Corporación.</w:t>
            </w:r>
          </w:p>
        </w:tc>
      </w:tr>
      <w:tr w:rsidR="003F0A4E" w:rsidRPr="00B771A6" w:rsidTr="00C20065">
        <w:trPr>
          <w:trHeight w:val="20"/>
          <w:jc w:val="center"/>
        </w:trPr>
        <w:tc>
          <w:tcPr>
            <w:tcW w:w="1166" w:type="pct"/>
            <w:vAlign w:val="center"/>
          </w:tcPr>
          <w:p w:rsidR="005F185A" w:rsidRPr="00B771A6" w:rsidRDefault="005F185A" w:rsidP="00BE18F3">
            <w:pPr>
              <w:rPr>
                <w:lang w:val="es-MX" w:eastAsia="ar-SA"/>
              </w:rPr>
            </w:pPr>
            <w:r w:rsidRPr="00B771A6">
              <w:rPr>
                <w:lang w:val="es-MX" w:eastAsia="ar-SA"/>
              </w:rPr>
              <w:t>Facilidad de obtención</w:t>
            </w:r>
          </w:p>
        </w:tc>
        <w:tc>
          <w:tcPr>
            <w:tcW w:w="3834" w:type="pct"/>
          </w:tcPr>
          <w:tbl>
            <w:tblPr>
              <w:tblpPr w:leftFromText="142" w:rightFromText="142" w:topFromText="539" w:vertAnchor="text" w:horzAnchor="margin" w:tblpY="1"/>
              <w:tblOverlap w:val="never"/>
              <w:tblW w:w="8460" w:type="dxa"/>
              <w:tblCellMar>
                <w:left w:w="0" w:type="dxa"/>
                <w:right w:w="0" w:type="dxa"/>
              </w:tblCellMar>
              <w:tblLook w:val="01E0" w:firstRow="1" w:lastRow="1" w:firstColumn="1" w:lastColumn="1" w:noHBand="0" w:noVBand="0"/>
            </w:tblPr>
            <w:tblGrid>
              <w:gridCol w:w="325"/>
              <w:gridCol w:w="1405"/>
              <w:gridCol w:w="6730"/>
            </w:tblGrid>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4E5176"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rsidTr="004E5176">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rsidTr="004E5176">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rsidTr="004E5176">
              <w:trPr>
                <w:gridAfter w:val="1"/>
                <w:wAfter w:w="6730" w:type="dxa"/>
                <w:cantSplit/>
                <w:trHeight w:hRule="exact" w:val="64"/>
              </w:trPr>
              <w:tc>
                <w:tcPr>
                  <w:tcW w:w="325" w:type="dxa"/>
                  <w:tcBorders>
                    <w:top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A77F51">
              <w:trPr>
                <w:cantSplit/>
                <w:trHeight w:hRule="exact" w:val="447"/>
              </w:trPr>
              <w:tc>
                <w:tcPr>
                  <w:tcW w:w="325" w:type="dxa"/>
                  <w:noWrap/>
                  <w:vAlign w:val="center"/>
                </w:tcPr>
                <w:p w:rsidR="005F185A" w:rsidRPr="00BC13C0" w:rsidRDefault="005F185A" w:rsidP="00BE18F3"/>
              </w:tc>
              <w:tc>
                <w:tcPr>
                  <w:tcW w:w="1405" w:type="dxa"/>
                  <w:vAlign w:val="center"/>
                </w:tcPr>
                <w:p w:rsidR="005F185A" w:rsidRPr="00BC13C0" w:rsidRDefault="005F185A" w:rsidP="00BE18F3">
                  <w:r w:rsidRPr="00BC13C0">
                    <w:t>¿Por qué?:</w:t>
                  </w:r>
                </w:p>
              </w:tc>
              <w:tc>
                <w:tcPr>
                  <w:tcW w:w="6730" w:type="dxa"/>
                </w:tcPr>
                <w:p w:rsidR="005F185A" w:rsidRPr="00B00E5E" w:rsidRDefault="00123667" w:rsidP="00BE18F3">
                  <w:r>
                    <w:t xml:space="preserve">El indicador se calcula a partir </w:t>
                  </w:r>
                  <w:r w:rsidR="004E5176">
                    <w:t>de la información reportada por las corporaciones autónomas regionales en el ejercicio de sus funciones misionales</w:t>
                  </w:r>
                </w:p>
              </w:tc>
            </w:tr>
          </w:tbl>
          <w:p w:rsidR="005F185A" w:rsidRPr="00666B6C" w:rsidRDefault="005F185A" w:rsidP="00C20065">
            <w:pPr>
              <w:spacing w:after="0"/>
              <w:rPr>
                <w:lang w:eastAsia="ar-SA"/>
              </w:rPr>
            </w:pPr>
          </w:p>
        </w:tc>
      </w:tr>
    </w:tbl>
    <w:p w:rsidR="00141C8F" w:rsidRDefault="00141C8F" w:rsidP="00001BD6">
      <w:pPr>
        <w:pStyle w:val="Sinespaciado1"/>
      </w:pPr>
    </w:p>
    <w:p w:rsidR="005106CA" w:rsidRPr="00DC2ADC" w:rsidRDefault="005106CA"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10"/>
        <w:gridCol w:w="1734"/>
        <w:gridCol w:w="7722"/>
      </w:tblGrid>
      <w:tr w:rsidR="005F185A" w:rsidRPr="00A15977" w:rsidTr="009C14A4">
        <w:trPr>
          <w:trHeight w:val="20"/>
          <w:jc w:val="center"/>
        </w:trPr>
        <w:tc>
          <w:tcPr>
            <w:tcW w:w="5000" w:type="pct"/>
            <w:gridSpan w:val="3"/>
            <w:vAlign w:val="center"/>
          </w:tcPr>
          <w:p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rsidTr="009C14A4">
        <w:trPr>
          <w:trHeight w:val="20"/>
          <w:jc w:val="center"/>
        </w:trPr>
        <w:tc>
          <w:tcPr>
            <w:tcW w:w="256" w:type="pct"/>
            <w:vMerge w:val="restart"/>
            <w:vAlign w:val="center"/>
          </w:tcPr>
          <w:p w:rsidR="00287EAA" w:rsidRPr="00A416C3" w:rsidRDefault="00287EAA" w:rsidP="00BE18F3">
            <w:pPr>
              <w:rPr>
                <w:lang w:val="es-MX" w:eastAsia="ar-SA"/>
              </w:rPr>
            </w:pPr>
            <w:r>
              <w:rPr>
                <w:lang w:val="es-MX" w:eastAsia="ar-SA"/>
              </w:rPr>
              <w:t>1</w:t>
            </w:r>
          </w:p>
        </w:tc>
        <w:tc>
          <w:tcPr>
            <w:tcW w:w="870" w:type="pct"/>
            <w:vAlign w:val="center"/>
          </w:tcPr>
          <w:p w:rsidR="00287EAA" w:rsidRPr="00746D28" w:rsidRDefault="00287EAA" w:rsidP="009C14A4">
            <w:pPr>
              <w:pStyle w:val="Ttulo4"/>
              <w:jc w:val="left"/>
            </w:pPr>
            <w:r w:rsidRPr="00746D28">
              <w:t>Entidad</w:t>
            </w:r>
          </w:p>
        </w:tc>
        <w:tc>
          <w:tcPr>
            <w:tcW w:w="3874" w:type="pct"/>
            <w:vAlign w:val="center"/>
          </w:tcPr>
          <w:p w:rsidR="00287EAA" w:rsidRDefault="004E5176" w:rsidP="00BE18F3">
            <w:r>
              <w:rPr>
                <w:lang w:eastAsia="ar-SA"/>
              </w:rPr>
              <w:t>Corporaciones autónomas regionales y de desarrollo sostenible</w:t>
            </w:r>
          </w:p>
        </w:tc>
      </w:tr>
      <w:tr w:rsidR="00287EAA" w:rsidRPr="00A15977" w:rsidTr="009C14A4">
        <w:trPr>
          <w:trHeight w:val="20"/>
          <w:jc w:val="center"/>
        </w:trPr>
        <w:tc>
          <w:tcPr>
            <w:tcW w:w="256" w:type="pct"/>
            <w:vMerge/>
          </w:tcPr>
          <w:p w:rsidR="00287EAA" w:rsidRPr="00A416C3" w:rsidRDefault="00287EAA" w:rsidP="002B214A">
            <w:pPr>
              <w:spacing w:after="0"/>
              <w:rPr>
                <w:lang w:val="es-MX" w:eastAsia="ar-SA"/>
              </w:rPr>
            </w:pPr>
          </w:p>
        </w:tc>
        <w:tc>
          <w:tcPr>
            <w:tcW w:w="870" w:type="pct"/>
            <w:vAlign w:val="center"/>
          </w:tcPr>
          <w:p w:rsidR="00287EAA" w:rsidRPr="006615CA" w:rsidRDefault="00287EAA" w:rsidP="002B214A">
            <w:pPr>
              <w:spacing w:after="0"/>
              <w:jc w:val="left"/>
              <w:rPr>
                <w:lang w:val="es-MX" w:eastAsia="ar-SA"/>
              </w:rPr>
            </w:pPr>
            <w:r w:rsidRPr="006615CA">
              <w:rPr>
                <w:lang w:val="es-MX" w:eastAsia="ar-SA"/>
              </w:rPr>
              <w:t>Dependencia</w:t>
            </w:r>
          </w:p>
        </w:tc>
        <w:tc>
          <w:tcPr>
            <w:tcW w:w="3874" w:type="pct"/>
            <w:vAlign w:val="center"/>
          </w:tcPr>
          <w:p w:rsidR="00287EAA" w:rsidRDefault="00287EAA" w:rsidP="002B214A">
            <w:pPr>
              <w:spacing w:after="0"/>
            </w:pPr>
          </w:p>
        </w:tc>
      </w:tr>
      <w:tr w:rsidR="00287EAA" w:rsidRPr="00A15977" w:rsidTr="009C14A4">
        <w:trPr>
          <w:trHeight w:val="20"/>
          <w:jc w:val="center"/>
        </w:trPr>
        <w:tc>
          <w:tcPr>
            <w:tcW w:w="256" w:type="pct"/>
            <w:vMerge/>
          </w:tcPr>
          <w:p w:rsidR="00287EAA" w:rsidRPr="00A416C3" w:rsidRDefault="00287EAA" w:rsidP="002B214A">
            <w:pPr>
              <w:spacing w:after="0"/>
              <w:rPr>
                <w:lang w:val="es-MX" w:eastAsia="ar-SA"/>
              </w:rPr>
            </w:pPr>
          </w:p>
        </w:tc>
        <w:tc>
          <w:tcPr>
            <w:tcW w:w="870" w:type="pct"/>
            <w:vAlign w:val="center"/>
          </w:tcPr>
          <w:p w:rsidR="00287EAA" w:rsidRPr="006615CA" w:rsidRDefault="00287EAA" w:rsidP="002B214A">
            <w:pPr>
              <w:spacing w:after="0"/>
              <w:jc w:val="left"/>
              <w:rPr>
                <w:lang w:val="es-MX" w:eastAsia="ar-SA"/>
              </w:rPr>
            </w:pPr>
            <w:r w:rsidRPr="006615CA">
              <w:rPr>
                <w:lang w:val="es-MX" w:eastAsia="ar-SA"/>
              </w:rPr>
              <w:t>Nombre del funcionario</w:t>
            </w:r>
          </w:p>
        </w:tc>
        <w:tc>
          <w:tcPr>
            <w:tcW w:w="3874" w:type="pct"/>
            <w:vAlign w:val="center"/>
          </w:tcPr>
          <w:p w:rsidR="00287EAA" w:rsidRPr="00B771A6" w:rsidRDefault="00287EAA" w:rsidP="002B214A">
            <w:pPr>
              <w:spacing w:after="0"/>
              <w:rPr>
                <w:lang w:eastAsia="ar-SA"/>
              </w:rPr>
            </w:pPr>
          </w:p>
        </w:tc>
      </w:tr>
      <w:tr w:rsidR="00287EAA" w:rsidRPr="00A15977" w:rsidTr="009C14A4">
        <w:trPr>
          <w:trHeight w:val="20"/>
          <w:jc w:val="center"/>
        </w:trPr>
        <w:tc>
          <w:tcPr>
            <w:tcW w:w="256" w:type="pct"/>
            <w:vMerge/>
          </w:tcPr>
          <w:p w:rsidR="00287EAA" w:rsidRPr="00A416C3" w:rsidRDefault="00287EAA" w:rsidP="002B214A">
            <w:pPr>
              <w:spacing w:after="0"/>
              <w:rPr>
                <w:lang w:val="es-MX" w:eastAsia="ar-SA"/>
              </w:rPr>
            </w:pPr>
          </w:p>
        </w:tc>
        <w:tc>
          <w:tcPr>
            <w:tcW w:w="870" w:type="pct"/>
            <w:vAlign w:val="center"/>
          </w:tcPr>
          <w:p w:rsidR="00287EAA" w:rsidRPr="006615CA" w:rsidRDefault="00287EAA" w:rsidP="002B214A">
            <w:pPr>
              <w:spacing w:after="0"/>
              <w:jc w:val="left"/>
              <w:rPr>
                <w:lang w:val="es-MX" w:eastAsia="ar-SA"/>
              </w:rPr>
            </w:pPr>
            <w:r w:rsidRPr="006615CA">
              <w:rPr>
                <w:lang w:val="es-MX" w:eastAsia="ar-SA"/>
              </w:rPr>
              <w:t>Cargo</w:t>
            </w:r>
          </w:p>
        </w:tc>
        <w:tc>
          <w:tcPr>
            <w:tcW w:w="3874" w:type="pct"/>
            <w:vAlign w:val="center"/>
          </w:tcPr>
          <w:p w:rsidR="00287EAA" w:rsidRPr="00B771A6" w:rsidRDefault="00287EAA" w:rsidP="002B214A">
            <w:pPr>
              <w:spacing w:after="0"/>
              <w:rPr>
                <w:lang w:eastAsia="ar-SA"/>
              </w:rPr>
            </w:pPr>
          </w:p>
        </w:tc>
      </w:tr>
      <w:tr w:rsidR="00287EAA" w:rsidRPr="00A15977" w:rsidTr="009C14A4">
        <w:trPr>
          <w:trHeight w:val="20"/>
          <w:jc w:val="center"/>
        </w:trPr>
        <w:tc>
          <w:tcPr>
            <w:tcW w:w="256" w:type="pct"/>
            <w:vMerge/>
          </w:tcPr>
          <w:p w:rsidR="00287EAA" w:rsidRPr="00A416C3" w:rsidRDefault="00287EAA" w:rsidP="002B214A">
            <w:pPr>
              <w:spacing w:after="0"/>
              <w:rPr>
                <w:lang w:val="es-MX" w:eastAsia="ar-SA"/>
              </w:rPr>
            </w:pPr>
          </w:p>
        </w:tc>
        <w:tc>
          <w:tcPr>
            <w:tcW w:w="870" w:type="pct"/>
            <w:vAlign w:val="center"/>
          </w:tcPr>
          <w:p w:rsidR="00287EAA" w:rsidRPr="006615CA" w:rsidRDefault="00287EAA" w:rsidP="002B214A">
            <w:pPr>
              <w:spacing w:after="0"/>
              <w:jc w:val="left"/>
              <w:rPr>
                <w:lang w:eastAsia="ar-SA"/>
              </w:rPr>
            </w:pPr>
            <w:r w:rsidRPr="006615CA">
              <w:rPr>
                <w:lang w:eastAsia="ar-SA"/>
              </w:rPr>
              <w:t>Correo electrónico</w:t>
            </w:r>
          </w:p>
        </w:tc>
        <w:tc>
          <w:tcPr>
            <w:tcW w:w="3874" w:type="pct"/>
            <w:vAlign w:val="center"/>
          </w:tcPr>
          <w:p w:rsidR="00287EAA" w:rsidRPr="00B771A6" w:rsidRDefault="00287EAA" w:rsidP="002B214A">
            <w:pPr>
              <w:spacing w:after="0"/>
              <w:rPr>
                <w:sz w:val="20"/>
                <w:lang w:eastAsia="ar-SA"/>
              </w:rPr>
            </w:pPr>
          </w:p>
        </w:tc>
      </w:tr>
      <w:tr w:rsidR="00287EAA" w:rsidRPr="00A15977" w:rsidTr="009C14A4">
        <w:trPr>
          <w:trHeight w:val="20"/>
          <w:jc w:val="center"/>
        </w:trPr>
        <w:tc>
          <w:tcPr>
            <w:tcW w:w="256" w:type="pct"/>
            <w:vMerge/>
          </w:tcPr>
          <w:p w:rsidR="00287EAA" w:rsidRPr="00A416C3" w:rsidRDefault="00287EAA" w:rsidP="002B214A">
            <w:pPr>
              <w:spacing w:after="0"/>
              <w:rPr>
                <w:lang w:val="es-MX" w:eastAsia="ar-SA"/>
              </w:rPr>
            </w:pPr>
          </w:p>
        </w:tc>
        <w:tc>
          <w:tcPr>
            <w:tcW w:w="870" w:type="pct"/>
            <w:vAlign w:val="center"/>
          </w:tcPr>
          <w:p w:rsidR="00287EAA" w:rsidRPr="006615CA" w:rsidRDefault="00287EAA" w:rsidP="002B214A">
            <w:pPr>
              <w:spacing w:after="0"/>
              <w:jc w:val="left"/>
              <w:rPr>
                <w:lang w:val="es-MX" w:eastAsia="ar-SA"/>
              </w:rPr>
            </w:pPr>
            <w:r w:rsidRPr="006615CA">
              <w:rPr>
                <w:lang w:val="es-MX" w:eastAsia="ar-SA"/>
              </w:rPr>
              <w:t>Teléfono</w:t>
            </w:r>
          </w:p>
        </w:tc>
        <w:tc>
          <w:tcPr>
            <w:tcW w:w="3874" w:type="pct"/>
            <w:vAlign w:val="center"/>
          </w:tcPr>
          <w:p w:rsidR="00287EAA" w:rsidRPr="00B771A6" w:rsidRDefault="00287EAA" w:rsidP="002B214A">
            <w:pPr>
              <w:spacing w:after="0"/>
              <w:rPr>
                <w:lang w:eastAsia="ar-SA"/>
              </w:rPr>
            </w:pPr>
          </w:p>
        </w:tc>
      </w:tr>
      <w:tr w:rsidR="00287EAA" w:rsidRPr="007E60E5" w:rsidTr="009C14A4">
        <w:trPr>
          <w:trHeight w:val="20"/>
          <w:jc w:val="center"/>
        </w:trPr>
        <w:tc>
          <w:tcPr>
            <w:tcW w:w="256" w:type="pct"/>
            <w:vMerge/>
          </w:tcPr>
          <w:p w:rsidR="00287EAA" w:rsidRPr="00A416C3" w:rsidRDefault="00287EAA" w:rsidP="002B214A">
            <w:pPr>
              <w:spacing w:after="0"/>
              <w:rPr>
                <w:lang w:val="es-MX" w:eastAsia="ar-SA"/>
              </w:rPr>
            </w:pPr>
          </w:p>
        </w:tc>
        <w:tc>
          <w:tcPr>
            <w:tcW w:w="870" w:type="pct"/>
            <w:vAlign w:val="center"/>
          </w:tcPr>
          <w:p w:rsidR="00287EAA" w:rsidRPr="006615CA" w:rsidRDefault="00287EAA" w:rsidP="002B214A">
            <w:pPr>
              <w:spacing w:after="0"/>
              <w:rPr>
                <w:lang w:val="es-MX" w:eastAsia="ar-SA"/>
              </w:rPr>
            </w:pPr>
            <w:r w:rsidRPr="006615CA">
              <w:rPr>
                <w:lang w:val="es-MX" w:eastAsia="ar-SA"/>
              </w:rPr>
              <w:t>Dirección</w:t>
            </w:r>
          </w:p>
        </w:tc>
        <w:tc>
          <w:tcPr>
            <w:tcW w:w="3874" w:type="pct"/>
            <w:vAlign w:val="center"/>
          </w:tcPr>
          <w:p w:rsidR="00287EAA" w:rsidRPr="00B771A6" w:rsidRDefault="00287EAA" w:rsidP="002B214A">
            <w:pPr>
              <w:spacing w:after="0"/>
              <w:rPr>
                <w:lang w:eastAsia="ar-SA"/>
              </w:rPr>
            </w:pPr>
          </w:p>
        </w:tc>
      </w:tr>
    </w:tbl>
    <w:p w:rsidR="005F185A" w:rsidRDefault="005F185A" w:rsidP="00001BD6">
      <w:pPr>
        <w:pStyle w:val="Sinespaciado1"/>
        <w:rPr>
          <w:lang w:val="es-MX"/>
        </w:rPr>
      </w:pPr>
    </w:p>
    <w:p w:rsidR="005106CA" w:rsidRDefault="005106CA"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10"/>
        <w:gridCol w:w="1734"/>
        <w:gridCol w:w="7722"/>
      </w:tblGrid>
      <w:tr w:rsidR="009214B8" w:rsidRPr="00A15977" w:rsidTr="00296CD6">
        <w:trPr>
          <w:trHeight w:val="20"/>
          <w:jc w:val="center"/>
        </w:trPr>
        <w:tc>
          <w:tcPr>
            <w:tcW w:w="5000" w:type="pct"/>
            <w:gridSpan w:val="3"/>
            <w:vAlign w:val="center"/>
          </w:tcPr>
          <w:p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rsidTr="00296CD6">
        <w:trPr>
          <w:trHeight w:val="20"/>
          <w:jc w:val="center"/>
        </w:trPr>
        <w:tc>
          <w:tcPr>
            <w:tcW w:w="256" w:type="pct"/>
            <w:vMerge w:val="restart"/>
            <w:vAlign w:val="center"/>
          </w:tcPr>
          <w:p w:rsidR="009214B8" w:rsidRPr="00A416C3" w:rsidRDefault="009214B8" w:rsidP="00296CD6">
            <w:pPr>
              <w:rPr>
                <w:lang w:val="es-MX" w:eastAsia="ar-SA"/>
              </w:rPr>
            </w:pPr>
            <w:r>
              <w:rPr>
                <w:lang w:val="es-MX" w:eastAsia="ar-SA"/>
              </w:rPr>
              <w:t>1</w:t>
            </w:r>
          </w:p>
        </w:tc>
        <w:tc>
          <w:tcPr>
            <w:tcW w:w="870" w:type="pct"/>
            <w:vAlign w:val="center"/>
          </w:tcPr>
          <w:p w:rsidR="009214B8" w:rsidRPr="00746D28" w:rsidRDefault="009214B8" w:rsidP="00296CD6">
            <w:pPr>
              <w:pStyle w:val="Ttulo4"/>
              <w:jc w:val="left"/>
            </w:pPr>
            <w:r w:rsidRPr="00746D28">
              <w:t>Entidad</w:t>
            </w:r>
          </w:p>
        </w:tc>
        <w:tc>
          <w:tcPr>
            <w:tcW w:w="3874" w:type="pct"/>
            <w:vAlign w:val="center"/>
          </w:tcPr>
          <w:p w:rsidR="009214B8" w:rsidRDefault="009214B8" w:rsidP="009214B8">
            <w:r>
              <w:rPr>
                <w:lang w:eastAsia="ar-SA"/>
              </w:rPr>
              <w:t>Ministerio de Ambiente y Desarrollo Sostenible MADS</w:t>
            </w:r>
          </w:p>
        </w:tc>
      </w:tr>
      <w:tr w:rsidR="009214B8" w:rsidRPr="00A15977" w:rsidTr="00296CD6">
        <w:trPr>
          <w:trHeight w:val="20"/>
          <w:jc w:val="center"/>
        </w:trPr>
        <w:tc>
          <w:tcPr>
            <w:tcW w:w="256" w:type="pct"/>
            <w:vMerge/>
          </w:tcPr>
          <w:p w:rsidR="009214B8" w:rsidRPr="00A416C3" w:rsidRDefault="009214B8" w:rsidP="00296CD6">
            <w:pPr>
              <w:rPr>
                <w:lang w:val="es-MX" w:eastAsia="ar-SA"/>
              </w:rPr>
            </w:pPr>
          </w:p>
        </w:tc>
        <w:tc>
          <w:tcPr>
            <w:tcW w:w="870" w:type="pct"/>
            <w:vAlign w:val="center"/>
          </w:tcPr>
          <w:p w:rsidR="009214B8" w:rsidRPr="006615CA" w:rsidRDefault="009214B8" w:rsidP="00296CD6">
            <w:pPr>
              <w:jc w:val="left"/>
              <w:rPr>
                <w:lang w:val="es-MX" w:eastAsia="ar-SA"/>
              </w:rPr>
            </w:pPr>
            <w:r w:rsidRPr="006615CA">
              <w:rPr>
                <w:lang w:val="es-MX" w:eastAsia="ar-SA"/>
              </w:rPr>
              <w:t>Dependencia</w:t>
            </w:r>
          </w:p>
        </w:tc>
        <w:tc>
          <w:tcPr>
            <w:tcW w:w="3874" w:type="pct"/>
            <w:vAlign w:val="center"/>
          </w:tcPr>
          <w:p w:rsidR="009214B8" w:rsidRDefault="00490676" w:rsidP="00490676">
            <w:r>
              <w:rPr>
                <w:lang w:eastAsia="ar-SA"/>
              </w:rPr>
              <w:t xml:space="preserve">Dirección </w:t>
            </w:r>
            <w:r w:rsidRPr="00490676">
              <w:rPr>
                <w:lang w:eastAsia="ar-SA"/>
              </w:rPr>
              <w:t xml:space="preserve">de Ordenamiento Territorial y Coordinación del Sistema Ambiental </w:t>
            </w:r>
            <w:r w:rsidR="00A65BFB">
              <w:rPr>
                <w:lang w:eastAsia="ar-SA"/>
              </w:rPr>
              <w:t>–</w:t>
            </w:r>
            <w:r w:rsidRPr="00490676">
              <w:rPr>
                <w:lang w:eastAsia="ar-SA"/>
              </w:rPr>
              <w:t xml:space="preserve"> SINA</w:t>
            </w:r>
          </w:p>
        </w:tc>
      </w:tr>
      <w:tr w:rsidR="009214B8" w:rsidRPr="00A15977" w:rsidTr="00296CD6">
        <w:trPr>
          <w:trHeight w:val="20"/>
          <w:jc w:val="center"/>
        </w:trPr>
        <w:tc>
          <w:tcPr>
            <w:tcW w:w="256" w:type="pct"/>
            <w:vMerge/>
          </w:tcPr>
          <w:p w:rsidR="009214B8" w:rsidRPr="00A416C3" w:rsidRDefault="009214B8" w:rsidP="002B214A">
            <w:pPr>
              <w:spacing w:after="0"/>
              <w:rPr>
                <w:lang w:val="es-MX" w:eastAsia="ar-SA"/>
              </w:rPr>
            </w:pPr>
          </w:p>
        </w:tc>
        <w:tc>
          <w:tcPr>
            <w:tcW w:w="870" w:type="pct"/>
            <w:vAlign w:val="center"/>
          </w:tcPr>
          <w:p w:rsidR="009214B8" w:rsidRPr="006615CA" w:rsidRDefault="009214B8" w:rsidP="002B214A">
            <w:pPr>
              <w:spacing w:after="0"/>
              <w:jc w:val="left"/>
              <w:rPr>
                <w:lang w:val="es-MX" w:eastAsia="ar-SA"/>
              </w:rPr>
            </w:pPr>
            <w:r w:rsidRPr="006615CA">
              <w:rPr>
                <w:lang w:val="es-MX" w:eastAsia="ar-SA"/>
              </w:rPr>
              <w:t>Nombre del funcionario</w:t>
            </w:r>
          </w:p>
        </w:tc>
        <w:tc>
          <w:tcPr>
            <w:tcW w:w="3874" w:type="pct"/>
            <w:vAlign w:val="center"/>
          </w:tcPr>
          <w:p w:rsidR="009214B8" w:rsidRPr="00B771A6" w:rsidRDefault="009214B8" w:rsidP="002B214A">
            <w:pPr>
              <w:spacing w:after="0"/>
              <w:rPr>
                <w:lang w:eastAsia="ar-SA"/>
              </w:rPr>
            </w:pPr>
          </w:p>
        </w:tc>
      </w:tr>
      <w:tr w:rsidR="009214B8" w:rsidRPr="00A15977" w:rsidTr="00296CD6">
        <w:trPr>
          <w:trHeight w:val="20"/>
          <w:jc w:val="center"/>
        </w:trPr>
        <w:tc>
          <w:tcPr>
            <w:tcW w:w="256" w:type="pct"/>
            <w:vMerge/>
          </w:tcPr>
          <w:p w:rsidR="009214B8" w:rsidRPr="00A416C3" w:rsidRDefault="009214B8" w:rsidP="002B214A">
            <w:pPr>
              <w:spacing w:after="0"/>
              <w:rPr>
                <w:lang w:val="es-MX" w:eastAsia="ar-SA"/>
              </w:rPr>
            </w:pPr>
          </w:p>
        </w:tc>
        <w:tc>
          <w:tcPr>
            <w:tcW w:w="870" w:type="pct"/>
            <w:vAlign w:val="center"/>
          </w:tcPr>
          <w:p w:rsidR="009214B8" w:rsidRPr="006615CA" w:rsidRDefault="009214B8" w:rsidP="002B214A">
            <w:pPr>
              <w:spacing w:after="0"/>
              <w:jc w:val="left"/>
              <w:rPr>
                <w:lang w:val="es-MX" w:eastAsia="ar-SA"/>
              </w:rPr>
            </w:pPr>
            <w:r w:rsidRPr="006615CA">
              <w:rPr>
                <w:lang w:val="es-MX" w:eastAsia="ar-SA"/>
              </w:rPr>
              <w:t>Cargo</w:t>
            </w:r>
          </w:p>
        </w:tc>
        <w:tc>
          <w:tcPr>
            <w:tcW w:w="3874" w:type="pct"/>
            <w:vAlign w:val="center"/>
          </w:tcPr>
          <w:p w:rsidR="009214B8" w:rsidRPr="00B771A6" w:rsidRDefault="009214B8" w:rsidP="002B214A">
            <w:pPr>
              <w:spacing w:after="0"/>
              <w:rPr>
                <w:lang w:eastAsia="ar-SA"/>
              </w:rPr>
            </w:pPr>
          </w:p>
        </w:tc>
      </w:tr>
      <w:tr w:rsidR="009214B8" w:rsidRPr="00A15977" w:rsidTr="00296CD6">
        <w:trPr>
          <w:trHeight w:val="20"/>
          <w:jc w:val="center"/>
        </w:trPr>
        <w:tc>
          <w:tcPr>
            <w:tcW w:w="256" w:type="pct"/>
            <w:vMerge/>
          </w:tcPr>
          <w:p w:rsidR="009214B8" w:rsidRPr="00A416C3" w:rsidRDefault="009214B8" w:rsidP="002B214A">
            <w:pPr>
              <w:spacing w:after="0"/>
              <w:rPr>
                <w:lang w:val="es-MX" w:eastAsia="ar-SA"/>
              </w:rPr>
            </w:pPr>
          </w:p>
        </w:tc>
        <w:tc>
          <w:tcPr>
            <w:tcW w:w="870" w:type="pct"/>
            <w:vAlign w:val="center"/>
          </w:tcPr>
          <w:p w:rsidR="009214B8" w:rsidRPr="006615CA" w:rsidRDefault="009214B8" w:rsidP="002B214A">
            <w:pPr>
              <w:spacing w:after="0"/>
              <w:jc w:val="left"/>
              <w:rPr>
                <w:lang w:eastAsia="ar-SA"/>
              </w:rPr>
            </w:pPr>
            <w:r w:rsidRPr="006615CA">
              <w:rPr>
                <w:lang w:eastAsia="ar-SA"/>
              </w:rPr>
              <w:t>Correo electrónico</w:t>
            </w:r>
          </w:p>
        </w:tc>
        <w:tc>
          <w:tcPr>
            <w:tcW w:w="3874" w:type="pct"/>
            <w:vAlign w:val="center"/>
          </w:tcPr>
          <w:p w:rsidR="009214B8" w:rsidRPr="00B771A6" w:rsidRDefault="009214B8" w:rsidP="002B214A">
            <w:pPr>
              <w:spacing w:after="0"/>
              <w:rPr>
                <w:sz w:val="20"/>
                <w:lang w:eastAsia="ar-SA"/>
              </w:rPr>
            </w:pPr>
          </w:p>
        </w:tc>
      </w:tr>
      <w:tr w:rsidR="009214B8" w:rsidRPr="00A15977" w:rsidTr="00296CD6">
        <w:trPr>
          <w:trHeight w:val="20"/>
          <w:jc w:val="center"/>
        </w:trPr>
        <w:tc>
          <w:tcPr>
            <w:tcW w:w="256" w:type="pct"/>
            <w:vMerge/>
          </w:tcPr>
          <w:p w:rsidR="009214B8" w:rsidRPr="00A416C3" w:rsidRDefault="009214B8" w:rsidP="002B214A">
            <w:pPr>
              <w:spacing w:after="0"/>
              <w:rPr>
                <w:lang w:val="es-MX" w:eastAsia="ar-SA"/>
              </w:rPr>
            </w:pPr>
          </w:p>
        </w:tc>
        <w:tc>
          <w:tcPr>
            <w:tcW w:w="870" w:type="pct"/>
            <w:vAlign w:val="center"/>
          </w:tcPr>
          <w:p w:rsidR="009214B8" w:rsidRPr="006615CA" w:rsidRDefault="009214B8" w:rsidP="002B214A">
            <w:pPr>
              <w:spacing w:after="0"/>
              <w:jc w:val="left"/>
              <w:rPr>
                <w:lang w:val="es-MX" w:eastAsia="ar-SA"/>
              </w:rPr>
            </w:pPr>
            <w:r w:rsidRPr="006615CA">
              <w:rPr>
                <w:lang w:val="es-MX" w:eastAsia="ar-SA"/>
              </w:rPr>
              <w:t>Teléfono</w:t>
            </w:r>
          </w:p>
        </w:tc>
        <w:tc>
          <w:tcPr>
            <w:tcW w:w="3874" w:type="pct"/>
            <w:vAlign w:val="center"/>
          </w:tcPr>
          <w:p w:rsidR="009214B8" w:rsidRPr="00B771A6" w:rsidRDefault="009214B8" w:rsidP="002B214A">
            <w:pPr>
              <w:spacing w:after="0"/>
              <w:rPr>
                <w:lang w:eastAsia="ar-SA"/>
              </w:rPr>
            </w:pPr>
          </w:p>
        </w:tc>
      </w:tr>
      <w:tr w:rsidR="009214B8" w:rsidRPr="007E60E5" w:rsidTr="00296CD6">
        <w:trPr>
          <w:trHeight w:val="20"/>
          <w:jc w:val="center"/>
        </w:trPr>
        <w:tc>
          <w:tcPr>
            <w:tcW w:w="256" w:type="pct"/>
            <w:vMerge/>
          </w:tcPr>
          <w:p w:rsidR="009214B8" w:rsidRPr="00A416C3" w:rsidRDefault="009214B8" w:rsidP="002B214A">
            <w:pPr>
              <w:spacing w:after="0"/>
              <w:rPr>
                <w:lang w:val="es-MX" w:eastAsia="ar-SA"/>
              </w:rPr>
            </w:pPr>
          </w:p>
        </w:tc>
        <w:tc>
          <w:tcPr>
            <w:tcW w:w="870" w:type="pct"/>
            <w:vAlign w:val="center"/>
          </w:tcPr>
          <w:p w:rsidR="009214B8" w:rsidRPr="006615CA" w:rsidRDefault="009214B8" w:rsidP="002B214A">
            <w:pPr>
              <w:spacing w:after="0"/>
              <w:rPr>
                <w:lang w:val="es-MX" w:eastAsia="ar-SA"/>
              </w:rPr>
            </w:pPr>
            <w:r w:rsidRPr="006615CA">
              <w:rPr>
                <w:lang w:val="es-MX" w:eastAsia="ar-SA"/>
              </w:rPr>
              <w:t>Dirección</w:t>
            </w:r>
          </w:p>
        </w:tc>
        <w:tc>
          <w:tcPr>
            <w:tcW w:w="3874" w:type="pct"/>
            <w:vAlign w:val="center"/>
          </w:tcPr>
          <w:p w:rsidR="009214B8" w:rsidRPr="00B771A6" w:rsidRDefault="009214B8" w:rsidP="002B214A">
            <w:pPr>
              <w:spacing w:after="0"/>
              <w:rPr>
                <w:lang w:eastAsia="ar-SA"/>
              </w:rPr>
            </w:pPr>
          </w:p>
        </w:tc>
      </w:tr>
    </w:tbl>
    <w:p w:rsidR="009214B8" w:rsidRDefault="009214B8" w:rsidP="00001BD6">
      <w:pPr>
        <w:pStyle w:val="Sinespaciado1"/>
        <w:rPr>
          <w:lang w:val="es-MX"/>
        </w:rPr>
      </w:pPr>
    </w:p>
    <w:p w:rsidR="00CA73CC" w:rsidRDefault="00CA73CC"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93"/>
        <w:gridCol w:w="772"/>
        <w:gridCol w:w="5585"/>
        <w:gridCol w:w="2816"/>
      </w:tblGrid>
      <w:tr w:rsidR="00FD029B" w:rsidRPr="002224EE" w:rsidTr="00096B75">
        <w:trPr>
          <w:trHeight w:val="20"/>
          <w:jc w:val="center"/>
        </w:trPr>
        <w:tc>
          <w:tcPr>
            <w:tcW w:w="5000" w:type="pct"/>
            <w:gridSpan w:val="4"/>
            <w:vAlign w:val="center"/>
          </w:tcPr>
          <w:p w:rsidR="00FD029B" w:rsidRPr="00653933" w:rsidRDefault="00FD029B" w:rsidP="00BE18F3">
            <w:pPr>
              <w:pStyle w:val="Ttulo7"/>
              <w:rPr>
                <w:i/>
                <w:sz w:val="18"/>
                <w:szCs w:val="22"/>
                <w:u w:val="none"/>
                <w:lang w:val="es-MX" w:eastAsia="en-US"/>
              </w:rPr>
            </w:pPr>
            <w:r w:rsidRPr="00D77866">
              <w:lastRenderedPageBreak/>
              <w:t>Información sobre la Hoja Metodológica</w:t>
            </w:r>
            <w:r>
              <w:t xml:space="preserve"> </w:t>
            </w:r>
          </w:p>
        </w:tc>
      </w:tr>
      <w:tr w:rsidR="007223F6" w:rsidRPr="00B771A6" w:rsidTr="00490676">
        <w:trPr>
          <w:trHeight w:val="20"/>
          <w:jc w:val="center"/>
        </w:trPr>
        <w:tc>
          <w:tcPr>
            <w:tcW w:w="368" w:type="pct"/>
            <w:vAlign w:val="center"/>
          </w:tcPr>
          <w:p w:rsidR="00FD029B" w:rsidRPr="005317D5" w:rsidRDefault="00FD029B" w:rsidP="00BE18F3">
            <w:pPr>
              <w:rPr>
                <w:bCs/>
              </w:rPr>
            </w:pPr>
            <w:r w:rsidRPr="005317D5">
              <w:rPr>
                <w:lang w:val="es-ES"/>
              </w:rPr>
              <w:t>Fecha</w:t>
            </w:r>
          </w:p>
        </w:tc>
        <w:tc>
          <w:tcPr>
            <w:tcW w:w="387" w:type="pct"/>
            <w:vAlign w:val="center"/>
          </w:tcPr>
          <w:p w:rsidR="00FD029B" w:rsidRPr="005317D5" w:rsidRDefault="00FD029B" w:rsidP="00BE18F3">
            <w:pPr>
              <w:rPr>
                <w:lang w:val="es-ES"/>
              </w:rPr>
            </w:pPr>
            <w:r w:rsidRPr="005317D5">
              <w:rPr>
                <w:lang w:val="es-ES"/>
              </w:rPr>
              <w:t>Versión</w:t>
            </w:r>
          </w:p>
        </w:tc>
        <w:tc>
          <w:tcPr>
            <w:tcW w:w="2817" w:type="pct"/>
            <w:vAlign w:val="center"/>
          </w:tcPr>
          <w:p w:rsidR="00FD029B" w:rsidRPr="005317D5" w:rsidRDefault="00FD029B" w:rsidP="00BE18F3">
            <w:pPr>
              <w:rPr>
                <w:lang w:val="es-MX" w:eastAsia="ar-SA"/>
              </w:rPr>
            </w:pPr>
            <w:r w:rsidRPr="005317D5">
              <w:rPr>
                <w:lang w:val="es-ES"/>
              </w:rPr>
              <w:t>Datos del autor o de quien ajustó la hoja metodológica</w:t>
            </w:r>
          </w:p>
        </w:tc>
        <w:tc>
          <w:tcPr>
            <w:tcW w:w="1428" w:type="pct"/>
            <w:vAlign w:val="center"/>
          </w:tcPr>
          <w:p w:rsidR="00FD029B" w:rsidRPr="005317D5" w:rsidRDefault="00FD029B" w:rsidP="00BE18F3">
            <w:pPr>
              <w:rPr>
                <w:lang w:val="es-ES"/>
              </w:rPr>
            </w:pPr>
            <w:r>
              <w:rPr>
                <w:lang w:val="es-ES"/>
              </w:rPr>
              <w:t>Descripción de los ajustes</w:t>
            </w:r>
          </w:p>
        </w:tc>
      </w:tr>
      <w:tr w:rsidR="007223F6" w:rsidRPr="0093050D" w:rsidTr="00490676">
        <w:trPr>
          <w:trHeight w:val="20"/>
          <w:jc w:val="center"/>
        </w:trPr>
        <w:tc>
          <w:tcPr>
            <w:tcW w:w="368" w:type="pct"/>
            <w:vAlign w:val="center"/>
          </w:tcPr>
          <w:p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rsidR="00FD029B" w:rsidRPr="0093050D" w:rsidRDefault="00854054" w:rsidP="00BE18F3">
            <w:pPr>
              <w:rPr>
                <w:lang w:val="es-MX"/>
              </w:rPr>
            </w:pPr>
            <w:r>
              <w:rPr>
                <w:lang w:val="es-MX"/>
              </w:rPr>
              <w:t>0</w:t>
            </w:r>
            <w:r w:rsidR="00490676">
              <w:rPr>
                <w:lang w:val="es-MX"/>
              </w:rPr>
              <w:t>,01</w:t>
            </w:r>
            <w:r w:rsidR="00FD029B" w:rsidRPr="0093050D">
              <w:rPr>
                <w:lang w:val="es-MX"/>
              </w:rPr>
              <w:t xml:space="preserve"> </w:t>
            </w:r>
          </w:p>
        </w:tc>
        <w:tc>
          <w:tcPr>
            <w:tcW w:w="2817" w:type="pct"/>
          </w:tcPr>
          <w:p w:rsidR="00490676" w:rsidRDefault="00FD029B" w:rsidP="00096B75">
            <w:pPr>
              <w:spacing w:after="0"/>
              <w:rPr>
                <w:i/>
                <w:lang w:val="es-ES"/>
              </w:rPr>
            </w:pPr>
            <w:r w:rsidRPr="0093050D">
              <w:rPr>
                <w:lang w:val="es-ES"/>
              </w:rPr>
              <w:t>Nombre funcionario:</w:t>
            </w:r>
            <w:r w:rsidRPr="0093050D">
              <w:rPr>
                <w:i/>
                <w:lang w:val="es-ES"/>
              </w:rPr>
              <w:t xml:space="preserve"> </w:t>
            </w:r>
          </w:p>
          <w:p w:rsidR="00FD029B" w:rsidRPr="0093050D" w:rsidRDefault="00FD029B" w:rsidP="00096B75">
            <w:pPr>
              <w:spacing w:after="0"/>
              <w:rPr>
                <w:lang w:val="es-MX" w:eastAsia="ar-SA"/>
              </w:rPr>
            </w:pPr>
            <w:r w:rsidRPr="0093050D">
              <w:rPr>
                <w:lang w:val="es-ES"/>
              </w:rPr>
              <w:t>Cargo:</w:t>
            </w:r>
            <w:r w:rsidR="00096B75">
              <w:rPr>
                <w:lang w:val="es-ES"/>
              </w:rPr>
              <w:t xml:space="preserve"> </w:t>
            </w:r>
          </w:p>
          <w:p w:rsidR="00FD029B" w:rsidRPr="0093050D" w:rsidRDefault="00FD029B" w:rsidP="00096B75">
            <w:pPr>
              <w:spacing w:after="0"/>
              <w:rPr>
                <w:lang w:eastAsia="ar-SA"/>
              </w:rPr>
            </w:pPr>
            <w:r w:rsidRPr="0093050D">
              <w:rPr>
                <w:lang w:val="es-ES"/>
              </w:rPr>
              <w:t>Dependencia:</w:t>
            </w:r>
            <w:r w:rsidR="00096B75">
              <w:rPr>
                <w:lang w:val="es-ES"/>
              </w:rPr>
              <w:t xml:space="preserve"> </w:t>
            </w:r>
          </w:p>
          <w:p w:rsidR="00490676" w:rsidRDefault="00FD029B" w:rsidP="00096B75">
            <w:pPr>
              <w:spacing w:after="0"/>
              <w:rPr>
                <w:lang w:eastAsia="ar-SA"/>
              </w:rPr>
            </w:pPr>
            <w:r w:rsidRPr="0093050D">
              <w:rPr>
                <w:lang w:val="es-ES"/>
              </w:rPr>
              <w:t>Entidad:</w:t>
            </w:r>
            <w:r w:rsidRPr="0093050D">
              <w:rPr>
                <w:i/>
                <w:lang w:val="es-ES"/>
              </w:rPr>
              <w:t xml:space="preserve"> </w:t>
            </w:r>
          </w:p>
          <w:p w:rsidR="00FD029B" w:rsidRPr="0093050D" w:rsidRDefault="00FD029B" w:rsidP="00096B75">
            <w:pPr>
              <w:spacing w:after="0"/>
              <w:rPr>
                <w:lang w:val="es-MX" w:eastAsia="ar-SA"/>
              </w:rPr>
            </w:pPr>
            <w:r w:rsidRPr="0093050D">
              <w:rPr>
                <w:lang w:val="es-ES"/>
              </w:rPr>
              <w:t>Correo electrónico:</w:t>
            </w:r>
            <w:r w:rsidRPr="0093050D">
              <w:rPr>
                <w:i/>
                <w:lang w:val="es-ES"/>
              </w:rPr>
              <w:t xml:space="preserve"> </w:t>
            </w:r>
          </w:p>
          <w:p w:rsidR="00FD029B" w:rsidRPr="0093050D" w:rsidRDefault="00FD029B" w:rsidP="00096B75">
            <w:pPr>
              <w:spacing w:after="0"/>
              <w:rPr>
                <w:lang w:val="es-MX" w:eastAsia="ar-SA"/>
              </w:rPr>
            </w:pPr>
            <w:r w:rsidRPr="0093050D">
              <w:rPr>
                <w:lang w:val="es-ES"/>
              </w:rPr>
              <w:t>Teléfono:</w:t>
            </w:r>
            <w:r w:rsidRPr="0093050D">
              <w:t xml:space="preserve"> </w:t>
            </w:r>
          </w:p>
          <w:p w:rsidR="00FD029B" w:rsidRPr="0093050D" w:rsidRDefault="00FD029B" w:rsidP="00BE18F3">
            <w:pPr>
              <w:rPr>
                <w:lang w:eastAsia="ar-SA"/>
              </w:rPr>
            </w:pPr>
            <w:r w:rsidRPr="0093050D">
              <w:rPr>
                <w:lang w:val="es-ES"/>
              </w:rPr>
              <w:t>Dirección:</w:t>
            </w:r>
            <w:r w:rsidRPr="0093050D">
              <w:rPr>
                <w:i/>
                <w:lang w:val="es-ES"/>
              </w:rPr>
              <w:t xml:space="preserve"> </w:t>
            </w:r>
          </w:p>
          <w:p w:rsidR="00FD029B" w:rsidRPr="0093050D" w:rsidRDefault="00FD029B" w:rsidP="00D24744">
            <w:pPr>
              <w:rPr>
                <w:i/>
                <w:lang w:eastAsia="ar-SA"/>
              </w:rPr>
            </w:pPr>
            <w:r w:rsidRPr="0093050D">
              <w:rPr>
                <w:b/>
                <w:lang w:val="es-ES"/>
              </w:rPr>
              <w:t>Cítese como:</w:t>
            </w:r>
            <w:r w:rsidR="00490676">
              <w:rPr>
                <w:lang w:eastAsia="ar-SA"/>
              </w:rPr>
              <w:t xml:space="preserve"> MADS </w:t>
            </w:r>
            <w:r w:rsidRPr="0093050D">
              <w:rPr>
                <w:lang w:eastAsia="ar-SA"/>
              </w:rPr>
              <w:t>(201</w:t>
            </w:r>
            <w:r w:rsidR="00490676">
              <w:rPr>
                <w:lang w:eastAsia="ar-SA"/>
              </w:rPr>
              <w:t>6</w:t>
            </w:r>
            <w:r w:rsidRPr="0093050D">
              <w:rPr>
                <w:lang w:eastAsia="ar-SA"/>
              </w:rPr>
              <w:t xml:space="preserve">). </w:t>
            </w:r>
            <w:r w:rsidRPr="0093050D">
              <w:rPr>
                <w:i/>
                <w:lang w:eastAsia="ar-SA"/>
              </w:rPr>
              <w:t>Hoja metodológica</w:t>
            </w:r>
            <w:r w:rsidR="00FA6FB8">
              <w:rPr>
                <w:i/>
                <w:lang w:eastAsia="ar-SA"/>
              </w:rPr>
              <w:t xml:space="preserve"> </w:t>
            </w:r>
            <w:r w:rsidR="00364BF4" w:rsidRPr="00364BF4">
              <w:rPr>
                <w:i/>
                <w:lang w:eastAsia="ar-SA"/>
              </w:rPr>
              <w:t xml:space="preserve">Porcentaje de </w:t>
            </w:r>
            <w:r w:rsidR="005C2853">
              <w:rPr>
                <w:i/>
                <w:lang w:eastAsia="ar-SA"/>
              </w:rPr>
              <w:t>áreas protegidas</w:t>
            </w:r>
            <w:r w:rsidR="00A069C1">
              <w:rPr>
                <w:i/>
                <w:lang w:eastAsia="ar-SA"/>
              </w:rPr>
              <w:t xml:space="preserve"> </w:t>
            </w:r>
            <w:r w:rsidR="00364BF4" w:rsidRPr="00364BF4">
              <w:rPr>
                <w:i/>
                <w:lang w:eastAsia="ar-SA"/>
              </w:rPr>
              <w:t xml:space="preserve">con planes de manejo en ejecución </w:t>
            </w:r>
            <w:r w:rsidRPr="0093050D">
              <w:rPr>
                <w:i/>
                <w:lang w:eastAsia="ar-SA"/>
              </w:rPr>
              <w:t>(Versión 1.0).</w:t>
            </w:r>
            <w:r w:rsidRPr="0093050D">
              <w:rPr>
                <w:lang w:eastAsia="ar-SA"/>
              </w:rPr>
              <w:t xml:space="preserve"> </w:t>
            </w:r>
            <w:r w:rsidR="00490676">
              <w:rPr>
                <w:lang w:eastAsia="ar-SA"/>
              </w:rPr>
              <w:t>Ministerio de Ambie</w:t>
            </w:r>
            <w:r w:rsidR="00D24744">
              <w:rPr>
                <w:lang w:eastAsia="ar-SA"/>
              </w:rPr>
              <w:t>nte y Desarrollo Sostenible y Parques Nacionales Naturales</w:t>
            </w:r>
            <w:r w:rsidR="00490676">
              <w:rPr>
                <w:lang w:eastAsia="ar-SA"/>
              </w:rPr>
              <w:t>.</w:t>
            </w:r>
          </w:p>
        </w:tc>
        <w:tc>
          <w:tcPr>
            <w:tcW w:w="1428" w:type="pct"/>
            <w:vAlign w:val="center"/>
          </w:tcPr>
          <w:p w:rsidR="00FD029B" w:rsidRPr="0093050D" w:rsidRDefault="00FD029B" w:rsidP="00BE18F3">
            <w:pPr>
              <w:rPr>
                <w:lang w:val="es-ES"/>
              </w:rPr>
            </w:pPr>
          </w:p>
        </w:tc>
      </w:tr>
    </w:tbl>
    <w:p w:rsidR="003124F0" w:rsidRDefault="003124F0" w:rsidP="00765D15">
      <w:pPr>
        <w:pStyle w:val="Sinespaciado1"/>
      </w:pPr>
    </w:p>
    <w:p w:rsidR="005106CA" w:rsidRDefault="005106CA" w:rsidP="00765D15">
      <w:pPr>
        <w:pStyle w:val="Sinespaciado1"/>
      </w:pPr>
    </w:p>
    <w:p w:rsidR="003C0E9C" w:rsidRDefault="003C0E9C" w:rsidP="003C0E9C">
      <w:pPr>
        <w:pStyle w:val="Sinespaciado1"/>
      </w:pPr>
    </w:p>
    <w:p w:rsidR="00CA73CC" w:rsidRDefault="00CA73CC" w:rsidP="00CA73CC">
      <w:pPr>
        <w:pStyle w:val="Sinespaciado1"/>
      </w:pPr>
    </w:p>
    <w:p w:rsidR="00CA73CC" w:rsidRDefault="00CA73CC" w:rsidP="00CA73CC">
      <w:pPr>
        <w:pStyle w:val="Sinespaciado1"/>
        <w:rPr>
          <w:sz w:val="20"/>
          <w:szCs w:val="20"/>
        </w:rPr>
      </w:pPr>
      <w:r>
        <w:rPr>
          <w:sz w:val="20"/>
          <w:szCs w:val="20"/>
        </w:rPr>
        <w:t>------------------------------------------------------------------</w:t>
      </w:r>
      <w:r>
        <w:rPr>
          <w:sz w:val="20"/>
          <w:szCs w:val="20"/>
        </w:rPr>
        <w:tab/>
      </w:r>
      <w:r>
        <w:rPr>
          <w:sz w:val="20"/>
          <w:szCs w:val="20"/>
        </w:rPr>
        <w:tab/>
        <w:t>----------------------------------------------------------------------------</w:t>
      </w:r>
    </w:p>
    <w:p w:rsidR="00CA73CC" w:rsidRDefault="00CA73CC" w:rsidP="00CA73CC">
      <w:pPr>
        <w:pStyle w:val="Sinespaciado1"/>
        <w:rPr>
          <w:b/>
          <w:sz w:val="20"/>
          <w:szCs w:val="20"/>
        </w:rPr>
      </w:pPr>
      <w:proofErr w:type="gramStart"/>
      <w:r>
        <w:rPr>
          <w:sz w:val="20"/>
          <w:szCs w:val="20"/>
        </w:rPr>
        <w:t xml:space="preserve">VoBo  </w:t>
      </w:r>
      <w:r>
        <w:rPr>
          <w:b/>
          <w:sz w:val="20"/>
          <w:szCs w:val="20"/>
        </w:rPr>
        <w:t>Director</w:t>
      </w:r>
      <w:proofErr w:type="gramEnd"/>
      <w:r>
        <w:rPr>
          <w:b/>
          <w:sz w:val="20"/>
          <w:szCs w:val="20"/>
        </w:rPr>
        <w:t xml:space="preserve"> Ordenamiento Territorial  – SINA</w:t>
      </w:r>
      <w:r>
        <w:rPr>
          <w:b/>
          <w:sz w:val="20"/>
          <w:szCs w:val="20"/>
        </w:rPr>
        <w:tab/>
      </w:r>
      <w:r>
        <w:rPr>
          <w:b/>
          <w:sz w:val="20"/>
          <w:szCs w:val="20"/>
        </w:rPr>
        <w:tab/>
      </w:r>
      <w:r>
        <w:rPr>
          <w:sz w:val="20"/>
          <w:szCs w:val="20"/>
        </w:rPr>
        <w:t xml:space="preserve">VoBo  </w:t>
      </w:r>
      <w:r>
        <w:rPr>
          <w:b/>
          <w:sz w:val="20"/>
          <w:szCs w:val="20"/>
        </w:rPr>
        <w:t>Viceministro de Ambiente y Desarrollo Sostenible</w:t>
      </w:r>
    </w:p>
    <w:p w:rsidR="00CA73CC" w:rsidRDefault="00CA73CC" w:rsidP="00CA73CC">
      <w:pPr>
        <w:pStyle w:val="Sinespaciado1"/>
      </w:pPr>
    </w:p>
    <w:p w:rsidR="003C0E9C" w:rsidRDefault="003C0E9C" w:rsidP="003C0E9C">
      <w:pPr>
        <w:pStyle w:val="Sinespaciado1"/>
      </w:pPr>
      <w:bookmarkStart w:id="0" w:name="_GoBack"/>
      <w:bookmarkEnd w:id="0"/>
    </w:p>
    <w:p w:rsidR="003C0E9C" w:rsidRDefault="003C0E9C" w:rsidP="003C0E9C">
      <w:pPr>
        <w:pStyle w:val="Sinespaciado1"/>
      </w:pPr>
    </w:p>
    <w:p w:rsidR="00B5059B" w:rsidRDefault="00B5059B" w:rsidP="003C0E9C">
      <w:pPr>
        <w:pStyle w:val="Sinespaciado1"/>
      </w:pPr>
    </w:p>
    <w:p w:rsidR="003C0E9C" w:rsidRDefault="003C0E9C" w:rsidP="003C0E9C">
      <w:pPr>
        <w:pStyle w:val="Sinespaciado1"/>
        <w:rPr>
          <w:b/>
          <w:sz w:val="20"/>
          <w:szCs w:val="20"/>
        </w:rPr>
      </w:pPr>
    </w:p>
    <w:tbl>
      <w:tblPr>
        <w:tblStyle w:val="Tablaconcuadrcula"/>
        <w:tblW w:w="0" w:type="auto"/>
        <w:tblLook w:val="04A0" w:firstRow="1" w:lastRow="0" w:firstColumn="1" w:lastColumn="0" w:noHBand="0" w:noVBand="1"/>
      </w:tblPr>
      <w:tblGrid>
        <w:gridCol w:w="9962"/>
      </w:tblGrid>
      <w:tr w:rsidR="003C0E9C" w:rsidTr="00346E77">
        <w:tc>
          <w:tcPr>
            <w:tcW w:w="10790" w:type="dxa"/>
            <w:tcBorders>
              <w:top w:val="single" w:sz="4" w:space="0" w:color="auto"/>
              <w:left w:val="single" w:sz="4" w:space="0" w:color="auto"/>
              <w:bottom w:val="single" w:sz="4" w:space="0" w:color="auto"/>
              <w:right w:val="single" w:sz="4" w:space="0" w:color="auto"/>
            </w:tcBorders>
            <w:hideMark/>
          </w:tcPr>
          <w:p w:rsidR="003C0E9C" w:rsidRPr="003B68E8" w:rsidRDefault="003C0E9C" w:rsidP="00346E77">
            <w:pPr>
              <w:pStyle w:val="Sinespaciado1"/>
              <w:rPr>
                <w:b/>
                <w:sz w:val="20"/>
                <w:szCs w:val="20"/>
                <w:lang w:val="es-CO"/>
              </w:rPr>
            </w:pPr>
            <w:r w:rsidRPr="003B68E8">
              <w:rPr>
                <w:b/>
                <w:sz w:val="20"/>
                <w:szCs w:val="20"/>
                <w:lang w:val="es-CO"/>
              </w:rPr>
              <w:t>Observaciones</w:t>
            </w:r>
          </w:p>
        </w:tc>
      </w:tr>
      <w:tr w:rsidR="003C0E9C" w:rsidTr="00B5059B">
        <w:trPr>
          <w:trHeight w:val="2432"/>
        </w:trPr>
        <w:tc>
          <w:tcPr>
            <w:tcW w:w="10790" w:type="dxa"/>
            <w:tcBorders>
              <w:top w:val="single" w:sz="4" w:space="0" w:color="auto"/>
              <w:left w:val="single" w:sz="4" w:space="0" w:color="auto"/>
              <w:bottom w:val="single" w:sz="4" w:space="0" w:color="auto"/>
              <w:right w:val="single" w:sz="4" w:space="0" w:color="auto"/>
            </w:tcBorders>
          </w:tcPr>
          <w:p w:rsidR="003C0E9C" w:rsidRPr="006039EA" w:rsidRDefault="003C0E9C" w:rsidP="00346E77">
            <w:pPr>
              <w:pStyle w:val="Sinespaciado1"/>
              <w:rPr>
                <w:b/>
                <w:sz w:val="20"/>
                <w:szCs w:val="20"/>
                <w:lang w:val="es-CO"/>
              </w:rPr>
            </w:pPr>
          </w:p>
          <w:p w:rsidR="003C0E9C" w:rsidRDefault="003C4579" w:rsidP="00D24744">
            <w:pPr>
              <w:spacing w:after="0"/>
              <w:rPr>
                <w:b/>
                <w:sz w:val="20"/>
                <w:szCs w:val="20"/>
              </w:rPr>
            </w:pPr>
            <w:r w:rsidRPr="00D24744">
              <w:rPr>
                <w:lang w:val="es-ES"/>
              </w:rPr>
              <w:t xml:space="preserve">Se recomienda a las autoridades ambientales que una vez el plan de manejo ya </w:t>
            </w:r>
            <w:r w:rsidR="006039EA" w:rsidRPr="00D24744">
              <w:rPr>
                <w:lang w:val="es-ES"/>
              </w:rPr>
              <w:t>esté</w:t>
            </w:r>
            <w:r w:rsidRPr="00D24744">
              <w:rPr>
                <w:lang w:val="es-ES"/>
              </w:rPr>
              <w:t xml:space="preserve"> aprobado y soportado bajo acto administrativo este sea cargado en la Plataforma del RUNAP. (</w:t>
            </w:r>
            <w:hyperlink r:id="rId8" w:history="1">
              <w:r w:rsidRPr="00D24744">
                <w:rPr>
                  <w:lang w:val="es-ES"/>
                </w:rPr>
                <w:t>http://runap.parquesnacionales.gov.co/</w:t>
              </w:r>
            </w:hyperlink>
            <w:r w:rsidRPr="00D24744">
              <w:rPr>
                <w:lang w:val="es-ES"/>
              </w:rPr>
              <w:t xml:space="preserve">). </w:t>
            </w:r>
          </w:p>
        </w:tc>
      </w:tr>
    </w:tbl>
    <w:p w:rsidR="003C0E9C" w:rsidRDefault="003C0E9C" w:rsidP="003C0E9C">
      <w:pPr>
        <w:pStyle w:val="Sinespaciado1"/>
      </w:pPr>
    </w:p>
    <w:p w:rsidR="00B80439" w:rsidRDefault="00B80439" w:rsidP="003C0E9C">
      <w:pPr>
        <w:pStyle w:val="Sinespaciado1"/>
      </w:pPr>
    </w:p>
    <w:sectPr w:rsidR="00B80439" w:rsidSect="003B68E8">
      <w:footerReference w:type="default" r:id="rId9"/>
      <w:pgSz w:w="12240" w:h="15840" w:code="17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587" w:rsidRDefault="00884587" w:rsidP="00BE18F3">
      <w:r>
        <w:separator/>
      </w:r>
    </w:p>
  </w:endnote>
  <w:endnote w:type="continuationSeparator" w:id="0">
    <w:p w:rsidR="00884587" w:rsidRDefault="00884587"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CD6" w:rsidRDefault="00296CD6">
    <w:pPr>
      <w:pStyle w:val="Piedepgina"/>
      <w:jc w:val="right"/>
    </w:pPr>
    <w:r>
      <w:fldChar w:fldCharType="begin"/>
    </w:r>
    <w:r>
      <w:instrText>PAGE   \* MERGEFORMAT</w:instrText>
    </w:r>
    <w:r>
      <w:fldChar w:fldCharType="separate"/>
    </w:r>
    <w:r w:rsidR="00CA73CC" w:rsidRPr="00CA73CC">
      <w:rPr>
        <w:noProof/>
        <w:lang w:val="es-ES"/>
      </w:rPr>
      <w:t>3</w:t>
    </w:r>
    <w:r>
      <w:fldChar w:fldCharType="end"/>
    </w:r>
  </w:p>
  <w:p w:rsidR="00296CD6" w:rsidRDefault="00296CD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587" w:rsidRDefault="00884587" w:rsidP="00BE18F3">
      <w:r>
        <w:separator/>
      </w:r>
    </w:p>
  </w:footnote>
  <w:footnote w:type="continuationSeparator" w:id="0">
    <w:p w:rsidR="00884587" w:rsidRDefault="00884587"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15:restartNumberingAfterBreak="0">
    <w:nsid w:val="1B235436"/>
    <w:multiLevelType w:val="hybridMultilevel"/>
    <w:tmpl w:val="E598AB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20"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2"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8"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0"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6201EF6"/>
    <w:multiLevelType w:val="hybridMultilevel"/>
    <w:tmpl w:val="0B287C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5" w15:restartNumberingAfterBreak="0">
    <w:nsid w:val="6B5F6003"/>
    <w:multiLevelType w:val="hybridMultilevel"/>
    <w:tmpl w:val="5B8C805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7"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8"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16"/>
  </w:num>
  <w:num w:numId="3">
    <w:abstractNumId w:val="10"/>
  </w:num>
  <w:num w:numId="4">
    <w:abstractNumId w:val="37"/>
  </w:num>
  <w:num w:numId="5">
    <w:abstractNumId w:val="14"/>
  </w:num>
  <w:num w:numId="6">
    <w:abstractNumId w:val="29"/>
  </w:num>
  <w:num w:numId="7">
    <w:abstractNumId w:val="33"/>
  </w:num>
  <w:num w:numId="8">
    <w:abstractNumId w:val="27"/>
  </w:num>
  <w:num w:numId="9">
    <w:abstractNumId w:val="17"/>
  </w:num>
  <w:num w:numId="10">
    <w:abstractNumId w:val="21"/>
  </w:num>
  <w:num w:numId="11">
    <w:abstractNumId w:val="34"/>
  </w:num>
  <w:num w:numId="12">
    <w:abstractNumId w:val="26"/>
  </w:num>
  <w:num w:numId="13">
    <w:abstractNumId w:val="11"/>
  </w:num>
  <w:num w:numId="14">
    <w:abstractNumId w:val="30"/>
  </w:num>
  <w:num w:numId="15">
    <w:abstractNumId w:val="12"/>
  </w:num>
  <w:num w:numId="16">
    <w:abstractNumId w:val="25"/>
  </w:num>
  <w:num w:numId="17">
    <w:abstractNumId w:val="18"/>
  </w:num>
  <w:num w:numId="18">
    <w:abstractNumId w:val="23"/>
  </w:num>
  <w:num w:numId="19">
    <w:abstractNumId w:val="31"/>
  </w:num>
  <w:num w:numId="20">
    <w:abstractNumId w:val="22"/>
  </w:num>
  <w:num w:numId="21">
    <w:abstractNumId w:val="19"/>
  </w:num>
  <w:num w:numId="22">
    <w:abstractNumId w:val="36"/>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20"/>
  </w:num>
  <w:num w:numId="34">
    <w:abstractNumId w:val="28"/>
  </w:num>
  <w:num w:numId="35">
    <w:abstractNumId w:val="24"/>
  </w:num>
  <w:num w:numId="36">
    <w:abstractNumId w:val="13"/>
  </w:num>
  <w:num w:numId="37">
    <w:abstractNumId w:val="15"/>
  </w:num>
  <w:num w:numId="38">
    <w:abstractNumId w:val="32"/>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1DDC"/>
    <w:rsid w:val="00002EC0"/>
    <w:rsid w:val="000030B7"/>
    <w:rsid w:val="000052AD"/>
    <w:rsid w:val="00005E87"/>
    <w:rsid w:val="000071E4"/>
    <w:rsid w:val="000073B2"/>
    <w:rsid w:val="00015E0B"/>
    <w:rsid w:val="0001764D"/>
    <w:rsid w:val="000208BB"/>
    <w:rsid w:val="000208E7"/>
    <w:rsid w:val="00027FA6"/>
    <w:rsid w:val="000302B4"/>
    <w:rsid w:val="000312A2"/>
    <w:rsid w:val="00032B4D"/>
    <w:rsid w:val="00033772"/>
    <w:rsid w:val="0003572B"/>
    <w:rsid w:val="00036FCA"/>
    <w:rsid w:val="00036FE2"/>
    <w:rsid w:val="000370B5"/>
    <w:rsid w:val="00040998"/>
    <w:rsid w:val="00041534"/>
    <w:rsid w:val="000431E2"/>
    <w:rsid w:val="0005025E"/>
    <w:rsid w:val="00057144"/>
    <w:rsid w:val="000611DE"/>
    <w:rsid w:val="000618B0"/>
    <w:rsid w:val="000621F5"/>
    <w:rsid w:val="00062948"/>
    <w:rsid w:val="0006577D"/>
    <w:rsid w:val="000667B0"/>
    <w:rsid w:val="0007591C"/>
    <w:rsid w:val="00080356"/>
    <w:rsid w:val="000820BA"/>
    <w:rsid w:val="00085D2D"/>
    <w:rsid w:val="00086649"/>
    <w:rsid w:val="00086DE6"/>
    <w:rsid w:val="00086F1C"/>
    <w:rsid w:val="00093645"/>
    <w:rsid w:val="00096B75"/>
    <w:rsid w:val="000A0CB9"/>
    <w:rsid w:val="000A16C2"/>
    <w:rsid w:val="000A2488"/>
    <w:rsid w:val="000A3A82"/>
    <w:rsid w:val="000A75C4"/>
    <w:rsid w:val="000B12BA"/>
    <w:rsid w:val="000B26BC"/>
    <w:rsid w:val="000B332A"/>
    <w:rsid w:val="000B3785"/>
    <w:rsid w:val="000B4B70"/>
    <w:rsid w:val="000B5699"/>
    <w:rsid w:val="000B74DE"/>
    <w:rsid w:val="000B7588"/>
    <w:rsid w:val="000C0FEE"/>
    <w:rsid w:val="000C3678"/>
    <w:rsid w:val="000D05F8"/>
    <w:rsid w:val="000D43F6"/>
    <w:rsid w:val="000D4B66"/>
    <w:rsid w:val="000E2C7C"/>
    <w:rsid w:val="000E652E"/>
    <w:rsid w:val="000F2E66"/>
    <w:rsid w:val="000F3D80"/>
    <w:rsid w:val="000F7E5F"/>
    <w:rsid w:val="00101DB4"/>
    <w:rsid w:val="00110069"/>
    <w:rsid w:val="00111E32"/>
    <w:rsid w:val="00113826"/>
    <w:rsid w:val="00121693"/>
    <w:rsid w:val="001217E4"/>
    <w:rsid w:val="001234DD"/>
    <w:rsid w:val="00123667"/>
    <w:rsid w:val="001300F8"/>
    <w:rsid w:val="00130AF7"/>
    <w:rsid w:val="00141C8F"/>
    <w:rsid w:val="00141F7F"/>
    <w:rsid w:val="00142C53"/>
    <w:rsid w:val="0015047B"/>
    <w:rsid w:val="00155AE3"/>
    <w:rsid w:val="00156176"/>
    <w:rsid w:val="0015648B"/>
    <w:rsid w:val="0015740D"/>
    <w:rsid w:val="00157A5C"/>
    <w:rsid w:val="00160686"/>
    <w:rsid w:val="0016537C"/>
    <w:rsid w:val="00166E84"/>
    <w:rsid w:val="00170E3A"/>
    <w:rsid w:val="00172DA6"/>
    <w:rsid w:val="001767F2"/>
    <w:rsid w:val="00182D92"/>
    <w:rsid w:val="001868F2"/>
    <w:rsid w:val="00187F55"/>
    <w:rsid w:val="00193140"/>
    <w:rsid w:val="001A1819"/>
    <w:rsid w:val="001A2D51"/>
    <w:rsid w:val="001A3901"/>
    <w:rsid w:val="001A41DB"/>
    <w:rsid w:val="001A696C"/>
    <w:rsid w:val="001A72B4"/>
    <w:rsid w:val="001A7D21"/>
    <w:rsid w:val="001B63D5"/>
    <w:rsid w:val="001C0800"/>
    <w:rsid w:val="001C3C81"/>
    <w:rsid w:val="001C6D6D"/>
    <w:rsid w:val="001D1DBD"/>
    <w:rsid w:val="001D3CFC"/>
    <w:rsid w:val="001D47FD"/>
    <w:rsid w:val="001D53C5"/>
    <w:rsid w:val="001E2CF6"/>
    <w:rsid w:val="001E399B"/>
    <w:rsid w:val="001E51AD"/>
    <w:rsid w:val="001F12D0"/>
    <w:rsid w:val="001F1D0C"/>
    <w:rsid w:val="001F625E"/>
    <w:rsid w:val="001F7166"/>
    <w:rsid w:val="00200EA0"/>
    <w:rsid w:val="00205291"/>
    <w:rsid w:val="00205314"/>
    <w:rsid w:val="0020616C"/>
    <w:rsid w:val="00213622"/>
    <w:rsid w:val="002146CE"/>
    <w:rsid w:val="0022033E"/>
    <w:rsid w:val="002224EE"/>
    <w:rsid w:val="0022544F"/>
    <w:rsid w:val="00231EE4"/>
    <w:rsid w:val="00235B6E"/>
    <w:rsid w:val="00235E8A"/>
    <w:rsid w:val="002406F9"/>
    <w:rsid w:val="002443A5"/>
    <w:rsid w:val="00246198"/>
    <w:rsid w:val="002476AA"/>
    <w:rsid w:val="002479B5"/>
    <w:rsid w:val="00251E0C"/>
    <w:rsid w:val="00253203"/>
    <w:rsid w:val="00254274"/>
    <w:rsid w:val="002546CD"/>
    <w:rsid w:val="00256CB9"/>
    <w:rsid w:val="00256D0A"/>
    <w:rsid w:val="002628D6"/>
    <w:rsid w:val="00262E9E"/>
    <w:rsid w:val="00265722"/>
    <w:rsid w:val="00270F36"/>
    <w:rsid w:val="00271564"/>
    <w:rsid w:val="00272D7B"/>
    <w:rsid w:val="0027380F"/>
    <w:rsid w:val="00275621"/>
    <w:rsid w:val="00276A44"/>
    <w:rsid w:val="0027782E"/>
    <w:rsid w:val="0028279E"/>
    <w:rsid w:val="0028575E"/>
    <w:rsid w:val="00287EAA"/>
    <w:rsid w:val="00290163"/>
    <w:rsid w:val="0029343B"/>
    <w:rsid w:val="00295D37"/>
    <w:rsid w:val="00296CD6"/>
    <w:rsid w:val="002A2A42"/>
    <w:rsid w:val="002A3D22"/>
    <w:rsid w:val="002A3EC8"/>
    <w:rsid w:val="002A6FA3"/>
    <w:rsid w:val="002B214A"/>
    <w:rsid w:val="002B2A10"/>
    <w:rsid w:val="002B2B25"/>
    <w:rsid w:val="002B2E39"/>
    <w:rsid w:val="002B2E96"/>
    <w:rsid w:val="002B31AA"/>
    <w:rsid w:val="002B5B17"/>
    <w:rsid w:val="002B5FAB"/>
    <w:rsid w:val="002C6E25"/>
    <w:rsid w:val="002C7BC9"/>
    <w:rsid w:val="002D2AFE"/>
    <w:rsid w:val="002D3829"/>
    <w:rsid w:val="002D4309"/>
    <w:rsid w:val="002D44CC"/>
    <w:rsid w:val="002D4994"/>
    <w:rsid w:val="002D4C31"/>
    <w:rsid w:val="002E2FA6"/>
    <w:rsid w:val="002E4156"/>
    <w:rsid w:val="002E507E"/>
    <w:rsid w:val="002E7A4F"/>
    <w:rsid w:val="002F068D"/>
    <w:rsid w:val="002F2298"/>
    <w:rsid w:val="002F3E12"/>
    <w:rsid w:val="002F5E73"/>
    <w:rsid w:val="0030071D"/>
    <w:rsid w:val="0030109B"/>
    <w:rsid w:val="003012F6"/>
    <w:rsid w:val="00303428"/>
    <w:rsid w:val="00304FCB"/>
    <w:rsid w:val="0030562B"/>
    <w:rsid w:val="00305AE5"/>
    <w:rsid w:val="0030652B"/>
    <w:rsid w:val="0031036A"/>
    <w:rsid w:val="003124F0"/>
    <w:rsid w:val="003148A5"/>
    <w:rsid w:val="00314A56"/>
    <w:rsid w:val="003249DD"/>
    <w:rsid w:val="0033206D"/>
    <w:rsid w:val="00333674"/>
    <w:rsid w:val="00335EB9"/>
    <w:rsid w:val="003432A2"/>
    <w:rsid w:val="00353E97"/>
    <w:rsid w:val="00355728"/>
    <w:rsid w:val="00355B39"/>
    <w:rsid w:val="00355D36"/>
    <w:rsid w:val="0036128B"/>
    <w:rsid w:val="003628E8"/>
    <w:rsid w:val="00363ADE"/>
    <w:rsid w:val="00364BF4"/>
    <w:rsid w:val="003656C0"/>
    <w:rsid w:val="0037141B"/>
    <w:rsid w:val="00374A1D"/>
    <w:rsid w:val="0037507C"/>
    <w:rsid w:val="003760CF"/>
    <w:rsid w:val="003769FD"/>
    <w:rsid w:val="00380A66"/>
    <w:rsid w:val="003810C0"/>
    <w:rsid w:val="003835BA"/>
    <w:rsid w:val="0038443C"/>
    <w:rsid w:val="00396275"/>
    <w:rsid w:val="00397A45"/>
    <w:rsid w:val="003A265A"/>
    <w:rsid w:val="003A4DBF"/>
    <w:rsid w:val="003A5151"/>
    <w:rsid w:val="003A6EDE"/>
    <w:rsid w:val="003A7CAE"/>
    <w:rsid w:val="003B003C"/>
    <w:rsid w:val="003B03D5"/>
    <w:rsid w:val="003B3EBE"/>
    <w:rsid w:val="003B68E8"/>
    <w:rsid w:val="003C0E9C"/>
    <w:rsid w:val="003C4579"/>
    <w:rsid w:val="003C47E6"/>
    <w:rsid w:val="003C51FC"/>
    <w:rsid w:val="003C70DC"/>
    <w:rsid w:val="003D1B95"/>
    <w:rsid w:val="003D1D8F"/>
    <w:rsid w:val="003D2B3A"/>
    <w:rsid w:val="003D3FBF"/>
    <w:rsid w:val="003D5913"/>
    <w:rsid w:val="003D5CFB"/>
    <w:rsid w:val="003D7781"/>
    <w:rsid w:val="003E0FA9"/>
    <w:rsid w:val="003E41B9"/>
    <w:rsid w:val="003E6508"/>
    <w:rsid w:val="003E6847"/>
    <w:rsid w:val="003F08CC"/>
    <w:rsid w:val="003F0A4E"/>
    <w:rsid w:val="003F2885"/>
    <w:rsid w:val="003F6EE8"/>
    <w:rsid w:val="00402F0D"/>
    <w:rsid w:val="00406043"/>
    <w:rsid w:val="004107AD"/>
    <w:rsid w:val="004130EE"/>
    <w:rsid w:val="00415E0D"/>
    <w:rsid w:val="004169E4"/>
    <w:rsid w:val="0041704F"/>
    <w:rsid w:val="0042071D"/>
    <w:rsid w:val="004226D1"/>
    <w:rsid w:val="0042307F"/>
    <w:rsid w:val="004323B8"/>
    <w:rsid w:val="004341D7"/>
    <w:rsid w:val="00446FD7"/>
    <w:rsid w:val="00460265"/>
    <w:rsid w:val="00460DF3"/>
    <w:rsid w:val="004639CB"/>
    <w:rsid w:val="00463AB1"/>
    <w:rsid w:val="00466B6D"/>
    <w:rsid w:val="004707E5"/>
    <w:rsid w:val="00471D2B"/>
    <w:rsid w:val="00474165"/>
    <w:rsid w:val="004756EA"/>
    <w:rsid w:val="00475DF2"/>
    <w:rsid w:val="004831C0"/>
    <w:rsid w:val="00483975"/>
    <w:rsid w:val="0048458B"/>
    <w:rsid w:val="00485431"/>
    <w:rsid w:val="00490676"/>
    <w:rsid w:val="004A0803"/>
    <w:rsid w:val="004A563B"/>
    <w:rsid w:val="004B135A"/>
    <w:rsid w:val="004B1C7F"/>
    <w:rsid w:val="004B6E04"/>
    <w:rsid w:val="004C224B"/>
    <w:rsid w:val="004C2E6B"/>
    <w:rsid w:val="004C743B"/>
    <w:rsid w:val="004D1340"/>
    <w:rsid w:val="004D28E9"/>
    <w:rsid w:val="004D4E08"/>
    <w:rsid w:val="004D53E3"/>
    <w:rsid w:val="004D64E1"/>
    <w:rsid w:val="004D65C6"/>
    <w:rsid w:val="004D7CE4"/>
    <w:rsid w:val="004E03C9"/>
    <w:rsid w:val="004E25AF"/>
    <w:rsid w:val="004E3984"/>
    <w:rsid w:val="004E3FAB"/>
    <w:rsid w:val="004E49EB"/>
    <w:rsid w:val="004E5176"/>
    <w:rsid w:val="004E56BA"/>
    <w:rsid w:val="004F5522"/>
    <w:rsid w:val="004F79DD"/>
    <w:rsid w:val="005106CA"/>
    <w:rsid w:val="00512BC8"/>
    <w:rsid w:val="00513F85"/>
    <w:rsid w:val="00515B18"/>
    <w:rsid w:val="00516CC6"/>
    <w:rsid w:val="0052092E"/>
    <w:rsid w:val="00524834"/>
    <w:rsid w:val="00524D6A"/>
    <w:rsid w:val="005261FC"/>
    <w:rsid w:val="00527FCE"/>
    <w:rsid w:val="005317D5"/>
    <w:rsid w:val="00534058"/>
    <w:rsid w:val="00535612"/>
    <w:rsid w:val="00542C2F"/>
    <w:rsid w:val="00543F75"/>
    <w:rsid w:val="0054444B"/>
    <w:rsid w:val="005508E3"/>
    <w:rsid w:val="00551672"/>
    <w:rsid w:val="00551E07"/>
    <w:rsid w:val="005534F0"/>
    <w:rsid w:val="00554418"/>
    <w:rsid w:val="0055744D"/>
    <w:rsid w:val="00557F11"/>
    <w:rsid w:val="00560F0C"/>
    <w:rsid w:val="005613A1"/>
    <w:rsid w:val="00562975"/>
    <w:rsid w:val="00565F5D"/>
    <w:rsid w:val="00566D34"/>
    <w:rsid w:val="005734E7"/>
    <w:rsid w:val="0057505F"/>
    <w:rsid w:val="005750D2"/>
    <w:rsid w:val="00576DA6"/>
    <w:rsid w:val="00587758"/>
    <w:rsid w:val="00597EC5"/>
    <w:rsid w:val="005A0FFF"/>
    <w:rsid w:val="005A2D8B"/>
    <w:rsid w:val="005A69DA"/>
    <w:rsid w:val="005A6FA8"/>
    <w:rsid w:val="005B05C5"/>
    <w:rsid w:val="005B2AA7"/>
    <w:rsid w:val="005B2F37"/>
    <w:rsid w:val="005B48B2"/>
    <w:rsid w:val="005B6F05"/>
    <w:rsid w:val="005B7161"/>
    <w:rsid w:val="005C2853"/>
    <w:rsid w:val="005C3E2F"/>
    <w:rsid w:val="005D1551"/>
    <w:rsid w:val="005D2DE6"/>
    <w:rsid w:val="005D557C"/>
    <w:rsid w:val="005D7E3A"/>
    <w:rsid w:val="005E1CBA"/>
    <w:rsid w:val="005E2A8B"/>
    <w:rsid w:val="005E3EA8"/>
    <w:rsid w:val="005F185A"/>
    <w:rsid w:val="005F2F39"/>
    <w:rsid w:val="005F3A15"/>
    <w:rsid w:val="005F6994"/>
    <w:rsid w:val="005F772F"/>
    <w:rsid w:val="006039EA"/>
    <w:rsid w:val="0060479D"/>
    <w:rsid w:val="00604D74"/>
    <w:rsid w:val="00605E91"/>
    <w:rsid w:val="00617738"/>
    <w:rsid w:val="00622703"/>
    <w:rsid w:val="00624B00"/>
    <w:rsid w:val="00631781"/>
    <w:rsid w:val="00632041"/>
    <w:rsid w:val="00633A71"/>
    <w:rsid w:val="00636945"/>
    <w:rsid w:val="00636C4D"/>
    <w:rsid w:val="006424B3"/>
    <w:rsid w:val="00643745"/>
    <w:rsid w:val="00644CD2"/>
    <w:rsid w:val="00646C13"/>
    <w:rsid w:val="00653337"/>
    <w:rsid w:val="00653933"/>
    <w:rsid w:val="0065782B"/>
    <w:rsid w:val="006615CA"/>
    <w:rsid w:val="00666B6C"/>
    <w:rsid w:val="00667472"/>
    <w:rsid w:val="006713BB"/>
    <w:rsid w:val="006723AF"/>
    <w:rsid w:val="006748BE"/>
    <w:rsid w:val="006754CF"/>
    <w:rsid w:val="00675CC5"/>
    <w:rsid w:val="00675D7D"/>
    <w:rsid w:val="006824F4"/>
    <w:rsid w:val="006855FB"/>
    <w:rsid w:val="00687FE9"/>
    <w:rsid w:val="00690C05"/>
    <w:rsid w:val="00692AAB"/>
    <w:rsid w:val="00694D2B"/>
    <w:rsid w:val="0069641D"/>
    <w:rsid w:val="00697F2C"/>
    <w:rsid w:val="006A0DD8"/>
    <w:rsid w:val="006A45FF"/>
    <w:rsid w:val="006A5CCB"/>
    <w:rsid w:val="006B19FE"/>
    <w:rsid w:val="006B5AAA"/>
    <w:rsid w:val="006C1616"/>
    <w:rsid w:val="006C4570"/>
    <w:rsid w:val="006D214B"/>
    <w:rsid w:val="006D27C8"/>
    <w:rsid w:val="006D2ACA"/>
    <w:rsid w:val="006D3424"/>
    <w:rsid w:val="006D351B"/>
    <w:rsid w:val="006D4A63"/>
    <w:rsid w:val="006D6E6E"/>
    <w:rsid w:val="006D72FD"/>
    <w:rsid w:val="006E18D7"/>
    <w:rsid w:val="006E1CE3"/>
    <w:rsid w:val="006E2BCC"/>
    <w:rsid w:val="006E331F"/>
    <w:rsid w:val="006E4EBC"/>
    <w:rsid w:val="006E5C4B"/>
    <w:rsid w:val="006F131D"/>
    <w:rsid w:val="006F23BD"/>
    <w:rsid w:val="006F29DE"/>
    <w:rsid w:val="006F5453"/>
    <w:rsid w:val="007103F3"/>
    <w:rsid w:val="0071133D"/>
    <w:rsid w:val="00711496"/>
    <w:rsid w:val="00711508"/>
    <w:rsid w:val="00711A28"/>
    <w:rsid w:val="00717BBC"/>
    <w:rsid w:val="007223F6"/>
    <w:rsid w:val="0072309C"/>
    <w:rsid w:val="007232B9"/>
    <w:rsid w:val="00726A43"/>
    <w:rsid w:val="00726E7C"/>
    <w:rsid w:val="00727F3D"/>
    <w:rsid w:val="00732082"/>
    <w:rsid w:val="007320FA"/>
    <w:rsid w:val="007332D0"/>
    <w:rsid w:val="00733656"/>
    <w:rsid w:val="007346BC"/>
    <w:rsid w:val="0073581C"/>
    <w:rsid w:val="0074132B"/>
    <w:rsid w:val="00741600"/>
    <w:rsid w:val="007422F5"/>
    <w:rsid w:val="007430C3"/>
    <w:rsid w:val="0074371E"/>
    <w:rsid w:val="007441CC"/>
    <w:rsid w:val="00746329"/>
    <w:rsid w:val="00746D28"/>
    <w:rsid w:val="00752955"/>
    <w:rsid w:val="00752A17"/>
    <w:rsid w:val="00754423"/>
    <w:rsid w:val="007566A3"/>
    <w:rsid w:val="00757852"/>
    <w:rsid w:val="00762F72"/>
    <w:rsid w:val="007657B3"/>
    <w:rsid w:val="00765D15"/>
    <w:rsid w:val="00766A8E"/>
    <w:rsid w:val="00770DA1"/>
    <w:rsid w:val="00771675"/>
    <w:rsid w:val="007816CB"/>
    <w:rsid w:val="007852A6"/>
    <w:rsid w:val="00785441"/>
    <w:rsid w:val="00786950"/>
    <w:rsid w:val="00790F8F"/>
    <w:rsid w:val="00794A31"/>
    <w:rsid w:val="007961A5"/>
    <w:rsid w:val="00796CA0"/>
    <w:rsid w:val="007971D8"/>
    <w:rsid w:val="007A0784"/>
    <w:rsid w:val="007A5DC5"/>
    <w:rsid w:val="007B5BEE"/>
    <w:rsid w:val="007B6D4D"/>
    <w:rsid w:val="007C0E10"/>
    <w:rsid w:val="007C2E2B"/>
    <w:rsid w:val="007C4131"/>
    <w:rsid w:val="007D0F9B"/>
    <w:rsid w:val="007D7AC2"/>
    <w:rsid w:val="007E0119"/>
    <w:rsid w:val="007E210E"/>
    <w:rsid w:val="007E441E"/>
    <w:rsid w:val="007E60E5"/>
    <w:rsid w:val="007E7D25"/>
    <w:rsid w:val="007F0069"/>
    <w:rsid w:val="007F1260"/>
    <w:rsid w:val="007F77ED"/>
    <w:rsid w:val="007F7E4F"/>
    <w:rsid w:val="0080067D"/>
    <w:rsid w:val="00801CF1"/>
    <w:rsid w:val="008020BB"/>
    <w:rsid w:val="0080394D"/>
    <w:rsid w:val="008065BE"/>
    <w:rsid w:val="00814DEA"/>
    <w:rsid w:val="008165EC"/>
    <w:rsid w:val="0082403B"/>
    <w:rsid w:val="0083007A"/>
    <w:rsid w:val="00833322"/>
    <w:rsid w:val="00836FF0"/>
    <w:rsid w:val="00841674"/>
    <w:rsid w:val="00845DC5"/>
    <w:rsid w:val="00850923"/>
    <w:rsid w:val="00852236"/>
    <w:rsid w:val="00852F54"/>
    <w:rsid w:val="00854054"/>
    <w:rsid w:val="00854702"/>
    <w:rsid w:val="00861350"/>
    <w:rsid w:val="00863093"/>
    <w:rsid w:val="00865503"/>
    <w:rsid w:val="008668A6"/>
    <w:rsid w:val="00867A62"/>
    <w:rsid w:val="00870B36"/>
    <w:rsid w:val="00873740"/>
    <w:rsid w:val="0087408A"/>
    <w:rsid w:val="00877DB7"/>
    <w:rsid w:val="00880C34"/>
    <w:rsid w:val="0088159B"/>
    <w:rsid w:val="00884587"/>
    <w:rsid w:val="0088654B"/>
    <w:rsid w:val="00886B8D"/>
    <w:rsid w:val="00887B5B"/>
    <w:rsid w:val="00896DFD"/>
    <w:rsid w:val="008A1834"/>
    <w:rsid w:val="008B2E84"/>
    <w:rsid w:val="008B450A"/>
    <w:rsid w:val="008B6794"/>
    <w:rsid w:val="008B79D7"/>
    <w:rsid w:val="008C4B33"/>
    <w:rsid w:val="008C6C95"/>
    <w:rsid w:val="008D42F4"/>
    <w:rsid w:val="008D55F7"/>
    <w:rsid w:val="008D62BB"/>
    <w:rsid w:val="008D7AA6"/>
    <w:rsid w:val="008E1EDF"/>
    <w:rsid w:val="008E2872"/>
    <w:rsid w:val="008E4A41"/>
    <w:rsid w:val="008E5B84"/>
    <w:rsid w:val="008F191B"/>
    <w:rsid w:val="008F65BE"/>
    <w:rsid w:val="00901D63"/>
    <w:rsid w:val="00903A34"/>
    <w:rsid w:val="00904DE9"/>
    <w:rsid w:val="009050CC"/>
    <w:rsid w:val="00905748"/>
    <w:rsid w:val="00906A66"/>
    <w:rsid w:val="00906DAA"/>
    <w:rsid w:val="009075F1"/>
    <w:rsid w:val="00907768"/>
    <w:rsid w:val="00907C3C"/>
    <w:rsid w:val="009111B6"/>
    <w:rsid w:val="009160A9"/>
    <w:rsid w:val="009214B8"/>
    <w:rsid w:val="00921A0F"/>
    <w:rsid w:val="00925892"/>
    <w:rsid w:val="00925B2D"/>
    <w:rsid w:val="00925E15"/>
    <w:rsid w:val="00927337"/>
    <w:rsid w:val="00927C6B"/>
    <w:rsid w:val="00930429"/>
    <w:rsid w:val="0093050D"/>
    <w:rsid w:val="00930A55"/>
    <w:rsid w:val="0093250A"/>
    <w:rsid w:val="009341CE"/>
    <w:rsid w:val="009361A4"/>
    <w:rsid w:val="00945C23"/>
    <w:rsid w:val="0095091C"/>
    <w:rsid w:val="00950DFD"/>
    <w:rsid w:val="009532D9"/>
    <w:rsid w:val="00956024"/>
    <w:rsid w:val="00957F1E"/>
    <w:rsid w:val="00962967"/>
    <w:rsid w:val="009649C0"/>
    <w:rsid w:val="00972895"/>
    <w:rsid w:val="009733BD"/>
    <w:rsid w:val="0097420B"/>
    <w:rsid w:val="009772AD"/>
    <w:rsid w:val="009778C2"/>
    <w:rsid w:val="00985D81"/>
    <w:rsid w:val="009861E3"/>
    <w:rsid w:val="0098643F"/>
    <w:rsid w:val="0099125B"/>
    <w:rsid w:val="00991F28"/>
    <w:rsid w:val="00992A87"/>
    <w:rsid w:val="00992D81"/>
    <w:rsid w:val="009A34D7"/>
    <w:rsid w:val="009A3C72"/>
    <w:rsid w:val="009A4724"/>
    <w:rsid w:val="009A70C2"/>
    <w:rsid w:val="009A74C3"/>
    <w:rsid w:val="009B0DB9"/>
    <w:rsid w:val="009B2315"/>
    <w:rsid w:val="009B4E47"/>
    <w:rsid w:val="009B7E9F"/>
    <w:rsid w:val="009B7F1C"/>
    <w:rsid w:val="009C14A4"/>
    <w:rsid w:val="009C354E"/>
    <w:rsid w:val="009C4FA7"/>
    <w:rsid w:val="009C7A75"/>
    <w:rsid w:val="009D3937"/>
    <w:rsid w:val="009D6B8D"/>
    <w:rsid w:val="009D7ECF"/>
    <w:rsid w:val="009E53A6"/>
    <w:rsid w:val="009E542B"/>
    <w:rsid w:val="009E5E7A"/>
    <w:rsid w:val="009E7BB2"/>
    <w:rsid w:val="009F07E2"/>
    <w:rsid w:val="009F32FC"/>
    <w:rsid w:val="009F3403"/>
    <w:rsid w:val="009F4EE1"/>
    <w:rsid w:val="009F596B"/>
    <w:rsid w:val="009F6880"/>
    <w:rsid w:val="00A021A0"/>
    <w:rsid w:val="00A069C1"/>
    <w:rsid w:val="00A15247"/>
    <w:rsid w:val="00A15977"/>
    <w:rsid w:val="00A203FF"/>
    <w:rsid w:val="00A21C4A"/>
    <w:rsid w:val="00A228C5"/>
    <w:rsid w:val="00A22F0E"/>
    <w:rsid w:val="00A231BB"/>
    <w:rsid w:val="00A240E1"/>
    <w:rsid w:val="00A31148"/>
    <w:rsid w:val="00A31454"/>
    <w:rsid w:val="00A314E4"/>
    <w:rsid w:val="00A31BBE"/>
    <w:rsid w:val="00A32A59"/>
    <w:rsid w:val="00A37A9B"/>
    <w:rsid w:val="00A37F4C"/>
    <w:rsid w:val="00A416C3"/>
    <w:rsid w:val="00A478C2"/>
    <w:rsid w:val="00A51828"/>
    <w:rsid w:val="00A51D9F"/>
    <w:rsid w:val="00A5596D"/>
    <w:rsid w:val="00A559EE"/>
    <w:rsid w:val="00A57A43"/>
    <w:rsid w:val="00A60CFD"/>
    <w:rsid w:val="00A615A8"/>
    <w:rsid w:val="00A63E27"/>
    <w:rsid w:val="00A64125"/>
    <w:rsid w:val="00A65BFB"/>
    <w:rsid w:val="00A71194"/>
    <w:rsid w:val="00A73C50"/>
    <w:rsid w:val="00A77ACB"/>
    <w:rsid w:val="00A77F51"/>
    <w:rsid w:val="00A81C6F"/>
    <w:rsid w:val="00A82098"/>
    <w:rsid w:val="00A8417D"/>
    <w:rsid w:val="00A86342"/>
    <w:rsid w:val="00A86E0E"/>
    <w:rsid w:val="00A93AB4"/>
    <w:rsid w:val="00A94406"/>
    <w:rsid w:val="00AA33C5"/>
    <w:rsid w:val="00AA35AB"/>
    <w:rsid w:val="00AB257D"/>
    <w:rsid w:val="00AB34AD"/>
    <w:rsid w:val="00AC6166"/>
    <w:rsid w:val="00AD2455"/>
    <w:rsid w:val="00AD328A"/>
    <w:rsid w:val="00AD351C"/>
    <w:rsid w:val="00AD3963"/>
    <w:rsid w:val="00AD4442"/>
    <w:rsid w:val="00AD5FE4"/>
    <w:rsid w:val="00AE4179"/>
    <w:rsid w:val="00AF1AA4"/>
    <w:rsid w:val="00AF39BC"/>
    <w:rsid w:val="00AF4440"/>
    <w:rsid w:val="00B00E5E"/>
    <w:rsid w:val="00B017D3"/>
    <w:rsid w:val="00B01A92"/>
    <w:rsid w:val="00B029DC"/>
    <w:rsid w:val="00B046A9"/>
    <w:rsid w:val="00B04FA6"/>
    <w:rsid w:val="00B05AEC"/>
    <w:rsid w:val="00B13712"/>
    <w:rsid w:val="00B21C10"/>
    <w:rsid w:val="00B2383D"/>
    <w:rsid w:val="00B25014"/>
    <w:rsid w:val="00B269A7"/>
    <w:rsid w:val="00B32D35"/>
    <w:rsid w:val="00B34E48"/>
    <w:rsid w:val="00B47D3B"/>
    <w:rsid w:val="00B5059B"/>
    <w:rsid w:val="00B6022C"/>
    <w:rsid w:val="00B63E4B"/>
    <w:rsid w:val="00B64668"/>
    <w:rsid w:val="00B70B57"/>
    <w:rsid w:val="00B74D61"/>
    <w:rsid w:val="00B75B01"/>
    <w:rsid w:val="00B771A6"/>
    <w:rsid w:val="00B77ADD"/>
    <w:rsid w:val="00B77F10"/>
    <w:rsid w:val="00B80439"/>
    <w:rsid w:val="00B841F0"/>
    <w:rsid w:val="00B93B31"/>
    <w:rsid w:val="00B94768"/>
    <w:rsid w:val="00BA0D1F"/>
    <w:rsid w:val="00BA226D"/>
    <w:rsid w:val="00BA25B3"/>
    <w:rsid w:val="00BA28CF"/>
    <w:rsid w:val="00BA6F56"/>
    <w:rsid w:val="00BB26B2"/>
    <w:rsid w:val="00BB351B"/>
    <w:rsid w:val="00BB4D70"/>
    <w:rsid w:val="00BC13C0"/>
    <w:rsid w:val="00BC3294"/>
    <w:rsid w:val="00BC6A80"/>
    <w:rsid w:val="00BC7A25"/>
    <w:rsid w:val="00BC7C3C"/>
    <w:rsid w:val="00BD0FB2"/>
    <w:rsid w:val="00BD71B2"/>
    <w:rsid w:val="00BE18F3"/>
    <w:rsid w:val="00BE5FDC"/>
    <w:rsid w:val="00BF6645"/>
    <w:rsid w:val="00BF74D3"/>
    <w:rsid w:val="00BF7CA7"/>
    <w:rsid w:val="00C024A1"/>
    <w:rsid w:val="00C035A9"/>
    <w:rsid w:val="00C039C6"/>
    <w:rsid w:val="00C04C9E"/>
    <w:rsid w:val="00C10149"/>
    <w:rsid w:val="00C10705"/>
    <w:rsid w:val="00C115B5"/>
    <w:rsid w:val="00C12B68"/>
    <w:rsid w:val="00C12F59"/>
    <w:rsid w:val="00C14FFA"/>
    <w:rsid w:val="00C15221"/>
    <w:rsid w:val="00C17943"/>
    <w:rsid w:val="00C20065"/>
    <w:rsid w:val="00C222BC"/>
    <w:rsid w:val="00C32E6F"/>
    <w:rsid w:val="00C40405"/>
    <w:rsid w:val="00C42CAB"/>
    <w:rsid w:val="00C45EE8"/>
    <w:rsid w:val="00C4715A"/>
    <w:rsid w:val="00C508EE"/>
    <w:rsid w:val="00C510BB"/>
    <w:rsid w:val="00C54739"/>
    <w:rsid w:val="00C547AE"/>
    <w:rsid w:val="00C60892"/>
    <w:rsid w:val="00C621B1"/>
    <w:rsid w:val="00C625B5"/>
    <w:rsid w:val="00C62CF9"/>
    <w:rsid w:val="00C66CB5"/>
    <w:rsid w:val="00C67129"/>
    <w:rsid w:val="00C67A13"/>
    <w:rsid w:val="00C67C36"/>
    <w:rsid w:val="00C74A67"/>
    <w:rsid w:val="00C767E2"/>
    <w:rsid w:val="00C77427"/>
    <w:rsid w:val="00C77552"/>
    <w:rsid w:val="00C81DED"/>
    <w:rsid w:val="00C82FA9"/>
    <w:rsid w:val="00C832CA"/>
    <w:rsid w:val="00C834F8"/>
    <w:rsid w:val="00C846CD"/>
    <w:rsid w:val="00C93454"/>
    <w:rsid w:val="00C93812"/>
    <w:rsid w:val="00C97C27"/>
    <w:rsid w:val="00CA1A57"/>
    <w:rsid w:val="00CA1C30"/>
    <w:rsid w:val="00CA522C"/>
    <w:rsid w:val="00CA62D3"/>
    <w:rsid w:val="00CA7045"/>
    <w:rsid w:val="00CA73CC"/>
    <w:rsid w:val="00CB369F"/>
    <w:rsid w:val="00CB51CC"/>
    <w:rsid w:val="00CC136B"/>
    <w:rsid w:val="00CC6B7A"/>
    <w:rsid w:val="00CC6F3E"/>
    <w:rsid w:val="00CD07E5"/>
    <w:rsid w:val="00CD21E2"/>
    <w:rsid w:val="00CD25E3"/>
    <w:rsid w:val="00CD314B"/>
    <w:rsid w:val="00CD5F08"/>
    <w:rsid w:val="00CD78C2"/>
    <w:rsid w:val="00CE0CEC"/>
    <w:rsid w:val="00CE1916"/>
    <w:rsid w:val="00CE2E82"/>
    <w:rsid w:val="00CE322E"/>
    <w:rsid w:val="00CE3F15"/>
    <w:rsid w:val="00CE4593"/>
    <w:rsid w:val="00CE67D8"/>
    <w:rsid w:val="00CE6F46"/>
    <w:rsid w:val="00CF34F9"/>
    <w:rsid w:val="00CF50A4"/>
    <w:rsid w:val="00CF5A3A"/>
    <w:rsid w:val="00CF6929"/>
    <w:rsid w:val="00D01EDD"/>
    <w:rsid w:val="00D049FA"/>
    <w:rsid w:val="00D05D98"/>
    <w:rsid w:val="00D124E1"/>
    <w:rsid w:val="00D124EA"/>
    <w:rsid w:val="00D13646"/>
    <w:rsid w:val="00D14A1B"/>
    <w:rsid w:val="00D14F6D"/>
    <w:rsid w:val="00D15DD5"/>
    <w:rsid w:val="00D20ABA"/>
    <w:rsid w:val="00D20B06"/>
    <w:rsid w:val="00D24744"/>
    <w:rsid w:val="00D25E18"/>
    <w:rsid w:val="00D2789F"/>
    <w:rsid w:val="00D3145C"/>
    <w:rsid w:val="00D32893"/>
    <w:rsid w:val="00D32F8F"/>
    <w:rsid w:val="00D36079"/>
    <w:rsid w:val="00D44963"/>
    <w:rsid w:val="00D4515D"/>
    <w:rsid w:val="00D5014F"/>
    <w:rsid w:val="00D546EC"/>
    <w:rsid w:val="00D55DFE"/>
    <w:rsid w:val="00D628D3"/>
    <w:rsid w:val="00D64231"/>
    <w:rsid w:val="00D66576"/>
    <w:rsid w:val="00D677A1"/>
    <w:rsid w:val="00D70E25"/>
    <w:rsid w:val="00D747CA"/>
    <w:rsid w:val="00D74D5B"/>
    <w:rsid w:val="00D76862"/>
    <w:rsid w:val="00D77866"/>
    <w:rsid w:val="00D8158A"/>
    <w:rsid w:val="00D82766"/>
    <w:rsid w:val="00D82EAE"/>
    <w:rsid w:val="00D83A90"/>
    <w:rsid w:val="00D83DCE"/>
    <w:rsid w:val="00D9075F"/>
    <w:rsid w:val="00D948CB"/>
    <w:rsid w:val="00DA026A"/>
    <w:rsid w:val="00DA144D"/>
    <w:rsid w:val="00DA1B83"/>
    <w:rsid w:val="00DA4B82"/>
    <w:rsid w:val="00DA74F2"/>
    <w:rsid w:val="00DA7EF1"/>
    <w:rsid w:val="00DB2296"/>
    <w:rsid w:val="00DB3145"/>
    <w:rsid w:val="00DB488E"/>
    <w:rsid w:val="00DB5021"/>
    <w:rsid w:val="00DB5EE3"/>
    <w:rsid w:val="00DB6C64"/>
    <w:rsid w:val="00DC2ADC"/>
    <w:rsid w:val="00DC4C86"/>
    <w:rsid w:val="00DC504F"/>
    <w:rsid w:val="00DC51DB"/>
    <w:rsid w:val="00DD077F"/>
    <w:rsid w:val="00DD0B29"/>
    <w:rsid w:val="00DD502C"/>
    <w:rsid w:val="00DE06D7"/>
    <w:rsid w:val="00DE0B6A"/>
    <w:rsid w:val="00DE0BCE"/>
    <w:rsid w:val="00DE23EC"/>
    <w:rsid w:val="00DE3F7C"/>
    <w:rsid w:val="00DE4DAA"/>
    <w:rsid w:val="00DE6206"/>
    <w:rsid w:val="00DF1FB5"/>
    <w:rsid w:val="00DF509A"/>
    <w:rsid w:val="00DF7570"/>
    <w:rsid w:val="00DF774E"/>
    <w:rsid w:val="00E01A70"/>
    <w:rsid w:val="00E0290E"/>
    <w:rsid w:val="00E07E9B"/>
    <w:rsid w:val="00E11FB9"/>
    <w:rsid w:val="00E13267"/>
    <w:rsid w:val="00E154FD"/>
    <w:rsid w:val="00E2092D"/>
    <w:rsid w:val="00E2263B"/>
    <w:rsid w:val="00E23256"/>
    <w:rsid w:val="00E329F5"/>
    <w:rsid w:val="00E34148"/>
    <w:rsid w:val="00E34C7C"/>
    <w:rsid w:val="00E368F3"/>
    <w:rsid w:val="00E434B1"/>
    <w:rsid w:val="00E46346"/>
    <w:rsid w:val="00E46B43"/>
    <w:rsid w:val="00E65802"/>
    <w:rsid w:val="00E70098"/>
    <w:rsid w:val="00E70508"/>
    <w:rsid w:val="00E71EE5"/>
    <w:rsid w:val="00E75EE9"/>
    <w:rsid w:val="00E76C6D"/>
    <w:rsid w:val="00E77353"/>
    <w:rsid w:val="00E7756A"/>
    <w:rsid w:val="00E80555"/>
    <w:rsid w:val="00E82E4E"/>
    <w:rsid w:val="00E86148"/>
    <w:rsid w:val="00E90301"/>
    <w:rsid w:val="00E90FD9"/>
    <w:rsid w:val="00E91C14"/>
    <w:rsid w:val="00E93E0F"/>
    <w:rsid w:val="00E94A7D"/>
    <w:rsid w:val="00E9609B"/>
    <w:rsid w:val="00E96C94"/>
    <w:rsid w:val="00E97BA4"/>
    <w:rsid w:val="00EB1754"/>
    <w:rsid w:val="00EB1836"/>
    <w:rsid w:val="00EB2F8F"/>
    <w:rsid w:val="00EB5057"/>
    <w:rsid w:val="00EB6459"/>
    <w:rsid w:val="00EB6A41"/>
    <w:rsid w:val="00EC1CBB"/>
    <w:rsid w:val="00EC2BC8"/>
    <w:rsid w:val="00ED6A9B"/>
    <w:rsid w:val="00ED737A"/>
    <w:rsid w:val="00ED7F1B"/>
    <w:rsid w:val="00EE1E3B"/>
    <w:rsid w:val="00EE566B"/>
    <w:rsid w:val="00EF13B0"/>
    <w:rsid w:val="00EF2C22"/>
    <w:rsid w:val="00EF3BC7"/>
    <w:rsid w:val="00EF534B"/>
    <w:rsid w:val="00EF5444"/>
    <w:rsid w:val="00EF7868"/>
    <w:rsid w:val="00F00D97"/>
    <w:rsid w:val="00F02178"/>
    <w:rsid w:val="00F049E2"/>
    <w:rsid w:val="00F06767"/>
    <w:rsid w:val="00F06BD9"/>
    <w:rsid w:val="00F107A2"/>
    <w:rsid w:val="00F137D2"/>
    <w:rsid w:val="00F14E59"/>
    <w:rsid w:val="00F1598A"/>
    <w:rsid w:val="00F204E5"/>
    <w:rsid w:val="00F2528E"/>
    <w:rsid w:val="00F25CC7"/>
    <w:rsid w:val="00F263A2"/>
    <w:rsid w:val="00F26E1E"/>
    <w:rsid w:val="00F30D91"/>
    <w:rsid w:val="00F3580A"/>
    <w:rsid w:val="00F36DC6"/>
    <w:rsid w:val="00F374ED"/>
    <w:rsid w:val="00F37A29"/>
    <w:rsid w:val="00F456EB"/>
    <w:rsid w:val="00F45B81"/>
    <w:rsid w:val="00F464EF"/>
    <w:rsid w:val="00F46572"/>
    <w:rsid w:val="00F4720E"/>
    <w:rsid w:val="00F50DDF"/>
    <w:rsid w:val="00F5112B"/>
    <w:rsid w:val="00F526A2"/>
    <w:rsid w:val="00F52FC5"/>
    <w:rsid w:val="00F54CBE"/>
    <w:rsid w:val="00F55E4C"/>
    <w:rsid w:val="00F61642"/>
    <w:rsid w:val="00F65893"/>
    <w:rsid w:val="00F710AF"/>
    <w:rsid w:val="00F73209"/>
    <w:rsid w:val="00F74F50"/>
    <w:rsid w:val="00F801EB"/>
    <w:rsid w:val="00F82E29"/>
    <w:rsid w:val="00F83FB5"/>
    <w:rsid w:val="00F83FED"/>
    <w:rsid w:val="00F84AF5"/>
    <w:rsid w:val="00F85130"/>
    <w:rsid w:val="00F857FF"/>
    <w:rsid w:val="00F93482"/>
    <w:rsid w:val="00FA387E"/>
    <w:rsid w:val="00FA6FB8"/>
    <w:rsid w:val="00FB6BC9"/>
    <w:rsid w:val="00FC0887"/>
    <w:rsid w:val="00FC4A82"/>
    <w:rsid w:val="00FC571F"/>
    <w:rsid w:val="00FD029B"/>
    <w:rsid w:val="00FD0ABA"/>
    <w:rsid w:val="00FD2063"/>
    <w:rsid w:val="00FD30EC"/>
    <w:rsid w:val="00FE00DE"/>
    <w:rsid w:val="00FE08BE"/>
    <w:rsid w:val="00FE0F3D"/>
    <w:rsid w:val="00FE6B11"/>
    <w:rsid w:val="00FF1087"/>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8A217C6-E887-4841-B828-6A68E9E84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iPriority="99"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8F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 w:type="table" w:customStyle="1" w:styleId="Tabladecuadrcula4-nfasis11">
    <w:name w:val="Tabla de cuadrícula 4 - Énfasis 11"/>
    <w:basedOn w:val="Tablanormal"/>
    <w:uiPriority w:val="49"/>
    <w:rsid w:val="00E46346"/>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4-nfasis51">
    <w:name w:val="Tabla de cuadrícula 4 - Énfasis 51"/>
    <w:basedOn w:val="Tablanormal"/>
    <w:uiPriority w:val="49"/>
    <w:rsid w:val="004639CB"/>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661617381">
      <w:bodyDiv w:val="1"/>
      <w:marLeft w:val="0"/>
      <w:marRight w:val="0"/>
      <w:marTop w:val="0"/>
      <w:marBottom w:val="0"/>
      <w:divBdr>
        <w:top w:val="none" w:sz="0" w:space="0" w:color="auto"/>
        <w:left w:val="none" w:sz="0" w:space="0" w:color="auto"/>
        <w:bottom w:val="none" w:sz="0" w:space="0" w:color="auto"/>
        <w:right w:val="none" w:sz="0" w:space="0" w:color="auto"/>
      </w:divBdr>
    </w:div>
    <w:div w:id="668868391">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1051229213">
      <w:bodyDiv w:val="1"/>
      <w:marLeft w:val="0"/>
      <w:marRight w:val="0"/>
      <w:marTop w:val="0"/>
      <w:marBottom w:val="0"/>
      <w:divBdr>
        <w:top w:val="none" w:sz="0" w:space="0" w:color="auto"/>
        <w:left w:val="none" w:sz="0" w:space="0" w:color="auto"/>
        <w:bottom w:val="none" w:sz="0" w:space="0" w:color="auto"/>
        <w:right w:val="none" w:sz="0" w:space="0" w:color="auto"/>
      </w:divBdr>
    </w:div>
    <w:div w:id="1140614836">
      <w:bodyDiv w:val="1"/>
      <w:marLeft w:val="0"/>
      <w:marRight w:val="0"/>
      <w:marTop w:val="0"/>
      <w:marBottom w:val="0"/>
      <w:divBdr>
        <w:top w:val="none" w:sz="0" w:space="0" w:color="auto"/>
        <w:left w:val="none" w:sz="0" w:space="0" w:color="auto"/>
        <w:bottom w:val="none" w:sz="0" w:space="0" w:color="auto"/>
        <w:right w:val="none" w:sz="0" w:space="0" w:color="auto"/>
      </w:divBdr>
    </w:div>
    <w:div w:id="1146315513">
      <w:bodyDiv w:val="1"/>
      <w:marLeft w:val="0"/>
      <w:marRight w:val="0"/>
      <w:marTop w:val="0"/>
      <w:marBottom w:val="0"/>
      <w:divBdr>
        <w:top w:val="none" w:sz="0" w:space="0" w:color="auto"/>
        <w:left w:val="none" w:sz="0" w:space="0" w:color="auto"/>
        <w:bottom w:val="none" w:sz="0" w:space="0" w:color="auto"/>
        <w:right w:val="none" w:sz="0" w:space="0" w:color="auto"/>
      </w:divBdr>
    </w:div>
    <w:div w:id="1261528748">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517502787">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 w:id="1859849696">
      <w:bodyDiv w:val="1"/>
      <w:marLeft w:val="0"/>
      <w:marRight w:val="0"/>
      <w:marTop w:val="0"/>
      <w:marBottom w:val="0"/>
      <w:divBdr>
        <w:top w:val="none" w:sz="0" w:space="0" w:color="auto"/>
        <w:left w:val="none" w:sz="0" w:space="0" w:color="auto"/>
        <w:bottom w:val="none" w:sz="0" w:space="0" w:color="auto"/>
        <w:right w:val="none" w:sz="0" w:space="0" w:color="auto"/>
      </w:divBdr>
    </w:div>
    <w:div w:id="186339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nap.parquesnacionales.gov.c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3C8A8-A66B-4F6B-A8E7-763FEED9F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1149</Words>
  <Characters>6323</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7458</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Juan Carlos Gutierrez Casas</cp:lastModifiedBy>
  <cp:revision>3</cp:revision>
  <cp:lastPrinted>2016-05-19T16:29:00Z</cp:lastPrinted>
  <dcterms:created xsi:type="dcterms:W3CDTF">2016-04-26T21:15:00Z</dcterms:created>
  <dcterms:modified xsi:type="dcterms:W3CDTF">2016-05-19T16:31:00Z</dcterms:modified>
</cp:coreProperties>
</file>