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DCAE32" w14:textId="77777777" w:rsidR="005F185A" w:rsidRPr="00BE18F3" w:rsidRDefault="005F185A" w:rsidP="00BE18F3">
      <w:pPr>
        <w:spacing w:after="0"/>
        <w:jc w:val="center"/>
      </w:pPr>
      <w:r w:rsidRPr="00BE18F3">
        <w:t>República de Colombia</w:t>
      </w:r>
    </w:p>
    <w:p w14:paraId="1D138790" w14:textId="77777777" w:rsidR="005F185A" w:rsidRDefault="005F185A" w:rsidP="00BE18F3">
      <w:pPr>
        <w:jc w:val="center"/>
        <w:rPr>
          <w:bCs/>
        </w:rPr>
      </w:pPr>
      <w:r w:rsidRPr="00BE18F3">
        <w:t>Formato Común de Hoja Metodológica de Indicadores Ambientales</w:t>
      </w:r>
    </w:p>
    <w:p w14:paraId="11445929" w14:textId="4A155EFA" w:rsidR="005F185A" w:rsidRPr="00551672" w:rsidRDefault="006A7D55" w:rsidP="00BE18F3">
      <w:pPr>
        <w:spacing w:after="0"/>
        <w:jc w:val="center"/>
        <w:rPr>
          <w:b/>
          <w:sz w:val="20"/>
        </w:rPr>
      </w:pPr>
      <w:r w:rsidRPr="006A7D55">
        <w:rPr>
          <w:b/>
          <w:sz w:val="20"/>
          <w:lang w:eastAsia="ar-SA"/>
        </w:rPr>
        <w:t xml:space="preserve">Porcentaje de </w:t>
      </w:r>
      <w:r w:rsidR="00E47601">
        <w:rPr>
          <w:b/>
          <w:sz w:val="20"/>
          <w:lang w:eastAsia="ar-SA"/>
        </w:rPr>
        <w:t>c</w:t>
      </w:r>
      <w:r w:rsidR="0076428C">
        <w:rPr>
          <w:b/>
          <w:sz w:val="20"/>
          <w:lang w:eastAsia="ar-SA"/>
        </w:rPr>
        <w:t>uerpos de agua con plan</w:t>
      </w:r>
      <w:r w:rsidR="008144BF">
        <w:rPr>
          <w:b/>
          <w:sz w:val="20"/>
          <w:lang w:eastAsia="ar-SA"/>
        </w:rPr>
        <w:t>es</w:t>
      </w:r>
      <w:r w:rsidR="0076428C">
        <w:rPr>
          <w:b/>
          <w:sz w:val="20"/>
          <w:lang w:eastAsia="ar-SA"/>
        </w:rPr>
        <w:t xml:space="preserve"> de ordenamiento del recurso hídrico</w:t>
      </w:r>
      <w:r w:rsidR="007242C2">
        <w:rPr>
          <w:b/>
          <w:sz w:val="20"/>
          <w:lang w:eastAsia="ar-SA"/>
        </w:rPr>
        <w:t xml:space="preserve"> (</w:t>
      </w:r>
      <w:r w:rsidR="0076428C">
        <w:rPr>
          <w:b/>
          <w:sz w:val="20"/>
          <w:lang w:eastAsia="ar-SA"/>
        </w:rPr>
        <w:t>PORH</w:t>
      </w:r>
      <w:r w:rsidR="007242C2">
        <w:rPr>
          <w:b/>
          <w:sz w:val="20"/>
          <w:lang w:eastAsia="ar-SA"/>
        </w:rPr>
        <w:t>)</w:t>
      </w:r>
      <w:r w:rsidRPr="006A7D55">
        <w:rPr>
          <w:b/>
          <w:sz w:val="20"/>
          <w:lang w:eastAsia="ar-SA"/>
        </w:rPr>
        <w:t xml:space="preserve"> </w:t>
      </w:r>
      <w:r w:rsidR="008144BF">
        <w:rPr>
          <w:b/>
          <w:sz w:val="20"/>
          <w:lang w:eastAsia="ar-SA"/>
        </w:rPr>
        <w:t>adoptados</w:t>
      </w:r>
    </w:p>
    <w:p w14:paraId="061D3611" w14:textId="2433BFFA" w:rsidR="005F185A" w:rsidRDefault="005F185A" w:rsidP="00BE18F3">
      <w:pPr>
        <w:jc w:val="center"/>
      </w:pPr>
      <w:r w:rsidRPr="00B771A6">
        <w:t xml:space="preserve">(Hoja metodológica versión </w:t>
      </w:r>
      <w:r w:rsidR="006855FB">
        <w:t>1</w:t>
      </w:r>
      <w:r>
        <w:t>,</w:t>
      </w:r>
      <w:r w:rsidR="006855FB">
        <w:t>00</w:t>
      </w:r>
      <w:r w:rsidRPr="00B771A6">
        <w:t>)</w:t>
      </w:r>
    </w:p>
    <w:p w14:paraId="48313F13" w14:textId="77777777" w:rsidR="008A4E6B" w:rsidRDefault="008A4E6B" w:rsidP="00BE18F3">
      <w:pPr>
        <w:jc w:val="center"/>
      </w:pPr>
      <w:bookmarkStart w:id="0" w:name="_GoBack"/>
      <w:bookmarkEnd w:id="0"/>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14:paraId="1812ADFB" w14:textId="77777777" w:rsidTr="00CA1A57">
        <w:trPr>
          <w:jc w:val="center"/>
        </w:trPr>
        <w:tc>
          <w:tcPr>
            <w:tcW w:w="4575" w:type="dxa"/>
          </w:tcPr>
          <w:p w14:paraId="29AFD82F" w14:textId="77777777" w:rsidR="005F185A" w:rsidRPr="00BC6A80" w:rsidRDefault="005F185A" w:rsidP="00BE18F3">
            <w:pPr>
              <w:spacing w:after="0"/>
              <w:jc w:val="center"/>
              <w:rPr>
                <w:i/>
                <w:lang w:val="es-ES" w:eastAsia="ar-SA"/>
              </w:rPr>
            </w:pPr>
            <w:r w:rsidRPr="00BC6A80">
              <w:rPr>
                <w:lang w:eastAsia="ar-SA"/>
              </w:rPr>
              <w:t>Código Único Nacional del Indicador</w:t>
            </w:r>
          </w:p>
          <w:p w14:paraId="5A054AC8" w14:textId="77777777"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14:paraId="1FA92910" w14:textId="77777777" w:rsidR="005F185A" w:rsidRDefault="005F185A" w:rsidP="00CA1A57">
      <w:pPr>
        <w:spacing w:after="0"/>
      </w:pPr>
    </w:p>
    <w:p w14:paraId="244D9A3D" w14:textId="77777777" w:rsidR="008A4E6B" w:rsidRPr="00B771A6" w:rsidRDefault="008A4E6B" w:rsidP="00CA1A57">
      <w:pPr>
        <w:spacing w:after="0"/>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204"/>
        <w:gridCol w:w="9590"/>
      </w:tblGrid>
      <w:tr w:rsidR="005F185A" w:rsidRPr="00485431" w14:paraId="054BB872" w14:textId="77777777" w:rsidTr="001375AF">
        <w:trPr>
          <w:trHeight w:val="20"/>
          <w:jc w:val="center"/>
        </w:trPr>
        <w:tc>
          <w:tcPr>
            <w:tcW w:w="5000" w:type="pct"/>
            <w:gridSpan w:val="2"/>
            <w:vAlign w:val="center"/>
          </w:tcPr>
          <w:p w14:paraId="37990B1A" w14:textId="77777777" w:rsidR="005F185A" w:rsidRPr="003D5913" w:rsidRDefault="005F185A" w:rsidP="00BE18F3">
            <w:pPr>
              <w:pStyle w:val="Ttulo5"/>
            </w:pPr>
            <w:r w:rsidRPr="003D5913">
              <w:t>Identificación del Indicador</w:t>
            </w:r>
          </w:p>
        </w:tc>
      </w:tr>
      <w:tr w:rsidR="00121693" w:rsidRPr="00B771A6" w14:paraId="5E3B8B35" w14:textId="77777777" w:rsidTr="001375AF">
        <w:trPr>
          <w:trHeight w:val="20"/>
          <w:jc w:val="center"/>
        </w:trPr>
        <w:tc>
          <w:tcPr>
            <w:tcW w:w="471" w:type="pct"/>
            <w:vAlign w:val="center"/>
          </w:tcPr>
          <w:p w14:paraId="44EF9247" w14:textId="77777777" w:rsidR="005F185A" w:rsidRDefault="005F185A" w:rsidP="00D124E1">
            <w:pPr>
              <w:spacing w:after="0"/>
              <w:jc w:val="left"/>
              <w:rPr>
                <w:lang w:eastAsia="ar-SA"/>
              </w:rPr>
            </w:pPr>
            <w:r>
              <w:rPr>
                <w:lang w:eastAsia="ar-SA"/>
              </w:rPr>
              <w:t>Co</w:t>
            </w:r>
            <w:r w:rsidR="00D124E1">
              <w:rPr>
                <w:lang w:eastAsia="ar-SA"/>
              </w:rPr>
              <w:t>ntexto nacional o internacional</w:t>
            </w:r>
          </w:p>
        </w:tc>
        <w:tc>
          <w:tcPr>
            <w:tcW w:w="4529" w:type="pct"/>
            <w:vAlign w:val="center"/>
          </w:tcPr>
          <w:p w14:paraId="35CB95B8" w14:textId="77777777"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121693" w:rsidRPr="00B771A6" w14:paraId="426E6154" w14:textId="77777777" w:rsidTr="001375AF">
        <w:trPr>
          <w:trHeight w:val="20"/>
          <w:jc w:val="center"/>
        </w:trPr>
        <w:tc>
          <w:tcPr>
            <w:tcW w:w="471" w:type="pct"/>
            <w:vAlign w:val="center"/>
          </w:tcPr>
          <w:p w14:paraId="2D586884" w14:textId="77777777" w:rsidR="00EB1836" w:rsidRDefault="00EB1836" w:rsidP="00D124E1">
            <w:pPr>
              <w:jc w:val="left"/>
              <w:rPr>
                <w:lang w:eastAsia="ar-SA"/>
              </w:rPr>
            </w:pPr>
            <w:r w:rsidRPr="00B771A6">
              <w:rPr>
                <w:lang w:eastAsia="ar-SA"/>
              </w:rPr>
              <w:t>Tema de referencia</w:t>
            </w:r>
          </w:p>
        </w:tc>
        <w:tc>
          <w:tcPr>
            <w:tcW w:w="4529" w:type="pct"/>
            <w:vAlign w:val="center"/>
          </w:tcPr>
          <w:p w14:paraId="33AE57E3" w14:textId="77777777" w:rsidR="00EB1836" w:rsidRPr="00485431" w:rsidRDefault="00EB1836" w:rsidP="00BE18F3">
            <w:pPr>
              <w:rPr>
                <w:lang w:val="es-ES" w:eastAsia="ar-SA"/>
              </w:rPr>
            </w:pPr>
          </w:p>
        </w:tc>
      </w:tr>
      <w:tr w:rsidR="00121693" w:rsidRPr="005B05C5" w14:paraId="7500493C" w14:textId="77777777" w:rsidTr="001375AF">
        <w:trPr>
          <w:trHeight w:val="20"/>
          <w:jc w:val="center"/>
        </w:trPr>
        <w:tc>
          <w:tcPr>
            <w:tcW w:w="471" w:type="pct"/>
            <w:vAlign w:val="center"/>
          </w:tcPr>
          <w:p w14:paraId="1F98A065" w14:textId="77777777" w:rsidR="005F185A" w:rsidRDefault="005F185A" w:rsidP="00D124E1">
            <w:pPr>
              <w:spacing w:after="0"/>
              <w:jc w:val="left"/>
              <w:rPr>
                <w:lang w:eastAsia="ar-SA"/>
              </w:rPr>
            </w:pPr>
            <w:r w:rsidRPr="00C45EE8">
              <w:rPr>
                <w:lang w:eastAsia="ar-SA"/>
              </w:rPr>
              <w:t xml:space="preserve">Código de identificación </w:t>
            </w:r>
          </w:p>
        </w:tc>
        <w:tc>
          <w:tcPr>
            <w:tcW w:w="4529" w:type="pct"/>
            <w:vAlign w:val="center"/>
          </w:tcPr>
          <w:p w14:paraId="3D4E041B" w14:textId="77777777" w:rsidR="005F185A" w:rsidRDefault="005F185A" w:rsidP="00BE18F3">
            <w:pPr>
              <w:rPr>
                <w:lang w:eastAsia="ar-SA"/>
              </w:rPr>
            </w:pPr>
          </w:p>
        </w:tc>
      </w:tr>
      <w:tr w:rsidR="00121693" w:rsidRPr="00B771A6" w14:paraId="3EC4EF4F" w14:textId="77777777" w:rsidTr="001375AF">
        <w:trPr>
          <w:trHeight w:val="20"/>
          <w:jc w:val="center"/>
        </w:trPr>
        <w:tc>
          <w:tcPr>
            <w:tcW w:w="471" w:type="pct"/>
            <w:vAlign w:val="center"/>
          </w:tcPr>
          <w:p w14:paraId="2706834D" w14:textId="77777777" w:rsidR="005F185A" w:rsidRPr="00746D28" w:rsidRDefault="005F185A" w:rsidP="00D124E1">
            <w:pPr>
              <w:jc w:val="left"/>
            </w:pPr>
            <w:r w:rsidRPr="00C115B5">
              <w:rPr>
                <w:lang w:eastAsia="ar-SA"/>
              </w:rPr>
              <w:t>Unidad de medida</w:t>
            </w:r>
          </w:p>
        </w:tc>
        <w:tc>
          <w:tcPr>
            <w:tcW w:w="4529" w:type="pct"/>
            <w:vAlign w:val="center"/>
          </w:tcPr>
          <w:p w14:paraId="3FE7E83B" w14:textId="77777777" w:rsidR="005F185A" w:rsidRPr="00485431" w:rsidRDefault="00C67129" w:rsidP="00BE18F3">
            <w:pPr>
              <w:rPr>
                <w:i/>
                <w:lang w:eastAsia="ar-SA"/>
              </w:rPr>
            </w:pPr>
            <w:r>
              <w:rPr>
                <w:lang w:eastAsia="ar-SA"/>
              </w:rPr>
              <w:t>Porcentaje</w:t>
            </w:r>
          </w:p>
        </w:tc>
      </w:tr>
      <w:tr w:rsidR="00121693" w:rsidRPr="00B771A6" w14:paraId="568F2377" w14:textId="77777777" w:rsidTr="001375AF">
        <w:trPr>
          <w:trHeight w:val="20"/>
          <w:jc w:val="center"/>
        </w:trPr>
        <w:tc>
          <w:tcPr>
            <w:tcW w:w="471" w:type="pct"/>
            <w:vAlign w:val="center"/>
          </w:tcPr>
          <w:p w14:paraId="241D754E" w14:textId="77777777" w:rsidR="005F185A" w:rsidRPr="009050CC" w:rsidRDefault="005F185A" w:rsidP="00BE18F3">
            <w:pPr>
              <w:rPr>
                <w:i/>
                <w:lang w:eastAsia="ar-SA"/>
              </w:rPr>
            </w:pPr>
            <w:r w:rsidRPr="00B771A6">
              <w:rPr>
                <w:lang w:eastAsia="ar-SA"/>
              </w:rPr>
              <w:t>Periodicidad</w:t>
            </w:r>
          </w:p>
        </w:tc>
        <w:tc>
          <w:tcPr>
            <w:tcW w:w="4529" w:type="pct"/>
          </w:tcPr>
          <w:tbl>
            <w:tblPr>
              <w:tblpPr w:leftFromText="142" w:rightFromText="142" w:topFromText="539" w:vertAnchor="text" w:horzAnchor="margin" w:tblpY="1"/>
              <w:tblOverlap w:val="never"/>
              <w:tblW w:w="4051" w:type="dxa"/>
              <w:tblCellMar>
                <w:left w:w="0" w:type="dxa"/>
                <w:right w:w="0" w:type="dxa"/>
              </w:tblCellMar>
              <w:tblLook w:val="01E0" w:firstRow="1" w:lastRow="1" w:firstColumn="1" w:lastColumn="1" w:noHBand="0" w:noVBand="0"/>
            </w:tblPr>
            <w:tblGrid>
              <w:gridCol w:w="230"/>
              <w:gridCol w:w="1178"/>
              <w:gridCol w:w="2643"/>
            </w:tblGrid>
            <w:tr w:rsidR="005F185A" w:rsidRPr="00B32D35" w14:paraId="099F16C6"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1929EF61" w14:textId="16051010" w:rsidR="005F185A" w:rsidRPr="00CF34F9" w:rsidRDefault="00DA74F8"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14:paraId="78D11EFF"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14:paraId="7F6D3727"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37396067"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F342B48"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52BA428B"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1BE9D6BF"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74E00F5C"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14:paraId="4C26FE86"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4E97ADBB"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BF0B39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1C98C5E3"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0EFF43E2"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71DBE979"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14:paraId="7807A7BB"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2BEC63EB"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26C1E8A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21488E70"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58BAB94D"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0E63AF4B" w14:textId="77777777"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14:paraId="389C2336"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778D2F62"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7E5FB47D"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60E8F54A" w14:textId="77777777"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58FF9593" w14:textId="77777777"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14:paraId="601A02C4"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14:paraId="719CF8E5" w14:textId="77777777"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14:paraId="6416FAC9" w14:textId="77777777"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14:paraId="609FE83B"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32A92FE5" w14:textId="77777777" w:rsidTr="007F1260">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14:paraId="2E0564C0" w14:textId="4ECEA903" w:rsidR="005F185A" w:rsidRPr="00CF34F9" w:rsidRDefault="00DA74F8"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14:paraId="1FF6E175"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14:paraId="5D3418D3" w14:textId="306467EB" w:rsidR="005F185A" w:rsidRPr="00CF34F9" w:rsidRDefault="00DA74F8" w:rsidP="00CE322E">
                  <w:pPr>
                    <w:pStyle w:val="Sinespaciado1"/>
                    <w:tabs>
                      <w:tab w:val="left" w:pos="279"/>
                    </w:tabs>
                    <w:ind w:left="143" w:right="-720"/>
                    <w:rPr>
                      <w:sz w:val="18"/>
                      <w:szCs w:val="18"/>
                      <w:lang w:val="es-CR" w:eastAsia="ar-SA"/>
                    </w:rPr>
                  </w:pPr>
                  <w:r>
                    <w:rPr>
                      <w:sz w:val="18"/>
                      <w:szCs w:val="18"/>
                      <w:lang w:val="es-CR" w:eastAsia="ar-SA"/>
                    </w:rPr>
                    <w:t>Cuatrienal</w:t>
                  </w:r>
                </w:p>
              </w:tc>
            </w:tr>
          </w:tbl>
          <w:p w14:paraId="1F9F247B" w14:textId="77777777" w:rsidR="005F185A" w:rsidRPr="00B32D35" w:rsidRDefault="005F185A" w:rsidP="00BE18F3">
            <w:pPr>
              <w:rPr>
                <w:lang w:val="es-CR" w:eastAsia="ar-SA"/>
              </w:rPr>
            </w:pPr>
          </w:p>
          <w:p w14:paraId="374756AE" w14:textId="77777777" w:rsidR="005F185A" w:rsidRPr="00B32D35" w:rsidRDefault="005F185A" w:rsidP="00BE18F3">
            <w:pPr>
              <w:rPr>
                <w:lang w:val="es-CR" w:eastAsia="ar-SA"/>
              </w:rPr>
            </w:pPr>
          </w:p>
          <w:p w14:paraId="46D51C70" w14:textId="77777777" w:rsidR="005F185A" w:rsidRPr="00B32D35" w:rsidRDefault="005F185A" w:rsidP="00BE18F3">
            <w:pPr>
              <w:rPr>
                <w:lang w:val="es-CR" w:eastAsia="ar-SA"/>
              </w:rPr>
            </w:pPr>
          </w:p>
          <w:p w14:paraId="78B0DC9C" w14:textId="77777777" w:rsidR="005F185A" w:rsidRPr="00B32D35" w:rsidRDefault="005F185A" w:rsidP="00BE18F3">
            <w:pPr>
              <w:rPr>
                <w:lang w:val="es-CR" w:eastAsia="ar-SA"/>
              </w:rPr>
            </w:pPr>
          </w:p>
          <w:p w14:paraId="340C4A67" w14:textId="77777777" w:rsidR="005F185A" w:rsidRPr="00B32D35" w:rsidRDefault="005F185A" w:rsidP="00CE322E">
            <w:pPr>
              <w:pStyle w:val="Sinespaciado1"/>
              <w:rPr>
                <w:rFonts w:cs="Arial"/>
                <w:sz w:val="18"/>
                <w:szCs w:val="18"/>
                <w:lang w:eastAsia="ar-SA"/>
              </w:rPr>
            </w:pPr>
          </w:p>
        </w:tc>
      </w:tr>
      <w:tr w:rsidR="00121693" w:rsidRPr="00B771A6" w14:paraId="0C1C5C6A" w14:textId="77777777" w:rsidTr="001375AF">
        <w:trPr>
          <w:trHeight w:val="1936"/>
          <w:jc w:val="center"/>
        </w:trPr>
        <w:tc>
          <w:tcPr>
            <w:tcW w:w="471" w:type="pct"/>
            <w:vAlign w:val="center"/>
          </w:tcPr>
          <w:p w14:paraId="4C506219" w14:textId="77777777" w:rsidR="005F185A" w:rsidRPr="009050CC" w:rsidRDefault="005F185A" w:rsidP="00BE18F3">
            <w:pPr>
              <w:rPr>
                <w:i/>
                <w:lang w:val="es-MX" w:eastAsia="ar-SA"/>
              </w:rPr>
            </w:pPr>
            <w:r w:rsidRPr="00B771A6">
              <w:rPr>
                <w:lang w:val="es-MX" w:eastAsia="ar-SA"/>
              </w:rPr>
              <w:t>Cobertura geográfica</w:t>
            </w:r>
          </w:p>
        </w:tc>
        <w:tc>
          <w:tcPr>
            <w:tcW w:w="4529" w:type="pct"/>
          </w:tcPr>
          <w:tbl>
            <w:tblPr>
              <w:tblpPr w:leftFromText="142" w:rightFromText="142" w:topFromText="539" w:vertAnchor="text" w:horzAnchor="margin" w:tblpY="1"/>
              <w:tblOverlap w:val="never"/>
              <w:tblW w:w="7361" w:type="dxa"/>
              <w:tblCellMar>
                <w:left w:w="0" w:type="dxa"/>
                <w:right w:w="0" w:type="dxa"/>
              </w:tblCellMar>
              <w:tblLook w:val="01E0" w:firstRow="1" w:lastRow="1" w:firstColumn="1" w:lastColumn="1" w:noHBand="0" w:noVBand="0"/>
            </w:tblPr>
            <w:tblGrid>
              <w:gridCol w:w="212"/>
              <w:gridCol w:w="1260"/>
              <w:gridCol w:w="5889"/>
            </w:tblGrid>
            <w:tr w:rsidR="005F185A" w:rsidRPr="00B32D35" w14:paraId="6D86AF34" w14:textId="77777777"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42D03911" w14:textId="77777777"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492A0ECD"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14:paraId="56AF978F" w14:textId="77777777"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14:paraId="62FC4AD6" w14:textId="77777777"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14:paraId="03CFD1C8"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41013502" w14:textId="77777777"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295621BE" w14:textId="77777777"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685932DD"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14:paraId="5D5AD952" w14:textId="77777777"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14:paraId="665B56B4" w14:textId="77777777"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14:paraId="591A3472"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53B6844B" w14:textId="77777777"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01500BD0" w14:textId="77777777"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14:paraId="76E1E90D" w14:textId="77777777"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14:paraId="584E6328" w14:textId="77777777"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14:paraId="1BFE1E45" w14:textId="77777777"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14:paraId="7EDBFB8E" w14:textId="77777777" w:rsidR="005F185A" w:rsidRPr="00CF34F9" w:rsidRDefault="005F185A" w:rsidP="00CE322E">
                  <w:pPr>
                    <w:pStyle w:val="Sinespaciado1"/>
                    <w:tabs>
                      <w:tab w:val="left" w:pos="279"/>
                    </w:tabs>
                    <w:ind w:left="143" w:right="-720"/>
                    <w:rPr>
                      <w:sz w:val="18"/>
                      <w:szCs w:val="18"/>
                      <w:lang w:val="es-CR" w:eastAsia="ar-SA"/>
                    </w:rPr>
                  </w:pPr>
                </w:p>
              </w:tc>
            </w:tr>
            <w:tr w:rsidR="005F185A" w:rsidRPr="00B32D35" w14:paraId="331E7524" w14:textId="77777777" w:rsidTr="00C67129">
              <w:trPr>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14:paraId="523ED703" w14:textId="77777777"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241" w:type="dxa"/>
                  <w:tcBorders>
                    <w:left w:val="single" w:sz="8" w:space="0" w:color="auto"/>
                  </w:tcBorders>
                  <w:vAlign w:val="center"/>
                </w:tcPr>
                <w:p w14:paraId="4FCB73FE" w14:textId="77777777"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5908" w:type="dxa"/>
                  <w:tcBorders>
                    <w:bottom w:val="single" w:sz="8" w:space="0" w:color="auto"/>
                  </w:tcBorders>
                </w:tcPr>
                <w:p w14:paraId="4B2DB250" w14:textId="77777777" w:rsidR="005F185A" w:rsidRPr="00CF34F9" w:rsidRDefault="00C67129" w:rsidP="00CE322E">
                  <w:pPr>
                    <w:pStyle w:val="Sinespaciado1"/>
                    <w:tabs>
                      <w:tab w:val="left" w:pos="279"/>
                    </w:tabs>
                    <w:ind w:left="143" w:right="-720"/>
                    <w:rPr>
                      <w:sz w:val="18"/>
                      <w:szCs w:val="18"/>
                      <w:lang w:val="es-CR" w:eastAsia="ar-SA"/>
                    </w:rPr>
                  </w:pPr>
                  <w:r>
                    <w:rPr>
                      <w:sz w:val="18"/>
                      <w:szCs w:val="18"/>
                      <w:lang w:val="es-CR" w:eastAsia="ar-SA"/>
                    </w:rPr>
                    <w:t>Jurisdicci</w:t>
                  </w:r>
                  <w:r w:rsidR="00C74460">
                    <w:rPr>
                      <w:sz w:val="18"/>
                      <w:szCs w:val="18"/>
                      <w:lang w:val="es-CR" w:eastAsia="ar-SA"/>
                    </w:rPr>
                    <w:t>ón de las corporaciones autónomas regionales</w:t>
                  </w:r>
                </w:p>
              </w:tc>
            </w:tr>
          </w:tbl>
          <w:p w14:paraId="3280A3E5" w14:textId="77777777" w:rsidR="005F185A" w:rsidRPr="00BD0FB2" w:rsidRDefault="005F185A" w:rsidP="00CE322E">
            <w:pPr>
              <w:pStyle w:val="Sinespaciado1"/>
              <w:rPr>
                <w:rFonts w:cs="Arial"/>
                <w:sz w:val="18"/>
                <w:szCs w:val="18"/>
                <w:lang w:eastAsia="ar-SA"/>
              </w:rPr>
            </w:pPr>
          </w:p>
        </w:tc>
      </w:tr>
      <w:tr w:rsidR="00121693" w:rsidRPr="00B771A6" w14:paraId="748DE68C" w14:textId="77777777" w:rsidTr="001375AF">
        <w:trPr>
          <w:trHeight w:val="20"/>
          <w:jc w:val="center"/>
        </w:trPr>
        <w:tc>
          <w:tcPr>
            <w:tcW w:w="471" w:type="pct"/>
            <w:vAlign w:val="center"/>
          </w:tcPr>
          <w:p w14:paraId="37120847" w14:textId="77777777" w:rsidR="005F185A" w:rsidRPr="00D948CB" w:rsidRDefault="005F185A" w:rsidP="00BE18F3">
            <w:pPr>
              <w:rPr>
                <w:szCs w:val="20"/>
                <w:lang w:val="es-MX" w:eastAsia="ar-SA"/>
              </w:rPr>
            </w:pPr>
            <w:r w:rsidRPr="00D948CB">
              <w:rPr>
                <w:lang w:val="es-MX" w:eastAsia="ar-SA"/>
              </w:rPr>
              <w:t>Cobertura temporal</w:t>
            </w:r>
          </w:p>
        </w:tc>
        <w:tc>
          <w:tcPr>
            <w:tcW w:w="4529" w:type="pct"/>
            <w:vAlign w:val="center"/>
          </w:tcPr>
          <w:p w14:paraId="49D4675B" w14:textId="07595445" w:rsidR="005F185A" w:rsidRPr="004E3984" w:rsidRDefault="006058A7" w:rsidP="00BE18F3">
            <w:pPr>
              <w:rPr>
                <w:lang w:eastAsia="ar-SA"/>
              </w:rPr>
            </w:pPr>
            <w:r>
              <w:rPr>
                <w:lang w:eastAsia="ar-SA"/>
              </w:rPr>
              <w:t>2016</w:t>
            </w:r>
            <w:r w:rsidR="000A75C4">
              <w:rPr>
                <w:lang w:eastAsia="ar-SA"/>
              </w:rPr>
              <w:t>-</w:t>
            </w:r>
          </w:p>
        </w:tc>
      </w:tr>
    </w:tbl>
    <w:p w14:paraId="3B43C09C" w14:textId="399EE4F3" w:rsidR="001375AF" w:rsidRDefault="001375AF" w:rsidP="001375AF">
      <w:pPr>
        <w:spacing w:line="20" w:lineRule="exact"/>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0794"/>
      </w:tblGrid>
      <w:tr w:rsidR="005F185A" w:rsidRPr="000E652E" w14:paraId="5F1AFC6D" w14:textId="77777777" w:rsidTr="001375AF">
        <w:trPr>
          <w:trHeight w:val="20"/>
          <w:jc w:val="center"/>
        </w:trPr>
        <w:tc>
          <w:tcPr>
            <w:tcW w:w="5000" w:type="pct"/>
            <w:vAlign w:val="center"/>
          </w:tcPr>
          <w:p w14:paraId="02D2768F" w14:textId="53C4AD93" w:rsidR="005F185A" w:rsidRPr="00D77866" w:rsidRDefault="005F185A" w:rsidP="00BE18F3">
            <w:pPr>
              <w:pStyle w:val="Ttulo5"/>
            </w:pPr>
            <w:r w:rsidRPr="00D77866">
              <w:t>Descripción del Indicador</w:t>
            </w:r>
          </w:p>
        </w:tc>
      </w:tr>
    </w:tbl>
    <w:p w14:paraId="3A349CB7" w14:textId="1A95B8D5" w:rsidR="001375AF" w:rsidRDefault="001375AF" w:rsidP="001375AF">
      <w:pPr>
        <w:spacing w:after="0" w:line="20" w:lineRule="exact"/>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4"/>
        <w:gridCol w:w="9270"/>
      </w:tblGrid>
      <w:tr w:rsidR="001375AF" w:rsidRPr="00B771A6" w14:paraId="6B9E50EA" w14:textId="77777777" w:rsidTr="00850B44">
        <w:trPr>
          <w:trHeight w:val="20"/>
          <w:jc w:val="center"/>
        </w:trPr>
        <w:tc>
          <w:tcPr>
            <w:tcW w:w="706" w:type="pct"/>
            <w:vAlign w:val="center"/>
          </w:tcPr>
          <w:p w14:paraId="2952CF72" w14:textId="0872E129" w:rsidR="005F185A" w:rsidRPr="00746D28" w:rsidRDefault="005F185A" w:rsidP="001375AF">
            <w:pPr>
              <w:jc w:val="left"/>
            </w:pPr>
            <w:r w:rsidRPr="00C115B5">
              <w:rPr>
                <w:lang w:eastAsia="ar-SA"/>
              </w:rPr>
              <w:t>Definición</w:t>
            </w:r>
          </w:p>
        </w:tc>
        <w:tc>
          <w:tcPr>
            <w:tcW w:w="4294" w:type="pct"/>
          </w:tcPr>
          <w:p w14:paraId="68ED1DD5" w14:textId="3BE200E8" w:rsidR="005F185A" w:rsidRPr="00581FB0" w:rsidRDefault="00581FB0" w:rsidP="00C93E47">
            <w:pPr>
              <w:rPr>
                <w:lang w:val="es-ES"/>
              </w:rPr>
            </w:pPr>
            <w:r>
              <w:rPr>
                <w:lang w:val="es-ES"/>
              </w:rPr>
              <w:t>Es la relación entre el</w:t>
            </w:r>
            <w:r w:rsidR="00A701DA">
              <w:rPr>
                <w:lang w:val="es-ES"/>
              </w:rPr>
              <w:t xml:space="preserve"> número de</w:t>
            </w:r>
            <w:r>
              <w:rPr>
                <w:lang w:val="es-ES"/>
              </w:rPr>
              <w:t xml:space="preserve"> </w:t>
            </w:r>
            <w:r w:rsidR="0076428C">
              <w:t>cuerpos de agua con plan</w:t>
            </w:r>
            <w:r w:rsidR="008144BF">
              <w:t>es</w:t>
            </w:r>
            <w:r w:rsidR="0076428C">
              <w:t xml:space="preserve"> de ordenamiento del recurso hídrico</w:t>
            </w:r>
            <w:r w:rsidR="007242C2">
              <w:t xml:space="preserve"> (</w:t>
            </w:r>
            <w:r w:rsidR="0076428C">
              <w:t>PORH</w:t>
            </w:r>
            <w:r w:rsidR="007242C2">
              <w:t>)</w:t>
            </w:r>
            <w:r w:rsidR="008144BF">
              <w:t xml:space="preserve"> adoptados y </w:t>
            </w:r>
            <w:r>
              <w:t>l</w:t>
            </w:r>
            <w:r w:rsidR="008144BF">
              <w:t xml:space="preserve">a meta de cuerpos de agua priorizados para la adopción de dichos </w:t>
            </w:r>
            <w:r>
              <w:t>planes por parte de la autoridad ambiental.</w:t>
            </w:r>
          </w:p>
        </w:tc>
      </w:tr>
      <w:tr w:rsidR="001375AF" w:rsidRPr="00B771A6" w14:paraId="15E24EB4" w14:textId="77777777" w:rsidTr="00850B44">
        <w:trPr>
          <w:trHeight w:val="20"/>
          <w:jc w:val="center"/>
        </w:trPr>
        <w:tc>
          <w:tcPr>
            <w:tcW w:w="706" w:type="pct"/>
            <w:vAlign w:val="center"/>
          </w:tcPr>
          <w:p w14:paraId="3393075C" w14:textId="77777777" w:rsidR="005F185A" w:rsidRPr="00B771A6" w:rsidRDefault="005F185A" w:rsidP="001375AF">
            <w:pPr>
              <w:jc w:val="left"/>
              <w:rPr>
                <w:lang w:eastAsia="ar-SA"/>
              </w:rPr>
            </w:pPr>
            <w:r w:rsidRPr="00B771A6">
              <w:rPr>
                <w:lang w:eastAsia="ar-SA"/>
              </w:rPr>
              <w:t>Pertinencia</w:t>
            </w:r>
          </w:p>
        </w:tc>
        <w:tc>
          <w:tcPr>
            <w:tcW w:w="4294" w:type="pct"/>
          </w:tcPr>
          <w:p w14:paraId="2A8E330F" w14:textId="77777777" w:rsidR="005F185A" w:rsidRPr="00C67129" w:rsidRDefault="005F185A" w:rsidP="00BE18F3">
            <w:pPr>
              <w:rPr>
                <w:b/>
                <w:lang w:val="es-MX" w:eastAsia="ar-SA"/>
              </w:rPr>
            </w:pPr>
            <w:r w:rsidRPr="00C67129">
              <w:rPr>
                <w:b/>
                <w:lang w:val="es-MX" w:eastAsia="ar-SA"/>
              </w:rPr>
              <w:t>Finalidad / Propósito</w:t>
            </w:r>
            <w:r w:rsidR="00C67129" w:rsidRPr="00C67129">
              <w:rPr>
                <w:b/>
                <w:lang w:val="es-MX" w:eastAsia="ar-SA"/>
              </w:rPr>
              <w:t>:</w:t>
            </w:r>
          </w:p>
          <w:p w14:paraId="6745DF66" w14:textId="556324DE" w:rsidR="00581FB0" w:rsidRDefault="008C770F" w:rsidP="00BE18F3">
            <w:pPr>
              <w:rPr>
                <w:lang w:val="es-MX" w:eastAsia="ar-SA"/>
              </w:rPr>
            </w:pPr>
            <w:r>
              <w:rPr>
                <w:lang w:val="es-MX" w:eastAsia="ar-SA"/>
              </w:rPr>
              <w:t xml:space="preserve">El indicador mide </w:t>
            </w:r>
            <w:r w:rsidRPr="002B69A5">
              <w:rPr>
                <w:lang w:val="es-MX" w:eastAsia="ar-SA"/>
              </w:rPr>
              <w:t>el cumplimient</w:t>
            </w:r>
            <w:r>
              <w:rPr>
                <w:lang w:val="es-MX" w:eastAsia="ar-SA"/>
              </w:rPr>
              <w:t>o de las metas que la autoridad ambiental</w:t>
            </w:r>
            <w:r w:rsidRPr="002B69A5">
              <w:rPr>
                <w:lang w:val="es-MX" w:eastAsia="ar-SA"/>
              </w:rPr>
              <w:t xml:space="preserve"> se ha propuesto alcanzar en relación</w:t>
            </w:r>
            <w:r>
              <w:rPr>
                <w:lang w:val="es-MX" w:eastAsia="ar-SA"/>
              </w:rPr>
              <w:t xml:space="preserve"> con </w:t>
            </w:r>
            <w:r w:rsidR="00831192">
              <w:rPr>
                <w:lang w:val="es-MX" w:eastAsia="ar-SA"/>
              </w:rPr>
              <w:t xml:space="preserve">el número de </w:t>
            </w:r>
            <w:r w:rsidR="00831192">
              <w:t>cue</w:t>
            </w:r>
            <w:r w:rsidR="0076428C">
              <w:t>rpos de agua con plan</w:t>
            </w:r>
            <w:r w:rsidR="008144BF">
              <w:t>es</w:t>
            </w:r>
            <w:r w:rsidR="0076428C">
              <w:t xml:space="preserve"> de ordenamiento del recurso hídrico</w:t>
            </w:r>
            <w:r w:rsidR="007242C2">
              <w:t xml:space="preserve"> (</w:t>
            </w:r>
            <w:r w:rsidR="0076428C">
              <w:t>PORH</w:t>
            </w:r>
            <w:r w:rsidR="007242C2">
              <w:t>)</w:t>
            </w:r>
            <w:r w:rsidR="00831192">
              <w:t xml:space="preserve"> adopta</w:t>
            </w:r>
            <w:r w:rsidR="008144BF">
              <w:t>dos</w:t>
            </w:r>
            <w:r w:rsidR="00503902">
              <w:t>.</w:t>
            </w:r>
          </w:p>
          <w:p w14:paraId="1C35CF7C" w14:textId="77777777" w:rsidR="005F185A" w:rsidRDefault="008A088B" w:rsidP="00BE18F3">
            <w:pPr>
              <w:rPr>
                <w:b/>
                <w:lang w:val="es-MX" w:eastAsia="ar-SA"/>
              </w:rPr>
            </w:pPr>
            <w:r>
              <w:rPr>
                <w:b/>
                <w:lang w:val="es-MX" w:eastAsia="ar-SA"/>
              </w:rPr>
              <w:t>Normatividad relacionada:</w:t>
            </w:r>
          </w:p>
          <w:p w14:paraId="3BE10C68" w14:textId="57E7DE71" w:rsidR="008A4E6B" w:rsidRPr="008D27A5" w:rsidRDefault="008A4E6B" w:rsidP="00056C6C">
            <w:pPr>
              <w:spacing w:after="0"/>
              <w:rPr>
                <w:lang w:val="es-MX" w:eastAsia="ar-SA"/>
              </w:rPr>
            </w:pPr>
            <w:r w:rsidRPr="008D27A5">
              <w:rPr>
                <w:lang w:val="es-MX" w:eastAsia="ar-SA"/>
              </w:rPr>
              <w:t xml:space="preserve">Decreto Ley 2811/74, </w:t>
            </w:r>
            <w:r w:rsidR="000F3E3F">
              <w:rPr>
                <w:lang w:val="es-MX" w:eastAsia="ar-SA"/>
              </w:rPr>
              <w:t>Decreto</w:t>
            </w:r>
            <w:r w:rsidR="00F40731">
              <w:rPr>
                <w:lang w:val="es-MX" w:eastAsia="ar-SA"/>
              </w:rPr>
              <w:t>-Ley</w:t>
            </w:r>
            <w:r w:rsidRPr="008D27A5">
              <w:rPr>
                <w:lang w:val="es-MX" w:eastAsia="ar-SA"/>
              </w:rPr>
              <w:t xml:space="preserve"> 1875 de 1979 </w:t>
            </w:r>
          </w:p>
          <w:p w14:paraId="2D67D1CB" w14:textId="193A2AE5" w:rsidR="00323604" w:rsidRPr="008D27A5" w:rsidRDefault="00323604" w:rsidP="00056C6C">
            <w:pPr>
              <w:spacing w:after="0"/>
              <w:rPr>
                <w:lang w:val="es-MX" w:eastAsia="ar-SA"/>
              </w:rPr>
            </w:pPr>
            <w:r w:rsidRPr="008D27A5">
              <w:rPr>
                <w:lang w:val="es-MX" w:eastAsia="ar-SA"/>
              </w:rPr>
              <w:t>Ley 99 de 1993</w:t>
            </w:r>
            <w:r w:rsidR="00900712" w:rsidRPr="008D27A5">
              <w:rPr>
                <w:lang w:val="es-MX" w:eastAsia="ar-SA"/>
              </w:rPr>
              <w:t>.</w:t>
            </w:r>
            <w:r w:rsidR="00A70D5D" w:rsidRPr="008D27A5">
              <w:rPr>
                <w:lang w:val="es-MX" w:eastAsia="ar-SA"/>
              </w:rPr>
              <w:t xml:space="preserve"> Ley Marco del Medio Ambiente.</w:t>
            </w:r>
          </w:p>
          <w:p w14:paraId="28BA3104" w14:textId="18C25DD1" w:rsidR="00A70D5D" w:rsidRPr="008D27A5" w:rsidRDefault="00F4720E" w:rsidP="00A70D5D">
            <w:pPr>
              <w:spacing w:after="0"/>
              <w:rPr>
                <w:lang w:val="es-MX" w:eastAsia="ar-SA"/>
              </w:rPr>
            </w:pPr>
            <w:r w:rsidRPr="008D27A5">
              <w:rPr>
                <w:lang w:val="es-MX" w:eastAsia="ar-SA"/>
              </w:rPr>
              <w:t xml:space="preserve">Decreto 1076 de 2015, </w:t>
            </w:r>
          </w:p>
          <w:p w14:paraId="6DA0EC75" w14:textId="77777777" w:rsidR="00A70D5D" w:rsidRPr="008D27A5" w:rsidRDefault="00A70D5D" w:rsidP="00A70D5D">
            <w:pPr>
              <w:spacing w:after="0"/>
              <w:rPr>
                <w:lang w:val="es-MX" w:eastAsia="ar-SA"/>
              </w:rPr>
            </w:pPr>
            <w:r w:rsidRPr="008D27A5">
              <w:rPr>
                <w:lang w:val="es-MX" w:eastAsia="ar-SA"/>
              </w:rPr>
              <w:t>Resolución 509 de 2013. Define los lineamientos para la conformación de los Consejos de Cuenca y su participación en las fases del plan de ordenación y manejo de la cuenca</w:t>
            </w:r>
          </w:p>
          <w:p w14:paraId="519C42AF" w14:textId="77777777" w:rsidR="00A70D5D" w:rsidRPr="008D27A5" w:rsidRDefault="00A70D5D" w:rsidP="00A70D5D">
            <w:pPr>
              <w:spacing w:after="0"/>
              <w:rPr>
                <w:lang w:val="es-MX" w:eastAsia="ar-SA"/>
              </w:rPr>
            </w:pPr>
            <w:r w:rsidRPr="008D27A5">
              <w:rPr>
                <w:lang w:val="es-MX" w:eastAsia="ar-SA"/>
              </w:rPr>
              <w:t>Resolución 1907 de 2013. Expide la Guía técnica para la formulación de los planes de ordenación y manejo de cuencas hidrográficas.</w:t>
            </w:r>
          </w:p>
          <w:p w14:paraId="698E2C28" w14:textId="72B708EA" w:rsidR="0076428C" w:rsidRDefault="00A70D5D" w:rsidP="00A70D5D">
            <w:pPr>
              <w:spacing w:after="0"/>
              <w:rPr>
                <w:lang w:val="es-MX" w:eastAsia="ar-SA"/>
              </w:rPr>
            </w:pPr>
            <w:r w:rsidRPr="008D27A5">
              <w:rPr>
                <w:lang w:val="es-MX" w:eastAsia="ar-SA"/>
              </w:rPr>
              <w:t>Resolución 1207 de 2014. Adopta</w:t>
            </w:r>
            <w:r w:rsidRPr="00A70D5D">
              <w:rPr>
                <w:lang w:val="es-MX" w:eastAsia="ar-SA"/>
              </w:rPr>
              <w:t xml:space="preserve"> disposiciones relacionadas con el uso de aguas residuales tratadas.</w:t>
            </w:r>
          </w:p>
          <w:p w14:paraId="694890C3" w14:textId="77777777" w:rsidR="00855B79" w:rsidRDefault="00855B79" w:rsidP="00056C6C">
            <w:pPr>
              <w:spacing w:after="0"/>
              <w:rPr>
                <w:lang w:val="es-MX" w:eastAsia="ar-SA"/>
              </w:rPr>
            </w:pPr>
          </w:p>
          <w:p w14:paraId="5851A0B9" w14:textId="64174FD8" w:rsidR="008A088B" w:rsidRDefault="00900712" w:rsidP="00C74460">
            <w:pPr>
              <w:rPr>
                <w:b/>
                <w:lang w:val="es-MX" w:eastAsia="ar-SA"/>
              </w:rPr>
            </w:pPr>
            <w:r>
              <w:rPr>
                <w:b/>
                <w:lang w:val="es-MX" w:eastAsia="ar-SA"/>
              </w:rPr>
              <w:t>Documentación de referencia:</w:t>
            </w:r>
          </w:p>
          <w:p w14:paraId="7394287E" w14:textId="086C7FF7" w:rsidR="00A7595C" w:rsidRPr="00A70D5D" w:rsidRDefault="00A7595C" w:rsidP="0076428C">
            <w:pPr>
              <w:rPr>
                <w:lang w:val="es-MX" w:eastAsia="ar-SA"/>
              </w:rPr>
            </w:pPr>
            <w:r w:rsidRPr="00A7595C">
              <w:rPr>
                <w:lang w:val="es-MX" w:eastAsia="ar-SA"/>
              </w:rPr>
              <w:lastRenderedPageBreak/>
              <w:t>Política Nacional de Gestión Integral del Recurso Hídrico – PNGIRH</w:t>
            </w:r>
            <w:r w:rsidR="00A70D5D">
              <w:rPr>
                <w:lang w:val="es-MX" w:eastAsia="ar-SA"/>
              </w:rPr>
              <w:t>.</w:t>
            </w:r>
          </w:p>
        </w:tc>
      </w:tr>
      <w:tr w:rsidR="001375AF" w:rsidRPr="00B771A6" w14:paraId="7536FD90" w14:textId="77777777" w:rsidTr="00850B44">
        <w:trPr>
          <w:trHeight w:val="20"/>
          <w:jc w:val="center"/>
        </w:trPr>
        <w:tc>
          <w:tcPr>
            <w:tcW w:w="706" w:type="pct"/>
            <w:vAlign w:val="center"/>
          </w:tcPr>
          <w:p w14:paraId="25F21CA5" w14:textId="77777777" w:rsidR="005F185A" w:rsidRPr="00B771A6" w:rsidRDefault="005F185A" w:rsidP="001375AF">
            <w:pPr>
              <w:jc w:val="left"/>
              <w:rPr>
                <w:bCs/>
                <w:lang w:eastAsia="ar-SA"/>
              </w:rPr>
            </w:pPr>
            <w:r w:rsidRPr="00B771A6">
              <w:rPr>
                <w:lang w:val="es-MX" w:eastAsia="ar-SA"/>
              </w:rPr>
              <w:lastRenderedPageBreak/>
              <w:t>Metas / Estándares</w:t>
            </w:r>
          </w:p>
        </w:tc>
        <w:tc>
          <w:tcPr>
            <w:tcW w:w="4294" w:type="pct"/>
            <w:vAlign w:val="center"/>
          </w:tcPr>
          <w:p w14:paraId="5441A3D5" w14:textId="77777777" w:rsidR="005F185A" w:rsidRPr="006855FB" w:rsidRDefault="005F185A" w:rsidP="00BE18F3">
            <w:pPr>
              <w:rPr>
                <w:lang w:eastAsia="ar-SA"/>
              </w:rPr>
            </w:pPr>
          </w:p>
        </w:tc>
      </w:tr>
      <w:tr w:rsidR="001375AF" w:rsidRPr="00B771A6" w14:paraId="78398046" w14:textId="77777777" w:rsidTr="00850B44">
        <w:trPr>
          <w:trHeight w:val="20"/>
          <w:jc w:val="center"/>
        </w:trPr>
        <w:tc>
          <w:tcPr>
            <w:tcW w:w="706" w:type="pct"/>
            <w:vAlign w:val="center"/>
          </w:tcPr>
          <w:p w14:paraId="59AA7FB0" w14:textId="77777777" w:rsidR="005F185A" w:rsidRPr="00B771A6" w:rsidRDefault="005F185A" w:rsidP="001375AF">
            <w:pPr>
              <w:jc w:val="left"/>
              <w:rPr>
                <w:lang w:eastAsia="ar-SA"/>
              </w:rPr>
            </w:pPr>
            <w:r w:rsidRPr="00B771A6">
              <w:rPr>
                <w:lang w:eastAsia="ar-SA"/>
              </w:rPr>
              <w:t>Marco conceptual</w:t>
            </w:r>
          </w:p>
        </w:tc>
        <w:tc>
          <w:tcPr>
            <w:tcW w:w="4294" w:type="pct"/>
          </w:tcPr>
          <w:p w14:paraId="307C612F" w14:textId="2761D862" w:rsidR="00F40731" w:rsidRDefault="00A7595C" w:rsidP="00A7595C">
            <w:pPr>
              <w:spacing w:after="60"/>
            </w:pPr>
            <w:r>
              <w:t xml:space="preserve">El Plan de Ordenamiento del Recurso Hídrico- PORH es el instrumento de planificación que </w:t>
            </w:r>
            <w:r w:rsidR="00F40731">
              <w:t>se rige por lo dispuesto en el Decreto 1076 de 2015.</w:t>
            </w:r>
          </w:p>
          <w:p w14:paraId="7FC308E7" w14:textId="18B49928" w:rsidR="002345E4" w:rsidRPr="002B69A5" w:rsidRDefault="002345E4" w:rsidP="00F40731">
            <w:pPr>
              <w:spacing w:after="60"/>
            </w:pPr>
          </w:p>
        </w:tc>
      </w:tr>
      <w:tr w:rsidR="001375AF" w:rsidRPr="00B771A6" w14:paraId="2AB3BFA0" w14:textId="77777777" w:rsidTr="00850B44">
        <w:trPr>
          <w:trHeight w:val="20"/>
          <w:jc w:val="center"/>
        </w:trPr>
        <w:tc>
          <w:tcPr>
            <w:tcW w:w="706" w:type="pct"/>
            <w:vAlign w:val="center"/>
          </w:tcPr>
          <w:p w14:paraId="50FAEF18" w14:textId="77777777" w:rsidR="005F185A" w:rsidRPr="00B771A6" w:rsidRDefault="005F185A" w:rsidP="001375AF">
            <w:pPr>
              <w:jc w:val="left"/>
              <w:rPr>
                <w:lang w:eastAsia="ar-SA"/>
              </w:rPr>
            </w:pPr>
            <w:r w:rsidRPr="00B771A6">
              <w:rPr>
                <w:lang w:eastAsia="ar-SA"/>
              </w:rPr>
              <w:t>Fórmula de cálculo</w:t>
            </w:r>
          </w:p>
        </w:tc>
        <w:tc>
          <w:tcPr>
            <w:tcW w:w="4294" w:type="pct"/>
          </w:tcPr>
          <w:p w14:paraId="45B35AB0" w14:textId="77777777" w:rsidR="0007591C" w:rsidRDefault="0007591C" w:rsidP="0007591C">
            <w:pPr>
              <w:tabs>
                <w:tab w:val="left" w:pos="601"/>
              </w:tabs>
            </w:pPr>
          </w:p>
          <w:p w14:paraId="0CAAEC28" w14:textId="4921387F" w:rsidR="0007591C" w:rsidRPr="001E399B" w:rsidRDefault="00265CF6" w:rsidP="0007591C">
            <m:oMathPara>
              <m:oMathParaPr>
                <m:jc m:val="left"/>
              </m:oMathParaPr>
              <m:oMath>
                <m:sSub>
                  <m:sSubPr>
                    <m:ctrlPr>
                      <w:rPr>
                        <w:rFonts w:ascii="Cambria Math" w:hAnsi="Cambria Math"/>
                        <w:i/>
                      </w:rPr>
                    </m:ctrlPr>
                  </m:sSubPr>
                  <m:e>
                    <m:r>
                      <w:rPr>
                        <w:rFonts w:ascii="Cambria Math" w:hAnsi="Cambria Math"/>
                      </w:rPr>
                      <m:t>PPORHA</m:t>
                    </m:r>
                  </m:e>
                  <m:sub>
                    <m:r>
                      <w:rPr>
                        <w:rFonts w:ascii="Cambria Math" w:hAnsi="Cambria Math"/>
                      </w:rPr>
                      <m:t>t</m:t>
                    </m:r>
                  </m:sub>
                </m:sSub>
                <m:r>
                  <w:rPr>
                    <w:rFonts w:ascii="Cambria Math" w:hAnsi="Cambria Math"/>
                  </w:rPr>
                  <m:t xml:space="preserve">= </m:t>
                </m:r>
                <m:f>
                  <m:fPr>
                    <m:ctrlPr>
                      <w:rPr>
                        <w:rFonts w:ascii="Cambria Math" w:hAnsi="Cambria Math"/>
                      </w:rPr>
                    </m:ctrlPr>
                  </m:fPr>
                  <m:num>
                    <m:nary>
                      <m:naryPr>
                        <m:chr m:val="∑"/>
                        <m:limLoc m:val="undOvr"/>
                        <m:subHide m:val="1"/>
                        <m:supHide m:val="1"/>
                        <m:ctrlPr>
                          <w:rPr>
                            <w:rFonts w:ascii="Cambria Math" w:hAnsi="Cambria Math"/>
                          </w:rPr>
                        </m:ctrlPr>
                      </m:naryPr>
                      <m:sub/>
                      <m:sup/>
                      <m:e>
                        <m:r>
                          <m:rPr>
                            <m:sty m:val="p"/>
                          </m:rPr>
                          <w:rPr>
                            <w:rFonts w:ascii="Cambria Math" w:hAnsi="Cambria Math"/>
                          </w:rPr>
                          <m:t>PORHA</m:t>
                        </m:r>
                      </m:e>
                    </m:nary>
                  </m:num>
                  <m:den>
                    <m:r>
                      <m:rPr>
                        <m:sty m:val="p"/>
                      </m:rPr>
                      <w:rPr>
                        <w:rFonts w:ascii="Cambria Math" w:hAnsi="Cambria Math"/>
                      </w:rPr>
                      <m:t>MPORHA</m:t>
                    </m:r>
                  </m:den>
                </m:f>
                <m:r>
                  <m:rPr>
                    <m:sty m:val="p"/>
                  </m:rPr>
                  <w:rPr>
                    <w:rFonts w:ascii="Cambria Math" w:hAnsi="Cambria Math"/>
                  </w:rPr>
                  <m:t xml:space="preserve"> ×  100</m:t>
                </m:r>
                <m:r>
                  <w:rPr>
                    <w:rFonts w:ascii="Cambria Math" w:hAnsi="Cambria Math"/>
                  </w:rPr>
                  <m:t xml:space="preserve"> </m:t>
                </m:r>
              </m:oMath>
            </m:oMathPara>
          </w:p>
          <w:p w14:paraId="14326252" w14:textId="77777777" w:rsidR="0007591C" w:rsidRDefault="0007591C" w:rsidP="0007591C"/>
          <w:p w14:paraId="6BF2A892" w14:textId="77777777" w:rsidR="006855FB" w:rsidRPr="00224678" w:rsidRDefault="006855FB" w:rsidP="00BE18F3">
            <w:r w:rsidRPr="00224678">
              <w:t>Donde:</w:t>
            </w:r>
          </w:p>
          <w:p w14:paraId="5739DF80" w14:textId="43091E56" w:rsidR="001E399B" w:rsidRDefault="006A7D55" w:rsidP="00C77427">
            <w:pPr>
              <w:tabs>
                <w:tab w:val="left" w:pos="601"/>
              </w:tabs>
            </w:pPr>
            <w:r>
              <w:t>P</w:t>
            </w:r>
            <w:r w:rsidR="0076428C">
              <w:t>PORH</w:t>
            </w:r>
            <w:r w:rsidR="00C93E47">
              <w:t>A</w:t>
            </w:r>
            <w:r w:rsidR="001E399B">
              <w:t xml:space="preserve"> </w:t>
            </w:r>
            <w:r w:rsidR="001E399B" w:rsidRPr="001E399B">
              <w:rPr>
                <w:vertAlign w:val="subscript"/>
              </w:rPr>
              <w:t>t</w:t>
            </w:r>
            <w:r w:rsidR="00833322">
              <w:t xml:space="preserve"> = </w:t>
            </w:r>
            <w:r w:rsidRPr="006A7D55">
              <w:t xml:space="preserve">Porcentaje de </w:t>
            </w:r>
            <w:r w:rsidR="008144BF">
              <w:t>c</w:t>
            </w:r>
            <w:r w:rsidR="0076428C">
              <w:t>uerpos de agua con plan</w:t>
            </w:r>
            <w:r w:rsidR="008144BF">
              <w:t>es</w:t>
            </w:r>
            <w:r w:rsidR="0076428C">
              <w:t xml:space="preserve"> de ordenamiento del recurso hídrico</w:t>
            </w:r>
            <w:r w:rsidR="007242C2">
              <w:t xml:space="preserve"> (</w:t>
            </w:r>
            <w:r w:rsidR="0076428C">
              <w:t>PORH</w:t>
            </w:r>
            <w:r w:rsidR="007242C2">
              <w:t>)</w:t>
            </w:r>
            <w:r w:rsidRPr="006A7D55">
              <w:t xml:space="preserve"> </w:t>
            </w:r>
            <w:r w:rsidR="008144BF">
              <w:t>adoptados</w:t>
            </w:r>
            <w:r w:rsidR="001E399B">
              <w:t>, en el tiempo t.</w:t>
            </w:r>
          </w:p>
          <w:p w14:paraId="53A14B97" w14:textId="0320238D" w:rsidR="006A7D55" w:rsidRDefault="0076428C" w:rsidP="006A7D55">
            <w:pPr>
              <w:tabs>
                <w:tab w:val="left" w:pos="601"/>
              </w:tabs>
            </w:pPr>
            <w:r>
              <w:t>PORH</w:t>
            </w:r>
            <w:r w:rsidR="00C93E47">
              <w:t>A</w:t>
            </w:r>
            <w:r w:rsidR="006A7D55">
              <w:t xml:space="preserve"> </w:t>
            </w:r>
            <w:r w:rsidR="006A7D55" w:rsidRPr="001E399B">
              <w:rPr>
                <w:vertAlign w:val="subscript"/>
              </w:rPr>
              <w:t>t</w:t>
            </w:r>
            <w:r w:rsidR="006A7D55">
              <w:t xml:space="preserve"> = </w:t>
            </w:r>
            <w:r w:rsidR="00850B44">
              <w:t xml:space="preserve">Número de </w:t>
            </w:r>
            <w:r>
              <w:t>Cuerpos de agua con plan</w:t>
            </w:r>
            <w:r w:rsidR="008144BF">
              <w:t>es</w:t>
            </w:r>
            <w:r>
              <w:t xml:space="preserve"> de ordenamiento del recurso hídrico</w:t>
            </w:r>
            <w:r w:rsidR="00056C6C">
              <w:t xml:space="preserve"> </w:t>
            </w:r>
            <w:r w:rsidR="008144BF">
              <w:t>adoptados</w:t>
            </w:r>
            <w:r w:rsidR="006A7D55">
              <w:t>, en el tiempo t.</w:t>
            </w:r>
          </w:p>
          <w:p w14:paraId="65DEA3C7" w14:textId="38310BE2" w:rsidR="006A7D55" w:rsidRDefault="00850B44" w:rsidP="006A7D55">
            <w:pPr>
              <w:tabs>
                <w:tab w:val="left" w:pos="601"/>
              </w:tabs>
            </w:pPr>
            <w:r>
              <w:t>M</w:t>
            </w:r>
            <w:r w:rsidR="0076428C">
              <w:t>PORH</w:t>
            </w:r>
            <w:r w:rsidR="00C93E47">
              <w:t>A</w:t>
            </w:r>
            <w:r w:rsidR="006A7D55">
              <w:t xml:space="preserve"> </w:t>
            </w:r>
            <w:r w:rsidR="006A7D55" w:rsidRPr="001E399B">
              <w:rPr>
                <w:vertAlign w:val="subscript"/>
              </w:rPr>
              <w:t>t</w:t>
            </w:r>
            <w:r w:rsidR="006A7D55">
              <w:t xml:space="preserve"> = Meta de </w:t>
            </w:r>
            <w:r w:rsidR="0076428C">
              <w:t>Cuerpos de agua con plan de ordenamiento del recurso hídrico</w:t>
            </w:r>
            <w:r w:rsidR="00056C6C">
              <w:t xml:space="preserve"> </w:t>
            </w:r>
            <w:r w:rsidR="008144BF">
              <w:t>adoptados</w:t>
            </w:r>
            <w:r w:rsidR="006A7D55">
              <w:t>, en el tiempo t.</w:t>
            </w:r>
          </w:p>
          <w:p w14:paraId="4AC961A4" w14:textId="1040A06D" w:rsidR="005F185A" w:rsidRPr="00906DAA" w:rsidRDefault="006A7D55" w:rsidP="008144BF">
            <w:pPr>
              <w:tabs>
                <w:tab w:val="left" w:pos="601"/>
              </w:tabs>
              <w:rPr>
                <w:lang w:val="es-MX" w:eastAsia="ar-SA"/>
              </w:rPr>
            </w:pPr>
            <w:r>
              <w:rPr>
                <w:lang w:val="es-MX" w:eastAsia="ar-SA"/>
              </w:rPr>
              <w:t xml:space="preserve">La meta de número de </w:t>
            </w:r>
            <w:r w:rsidR="008144BF">
              <w:t>c</w:t>
            </w:r>
            <w:r w:rsidR="0076428C">
              <w:t>uerpos de agua con plan</w:t>
            </w:r>
            <w:r w:rsidR="008144BF">
              <w:t>es</w:t>
            </w:r>
            <w:r w:rsidR="0076428C">
              <w:t xml:space="preserve"> de ordenamiento del recurso hídrico</w:t>
            </w:r>
            <w:r w:rsidR="00056C6C">
              <w:t xml:space="preserve"> </w:t>
            </w:r>
            <w:r w:rsidR="008144BF">
              <w:t xml:space="preserve">adoptados </w:t>
            </w:r>
            <w:r>
              <w:t>es establecida en el Plan de Acción de la Corporación.</w:t>
            </w:r>
          </w:p>
        </w:tc>
      </w:tr>
      <w:tr w:rsidR="001375AF" w:rsidRPr="00B771A6" w14:paraId="004CF90F" w14:textId="77777777" w:rsidTr="00850B44">
        <w:trPr>
          <w:trHeight w:val="20"/>
          <w:jc w:val="center"/>
        </w:trPr>
        <w:tc>
          <w:tcPr>
            <w:tcW w:w="706" w:type="pct"/>
            <w:vAlign w:val="center"/>
          </w:tcPr>
          <w:p w14:paraId="4CCB17F1" w14:textId="77777777" w:rsidR="005F185A" w:rsidRPr="00B771A6" w:rsidRDefault="005F185A" w:rsidP="001375AF">
            <w:pPr>
              <w:jc w:val="left"/>
              <w:rPr>
                <w:lang w:eastAsia="ar-SA"/>
              </w:rPr>
            </w:pPr>
            <w:r w:rsidRPr="00B771A6">
              <w:rPr>
                <w:lang w:eastAsia="ar-SA"/>
              </w:rPr>
              <w:t>Metodología de cálculo</w:t>
            </w:r>
          </w:p>
        </w:tc>
        <w:tc>
          <w:tcPr>
            <w:tcW w:w="4294" w:type="pct"/>
          </w:tcPr>
          <w:p w14:paraId="266268F2" w14:textId="4A8EEC8E" w:rsidR="00576DA6" w:rsidRDefault="00576DA6" w:rsidP="00C77427">
            <w:pPr>
              <w:rPr>
                <w:lang w:eastAsia="ar-SA"/>
              </w:rPr>
            </w:pPr>
            <w:r>
              <w:rPr>
                <w:lang w:eastAsia="ar-SA"/>
              </w:rPr>
              <w:t>Para su cálculo, se diligencia la siguiente información:</w:t>
            </w:r>
          </w:p>
          <w:p w14:paraId="51C068D3" w14:textId="10ABA592" w:rsidR="006A7D55" w:rsidRDefault="00EB4CFA" w:rsidP="00EB4CFA">
            <w:pPr>
              <w:spacing w:after="0"/>
            </w:pPr>
            <w:r w:rsidRPr="00EB4CFA">
              <w:rPr>
                <w:lang w:eastAsia="ar-SA"/>
              </w:rPr>
              <w:t>Número</w:t>
            </w:r>
            <w:r w:rsidR="006A7D55">
              <w:rPr>
                <w:lang w:eastAsia="ar-SA"/>
              </w:rPr>
              <w:t xml:space="preserve"> total</w:t>
            </w:r>
            <w:r w:rsidRPr="00EB4CFA">
              <w:rPr>
                <w:lang w:eastAsia="ar-SA"/>
              </w:rPr>
              <w:t xml:space="preserve"> de </w:t>
            </w:r>
            <w:r w:rsidR="008144BF">
              <w:t>c</w:t>
            </w:r>
            <w:r w:rsidR="0076428C">
              <w:t xml:space="preserve">uerpos de agua </w:t>
            </w:r>
            <w:r w:rsidR="008144BF">
              <w:t xml:space="preserve">sujeto de reglamentación de </w:t>
            </w:r>
            <w:r w:rsidR="0076428C">
              <w:t>plan</w:t>
            </w:r>
            <w:r w:rsidR="008144BF">
              <w:t>es</w:t>
            </w:r>
            <w:r w:rsidR="0076428C">
              <w:t xml:space="preserve"> de ordenamiento del recurso hídrico</w:t>
            </w:r>
            <w:r w:rsidR="007242C2">
              <w:t xml:space="preserve"> (</w:t>
            </w:r>
            <w:r w:rsidR="0076428C">
              <w:t>PORH</w:t>
            </w:r>
            <w:r w:rsidR="008144BF">
              <w:t>): ___</w:t>
            </w:r>
          </w:p>
          <w:p w14:paraId="4B88D7E0" w14:textId="1539731F" w:rsidR="00703B28" w:rsidRDefault="00703B28" w:rsidP="00850B44">
            <w:pPr>
              <w:spacing w:after="0"/>
              <w:rPr>
                <w:lang w:eastAsia="ar-SA"/>
              </w:rPr>
            </w:pPr>
            <w:r w:rsidRPr="00703B28">
              <w:rPr>
                <w:lang w:eastAsia="ar-SA"/>
              </w:rPr>
              <w:t>Número total de cuerpos de agua sujeto de reglamentación de planes de ordenamiento del recurso hídrico (PORH) adoptados a 31/12/2015</w:t>
            </w:r>
            <w:r>
              <w:rPr>
                <w:lang w:eastAsia="ar-SA"/>
              </w:rPr>
              <w:t>: ____</w:t>
            </w:r>
          </w:p>
          <w:p w14:paraId="6D603808" w14:textId="387A6BDD" w:rsidR="00850B44" w:rsidRDefault="00850B44" w:rsidP="00850B44">
            <w:pPr>
              <w:spacing w:after="0"/>
            </w:pPr>
            <w:r w:rsidRPr="00EB4CFA">
              <w:rPr>
                <w:lang w:eastAsia="ar-SA"/>
              </w:rPr>
              <w:t>Número</w:t>
            </w:r>
            <w:r>
              <w:rPr>
                <w:lang w:eastAsia="ar-SA"/>
              </w:rPr>
              <w:t xml:space="preserve"> total</w:t>
            </w:r>
            <w:r w:rsidRPr="00EB4CFA">
              <w:rPr>
                <w:lang w:eastAsia="ar-SA"/>
              </w:rPr>
              <w:t xml:space="preserve"> de </w:t>
            </w:r>
            <w:r w:rsidR="0076428C">
              <w:t>Cuerpos de agua con plan de ordenamiento del recurso hídrico</w:t>
            </w:r>
            <w:r w:rsidR="007242C2">
              <w:t xml:space="preserve"> (</w:t>
            </w:r>
            <w:r w:rsidR="0076428C">
              <w:t>PORH</w:t>
            </w:r>
            <w:r w:rsidR="007242C2">
              <w:t>)</w:t>
            </w:r>
            <w:r>
              <w:t xml:space="preserve"> priorizados por la Corporación para </w:t>
            </w:r>
            <w:r w:rsidR="008144BF">
              <w:t xml:space="preserve">su adopción durante </w:t>
            </w:r>
            <w:r>
              <w:t xml:space="preserve">el </w:t>
            </w:r>
            <w:r w:rsidR="00040F4D">
              <w:t>cuatrienio: _</w:t>
            </w:r>
            <w:r>
              <w:t>__</w:t>
            </w:r>
          </w:p>
          <w:p w14:paraId="04C23C89" w14:textId="77777777" w:rsidR="006A7D55" w:rsidRDefault="006A7D55" w:rsidP="00EB4CFA">
            <w:pPr>
              <w:spacing w:after="0"/>
              <w:rPr>
                <w:lang w:eastAsia="ar-SA"/>
              </w:rPr>
            </w:pPr>
          </w:p>
          <w:tbl>
            <w:tblPr>
              <w:tblW w:w="7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
              <w:gridCol w:w="4678"/>
              <w:gridCol w:w="541"/>
              <w:gridCol w:w="541"/>
              <w:gridCol w:w="541"/>
              <w:gridCol w:w="541"/>
              <w:gridCol w:w="498"/>
            </w:tblGrid>
            <w:tr w:rsidR="00102AB9" w:rsidRPr="00EB4CFA" w14:paraId="4BDFECDB" w14:textId="77777777" w:rsidTr="00102AB9">
              <w:trPr>
                <w:trHeight w:val="290"/>
              </w:trPr>
              <w:tc>
                <w:tcPr>
                  <w:tcW w:w="360" w:type="dxa"/>
                </w:tcPr>
                <w:p w14:paraId="762A16DE" w14:textId="58C903F0" w:rsidR="00102AB9" w:rsidRDefault="00102AB9" w:rsidP="00EB4CFA">
                  <w:pPr>
                    <w:spacing w:after="0"/>
                    <w:jc w:val="left"/>
                    <w:rPr>
                      <w:color w:val="000000"/>
                      <w:szCs w:val="22"/>
                      <w:lang w:eastAsia="es-CO"/>
                    </w:rPr>
                  </w:pPr>
                  <w:r>
                    <w:rPr>
                      <w:color w:val="000000"/>
                      <w:szCs w:val="22"/>
                      <w:lang w:eastAsia="es-CO"/>
                    </w:rPr>
                    <w:t>N</w:t>
                  </w:r>
                </w:p>
              </w:tc>
              <w:tc>
                <w:tcPr>
                  <w:tcW w:w="4678" w:type="dxa"/>
                  <w:vAlign w:val="center"/>
                  <w:hideMark/>
                </w:tcPr>
                <w:p w14:paraId="55BB1D14" w14:textId="0D9A5E8E" w:rsidR="00102AB9" w:rsidRPr="00EB4CFA" w:rsidRDefault="00102AB9" w:rsidP="00EB4CFA">
                  <w:pPr>
                    <w:spacing w:after="0"/>
                    <w:jc w:val="left"/>
                    <w:rPr>
                      <w:color w:val="000000"/>
                      <w:szCs w:val="22"/>
                      <w:lang w:eastAsia="es-CO"/>
                    </w:rPr>
                  </w:pPr>
                  <w:r>
                    <w:rPr>
                      <w:color w:val="000000"/>
                      <w:szCs w:val="22"/>
                      <w:lang w:eastAsia="es-CO"/>
                    </w:rPr>
                    <w:t>Variable</w:t>
                  </w:r>
                </w:p>
              </w:tc>
              <w:tc>
                <w:tcPr>
                  <w:tcW w:w="541" w:type="dxa"/>
                  <w:shd w:val="clear" w:color="auto" w:fill="auto"/>
                  <w:noWrap/>
                  <w:vAlign w:val="bottom"/>
                  <w:hideMark/>
                </w:tcPr>
                <w:p w14:paraId="0657719E" w14:textId="2F8CC7DC" w:rsidR="00102AB9" w:rsidRPr="00EB4CFA" w:rsidRDefault="00102AB9" w:rsidP="00EB4CFA">
                  <w:pPr>
                    <w:spacing w:after="0"/>
                    <w:jc w:val="left"/>
                    <w:rPr>
                      <w:color w:val="000000"/>
                      <w:sz w:val="14"/>
                      <w:szCs w:val="22"/>
                      <w:lang w:eastAsia="es-CO"/>
                    </w:rPr>
                  </w:pPr>
                  <w:r>
                    <w:rPr>
                      <w:color w:val="000000"/>
                      <w:sz w:val="14"/>
                      <w:szCs w:val="22"/>
                      <w:lang w:eastAsia="es-CO"/>
                    </w:rPr>
                    <w:t>Año 1</w:t>
                  </w:r>
                </w:p>
              </w:tc>
              <w:tc>
                <w:tcPr>
                  <w:tcW w:w="541" w:type="dxa"/>
                  <w:shd w:val="clear" w:color="auto" w:fill="auto"/>
                  <w:noWrap/>
                  <w:vAlign w:val="bottom"/>
                  <w:hideMark/>
                </w:tcPr>
                <w:p w14:paraId="63AE7CB5" w14:textId="5A456032" w:rsidR="00102AB9" w:rsidRPr="00EB4CFA" w:rsidRDefault="00102AB9" w:rsidP="00EB4CFA">
                  <w:pPr>
                    <w:spacing w:after="0"/>
                    <w:jc w:val="left"/>
                    <w:rPr>
                      <w:color w:val="000000"/>
                      <w:sz w:val="14"/>
                      <w:szCs w:val="22"/>
                      <w:lang w:eastAsia="es-CO"/>
                    </w:rPr>
                  </w:pPr>
                  <w:r>
                    <w:rPr>
                      <w:color w:val="000000"/>
                      <w:sz w:val="14"/>
                      <w:szCs w:val="22"/>
                      <w:lang w:eastAsia="es-CO"/>
                    </w:rPr>
                    <w:t>Año 2</w:t>
                  </w:r>
                </w:p>
              </w:tc>
              <w:tc>
                <w:tcPr>
                  <w:tcW w:w="541" w:type="dxa"/>
                  <w:shd w:val="clear" w:color="auto" w:fill="auto"/>
                  <w:noWrap/>
                  <w:vAlign w:val="bottom"/>
                  <w:hideMark/>
                </w:tcPr>
                <w:p w14:paraId="37F32271" w14:textId="01BB2081" w:rsidR="00102AB9" w:rsidRPr="00EB4CFA" w:rsidRDefault="00102AB9" w:rsidP="00EB4CFA">
                  <w:pPr>
                    <w:spacing w:after="0"/>
                    <w:jc w:val="left"/>
                    <w:rPr>
                      <w:color w:val="000000"/>
                      <w:sz w:val="14"/>
                      <w:szCs w:val="22"/>
                      <w:lang w:eastAsia="es-CO"/>
                    </w:rPr>
                  </w:pPr>
                  <w:r>
                    <w:rPr>
                      <w:color w:val="000000"/>
                      <w:sz w:val="14"/>
                      <w:szCs w:val="22"/>
                      <w:lang w:eastAsia="es-CO"/>
                    </w:rPr>
                    <w:t>Año 3</w:t>
                  </w:r>
                </w:p>
              </w:tc>
              <w:tc>
                <w:tcPr>
                  <w:tcW w:w="541" w:type="dxa"/>
                  <w:shd w:val="clear" w:color="auto" w:fill="auto"/>
                  <w:noWrap/>
                  <w:vAlign w:val="bottom"/>
                  <w:hideMark/>
                </w:tcPr>
                <w:p w14:paraId="057D181B" w14:textId="1563A1C8" w:rsidR="00102AB9" w:rsidRPr="00EB4CFA" w:rsidRDefault="00102AB9" w:rsidP="00EB4CFA">
                  <w:pPr>
                    <w:spacing w:after="0"/>
                    <w:jc w:val="left"/>
                    <w:rPr>
                      <w:color w:val="000000"/>
                      <w:sz w:val="14"/>
                      <w:szCs w:val="22"/>
                      <w:lang w:eastAsia="es-CO"/>
                    </w:rPr>
                  </w:pPr>
                  <w:r>
                    <w:rPr>
                      <w:color w:val="000000"/>
                      <w:sz w:val="14"/>
                      <w:szCs w:val="22"/>
                      <w:lang w:eastAsia="es-CO"/>
                    </w:rPr>
                    <w:t>Año 4</w:t>
                  </w:r>
                </w:p>
              </w:tc>
              <w:tc>
                <w:tcPr>
                  <w:tcW w:w="498" w:type="dxa"/>
                  <w:shd w:val="clear" w:color="auto" w:fill="auto"/>
                  <w:noWrap/>
                  <w:vAlign w:val="bottom"/>
                  <w:hideMark/>
                </w:tcPr>
                <w:p w14:paraId="2B126920" w14:textId="4F472E1E" w:rsidR="00102AB9" w:rsidRPr="00EB4CFA" w:rsidRDefault="00102AB9" w:rsidP="00EB4CFA">
                  <w:pPr>
                    <w:spacing w:after="0"/>
                    <w:jc w:val="left"/>
                    <w:rPr>
                      <w:color w:val="000000"/>
                      <w:sz w:val="14"/>
                      <w:szCs w:val="22"/>
                      <w:lang w:eastAsia="es-CO"/>
                    </w:rPr>
                  </w:pPr>
                  <w:r>
                    <w:rPr>
                      <w:color w:val="000000"/>
                      <w:sz w:val="14"/>
                      <w:szCs w:val="22"/>
                      <w:lang w:eastAsia="es-CO"/>
                    </w:rPr>
                    <w:t>Total</w:t>
                  </w:r>
                </w:p>
              </w:tc>
            </w:tr>
            <w:tr w:rsidR="00102AB9" w:rsidRPr="00EB4CFA" w14:paraId="1FDFDB15" w14:textId="77777777" w:rsidTr="00102AB9">
              <w:trPr>
                <w:trHeight w:val="290"/>
              </w:trPr>
              <w:tc>
                <w:tcPr>
                  <w:tcW w:w="360" w:type="dxa"/>
                </w:tcPr>
                <w:p w14:paraId="1CD91175" w14:textId="2242625B" w:rsidR="00102AB9" w:rsidRDefault="00102AB9" w:rsidP="008144BF">
                  <w:pPr>
                    <w:spacing w:after="0"/>
                    <w:jc w:val="left"/>
                  </w:pPr>
                  <w:r>
                    <w:t>A</w:t>
                  </w:r>
                </w:p>
              </w:tc>
              <w:tc>
                <w:tcPr>
                  <w:tcW w:w="4678" w:type="dxa"/>
                  <w:shd w:val="clear" w:color="auto" w:fill="auto"/>
                  <w:noWrap/>
                  <w:vAlign w:val="bottom"/>
                  <w:hideMark/>
                </w:tcPr>
                <w:p w14:paraId="688E61B3" w14:textId="47BC4613" w:rsidR="00102AB9" w:rsidRPr="00850B44" w:rsidRDefault="00102AB9" w:rsidP="008144BF">
                  <w:pPr>
                    <w:spacing w:after="0"/>
                    <w:jc w:val="left"/>
                  </w:pPr>
                  <w:r>
                    <w:t>Meta de cuerpos de agua con planes de ordenamiento del recurso hídrico (PORH)</w:t>
                  </w:r>
                  <w:r w:rsidRPr="006A7D55">
                    <w:t xml:space="preserve"> </w:t>
                  </w:r>
                  <w:r>
                    <w:t>adoptados MPORHA</w:t>
                  </w:r>
                </w:p>
              </w:tc>
              <w:tc>
                <w:tcPr>
                  <w:tcW w:w="541" w:type="dxa"/>
                  <w:shd w:val="clear" w:color="auto" w:fill="auto"/>
                  <w:noWrap/>
                  <w:vAlign w:val="bottom"/>
                </w:tcPr>
                <w:p w14:paraId="39470F8E" w14:textId="5BB9C5CB" w:rsidR="00102AB9" w:rsidRPr="00EB4CFA" w:rsidRDefault="00102AB9" w:rsidP="00EB4CFA">
                  <w:pPr>
                    <w:spacing w:after="0"/>
                    <w:jc w:val="center"/>
                    <w:rPr>
                      <w:color w:val="000000"/>
                      <w:szCs w:val="22"/>
                      <w:lang w:eastAsia="es-CO"/>
                    </w:rPr>
                  </w:pPr>
                </w:p>
              </w:tc>
              <w:tc>
                <w:tcPr>
                  <w:tcW w:w="541" w:type="dxa"/>
                  <w:shd w:val="clear" w:color="auto" w:fill="auto"/>
                  <w:noWrap/>
                  <w:vAlign w:val="bottom"/>
                </w:tcPr>
                <w:p w14:paraId="762C9A44" w14:textId="4C43AFBD" w:rsidR="00102AB9" w:rsidRPr="00EB4CFA" w:rsidRDefault="00102AB9" w:rsidP="00EB4CFA">
                  <w:pPr>
                    <w:spacing w:after="0"/>
                    <w:jc w:val="center"/>
                    <w:rPr>
                      <w:color w:val="000000"/>
                      <w:szCs w:val="22"/>
                      <w:lang w:eastAsia="es-CO"/>
                    </w:rPr>
                  </w:pPr>
                </w:p>
              </w:tc>
              <w:tc>
                <w:tcPr>
                  <w:tcW w:w="541" w:type="dxa"/>
                  <w:shd w:val="clear" w:color="auto" w:fill="auto"/>
                  <w:noWrap/>
                  <w:vAlign w:val="bottom"/>
                </w:tcPr>
                <w:p w14:paraId="2827212F" w14:textId="03E6E74A" w:rsidR="00102AB9" w:rsidRPr="00EB4CFA" w:rsidRDefault="00102AB9" w:rsidP="00EB4CFA">
                  <w:pPr>
                    <w:spacing w:after="0"/>
                    <w:jc w:val="center"/>
                    <w:rPr>
                      <w:color w:val="000000"/>
                      <w:szCs w:val="22"/>
                      <w:lang w:eastAsia="es-CO"/>
                    </w:rPr>
                  </w:pPr>
                </w:p>
              </w:tc>
              <w:tc>
                <w:tcPr>
                  <w:tcW w:w="541" w:type="dxa"/>
                  <w:shd w:val="clear" w:color="auto" w:fill="auto"/>
                  <w:noWrap/>
                  <w:vAlign w:val="bottom"/>
                </w:tcPr>
                <w:p w14:paraId="0030D2EF" w14:textId="090E47D8" w:rsidR="00102AB9" w:rsidRPr="00EB4CFA" w:rsidRDefault="00102AB9" w:rsidP="00EB4CFA">
                  <w:pPr>
                    <w:spacing w:after="0"/>
                    <w:jc w:val="center"/>
                    <w:rPr>
                      <w:color w:val="000000"/>
                      <w:szCs w:val="22"/>
                      <w:lang w:eastAsia="es-CO"/>
                    </w:rPr>
                  </w:pPr>
                </w:p>
              </w:tc>
              <w:tc>
                <w:tcPr>
                  <w:tcW w:w="498" w:type="dxa"/>
                  <w:shd w:val="clear" w:color="auto" w:fill="auto"/>
                  <w:noWrap/>
                  <w:vAlign w:val="center"/>
                </w:tcPr>
                <w:p w14:paraId="6C18B98B" w14:textId="1ECBBC94" w:rsidR="00102AB9" w:rsidRPr="00EB4CFA" w:rsidRDefault="00102AB9" w:rsidP="00EB4CFA">
                  <w:pPr>
                    <w:spacing w:after="0"/>
                    <w:jc w:val="center"/>
                    <w:rPr>
                      <w:color w:val="006100"/>
                      <w:szCs w:val="22"/>
                      <w:lang w:eastAsia="es-CO"/>
                    </w:rPr>
                  </w:pPr>
                </w:p>
              </w:tc>
            </w:tr>
            <w:tr w:rsidR="00102AB9" w:rsidRPr="00EB4CFA" w14:paraId="48169E70" w14:textId="77777777" w:rsidTr="00102AB9">
              <w:trPr>
                <w:trHeight w:val="290"/>
              </w:trPr>
              <w:tc>
                <w:tcPr>
                  <w:tcW w:w="360" w:type="dxa"/>
                </w:tcPr>
                <w:p w14:paraId="0D21265D" w14:textId="284793E1" w:rsidR="00102AB9" w:rsidRDefault="00102AB9" w:rsidP="008144BF">
                  <w:pPr>
                    <w:spacing w:after="0"/>
                    <w:jc w:val="left"/>
                  </w:pPr>
                  <w:r>
                    <w:t>B</w:t>
                  </w:r>
                </w:p>
              </w:tc>
              <w:tc>
                <w:tcPr>
                  <w:tcW w:w="4678" w:type="dxa"/>
                  <w:shd w:val="clear" w:color="auto" w:fill="auto"/>
                  <w:noWrap/>
                  <w:vAlign w:val="bottom"/>
                  <w:hideMark/>
                </w:tcPr>
                <w:p w14:paraId="69E469FA" w14:textId="4E7F8514" w:rsidR="00102AB9" w:rsidRPr="00850B44" w:rsidRDefault="00102AB9" w:rsidP="008144BF">
                  <w:pPr>
                    <w:spacing w:after="0"/>
                    <w:jc w:val="left"/>
                  </w:pPr>
                  <w:r>
                    <w:t>Número de cuerpos de agua con planes de ordenamiento del recurso hídrico adoptados (PORHA)</w:t>
                  </w:r>
                </w:p>
              </w:tc>
              <w:tc>
                <w:tcPr>
                  <w:tcW w:w="541" w:type="dxa"/>
                  <w:shd w:val="clear" w:color="auto" w:fill="auto"/>
                  <w:noWrap/>
                  <w:vAlign w:val="bottom"/>
                </w:tcPr>
                <w:p w14:paraId="7AC2823E" w14:textId="0C1646F1" w:rsidR="00102AB9" w:rsidRPr="00EB4CFA" w:rsidRDefault="00102AB9" w:rsidP="00EB4CFA">
                  <w:pPr>
                    <w:spacing w:after="0"/>
                    <w:jc w:val="center"/>
                    <w:rPr>
                      <w:color w:val="000000"/>
                      <w:szCs w:val="22"/>
                      <w:lang w:eastAsia="es-CO"/>
                    </w:rPr>
                  </w:pPr>
                </w:p>
              </w:tc>
              <w:tc>
                <w:tcPr>
                  <w:tcW w:w="541" w:type="dxa"/>
                  <w:shd w:val="clear" w:color="auto" w:fill="auto"/>
                  <w:noWrap/>
                  <w:vAlign w:val="bottom"/>
                </w:tcPr>
                <w:p w14:paraId="130B9058" w14:textId="1D3B6ECC" w:rsidR="00102AB9" w:rsidRPr="00EB4CFA" w:rsidRDefault="00102AB9" w:rsidP="00EB4CFA">
                  <w:pPr>
                    <w:spacing w:after="0"/>
                    <w:jc w:val="center"/>
                    <w:rPr>
                      <w:color w:val="000000"/>
                      <w:szCs w:val="22"/>
                      <w:lang w:eastAsia="es-CO"/>
                    </w:rPr>
                  </w:pPr>
                </w:p>
              </w:tc>
              <w:tc>
                <w:tcPr>
                  <w:tcW w:w="541" w:type="dxa"/>
                  <w:shd w:val="clear" w:color="auto" w:fill="auto"/>
                  <w:noWrap/>
                  <w:vAlign w:val="bottom"/>
                </w:tcPr>
                <w:p w14:paraId="3DAD3159" w14:textId="1BCCDCB3" w:rsidR="00102AB9" w:rsidRPr="00EB4CFA" w:rsidRDefault="00102AB9" w:rsidP="00EB4CFA">
                  <w:pPr>
                    <w:spacing w:after="0"/>
                    <w:jc w:val="center"/>
                    <w:rPr>
                      <w:color w:val="000000"/>
                      <w:szCs w:val="22"/>
                      <w:lang w:eastAsia="es-CO"/>
                    </w:rPr>
                  </w:pPr>
                </w:p>
              </w:tc>
              <w:tc>
                <w:tcPr>
                  <w:tcW w:w="541" w:type="dxa"/>
                  <w:shd w:val="clear" w:color="auto" w:fill="auto"/>
                  <w:noWrap/>
                  <w:vAlign w:val="bottom"/>
                </w:tcPr>
                <w:p w14:paraId="384AF1B5" w14:textId="29F44A23" w:rsidR="00102AB9" w:rsidRPr="00EB4CFA" w:rsidRDefault="00102AB9" w:rsidP="00EB4CFA">
                  <w:pPr>
                    <w:spacing w:after="0"/>
                    <w:jc w:val="center"/>
                    <w:rPr>
                      <w:color w:val="000000"/>
                      <w:szCs w:val="22"/>
                      <w:lang w:eastAsia="es-CO"/>
                    </w:rPr>
                  </w:pPr>
                </w:p>
              </w:tc>
              <w:tc>
                <w:tcPr>
                  <w:tcW w:w="498" w:type="dxa"/>
                  <w:shd w:val="clear" w:color="auto" w:fill="auto"/>
                  <w:noWrap/>
                  <w:vAlign w:val="center"/>
                </w:tcPr>
                <w:p w14:paraId="2E278672" w14:textId="0CA82731" w:rsidR="00102AB9" w:rsidRPr="00EB4CFA" w:rsidRDefault="00102AB9" w:rsidP="00EB4CFA">
                  <w:pPr>
                    <w:spacing w:after="0"/>
                    <w:jc w:val="center"/>
                    <w:rPr>
                      <w:color w:val="006100"/>
                      <w:szCs w:val="22"/>
                      <w:lang w:eastAsia="es-CO"/>
                    </w:rPr>
                  </w:pPr>
                </w:p>
              </w:tc>
            </w:tr>
            <w:tr w:rsidR="00102AB9" w:rsidRPr="00EB4CFA" w14:paraId="1375152C" w14:textId="77777777" w:rsidTr="00102AB9">
              <w:trPr>
                <w:trHeight w:val="290"/>
              </w:trPr>
              <w:tc>
                <w:tcPr>
                  <w:tcW w:w="360" w:type="dxa"/>
                </w:tcPr>
                <w:p w14:paraId="0858DC8B" w14:textId="7E3C9DA3" w:rsidR="00102AB9" w:rsidRPr="00850B44" w:rsidRDefault="00102AB9" w:rsidP="00EB4CFA">
                  <w:pPr>
                    <w:spacing w:after="0"/>
                    <w:jc w:val="left"/>
                  </w:pPr>
                  <w:r>
                    <w:t>C</w:t>
                  </w:r>
                </w:p>
              </w:tc>
              <w:tc>
                <w:tcPr>
                  <w:tcW w:w="4678" w:type="dxa"/>
                  <w:shd w:val="clear" w:color="auto" w:fill="auto"/>
                  <w:noWrap/>
                  <w:vAlign w:val="bottom"/>
                  <w:hideMark/>
                </w:tcPr>
                <w:p w14:paraId="26C8FC2A" w14:textId="2A1DA07E" w:rsidR="00102AB9" w:rsidRPr="00850B44" w:rsidRDefault="00102AB9" w:rsidP="00EB4CFA">
                  <w:pPr>
                    <w:spacing w:after="0"/>
                    <w:jc w:val="left"/>
                  </w:pPr>
                  <w:r w:rsidRPr="00850B44">
                    <w:t xml:space="preserve">Porcentaje de </w:t>
                  </w:r>
                  <w:r>
                    <w:t>Cuerpos de agua con planes de ordenamiento del recurso hídrico adoptados (PPORHA) (C = B / A)</w:t>
                  </w:r>
                </w:p>
              </w:tc>
              <w:tc>
                <w:tcPr>
                  <w:tcW w:w="541" w:type="dxa"/>
                  <w:shd w:val="clear" w:color="auto" w:fill="auto"/>
                  <w:noWrap/>
                  <w:vAlign w:val="bottom"/>
                </w:tcPr>
                <w:p w14:paraId="077EAA0F" w14:textId="7FC49964" w:rsidR="00102AB9" w:rsidRPr="00EB4CFA" w:rsidRDefault="00102AB9" w:rsidP="00EB4CFA">
                  <w:pPr>
                    <w:spacing w:after="0"/>
                    <w:jc w:val="center"/>
                    <w:rPr>
                      <w:color w:val="000000"/>
                      <w:szCs w:val="22"/>
                      <w:lang w:eastAsia="es-CO"/>
                    </w:rPr>
                  </w:pPr>
                </w:p>
              </w:tc>
              <w:tc>
                <w:tcPr>
                  <w:tcW w:w="541" w:type="dxa"/>
                  <w:shd w:val="clear" w:color="auto" w:fill="auto"/>
                  <w:noWrap/>
                  <w:vAlign w:val="bottom"/>
                </w:tcPr>
                <w:p w14:paraId="214EA9EA" w14:textId="074F1426" w:rsidR="00102AB9" w:rsidRPr="00EB4CFA" w:rsidRDefault="00102AB9" w:rsidP="00EB4CFA">
                  <w:pPr>
                    <w:spacing w:after="0"/>
                    <w:jc w:val="center"/>
                    <w:rPr>
                      <w:color w:val="000000"/>
                      <w:szCs w:val="22"/>
                      <w:lang w:eastAsia="es-CO"/>
                    </w:rPr>
                  </w:pPr>
                </w:p>
              </w:tc>
              <w:tc>
                <w:tcPr>
                  <w:tcW w:w="541" w:type="dxa"/>
                  <w:shd w:val="clear" w:color="auto" w:fill="auto"/>
                  <w:noWrap/>
                  <w:vAlign w:val="bottom"/>
                </w:tcPr>
                <w:p w14:paraId="61D92CC7" w14:textId="2A653280" w:rsidR="00102AB9" w:rsidRPr="00EB4CFA" w:rsidRDefault="00102AB9" w:rsidP="00EB4CFA">
                  <w:pPr>
                    <w:spacing w:after="0"/>
                    <w:jc w:val="center"/>
                    <w:rPr>
                      <w:color w:val="000000"/>
                      <w:szCs w:val="22"/>
                      <w:lang w:eastAsia="es-CO"/>
                    </w:rPr>
                  </w:pPr>
                </w:p>
              </w:tc>
              <w:tc>
                <w:tcPr>
                  <w:tcW w:w="541" w:type="dxa"/>
                  <w:shd w:val="clear" w:color="auto" w:fill="auto"/>
                  <w:noWrap/>
                  <w:vAlign w:val="bottom"/>
                </w:tcPr>
                <w:p w14:paraId="6397C607" w14:textId="49750C49" w:rsidR="00102AB9" w:rsidRPr="00EB4CFA" w:rsidRDefault="00102AB9" w:rsidP="00EB4CFA">
                  <w:pPr>
                    <w:spacing w:after="0"/>
                    <w:jc w:val="center"/>
                    <w:rPr>
                      <w:color w:val="000000"/>
                      <w:szCs w:val="22"/>
                      <w:lang w:eastAsia="es-CO"/>
                    </w:rPr>
                  </w:pPr>
                </w:p>
              </w:tc>
              <w:tc>
                <w:tcPr>
                  <w:tcW w:w="498" w:type="dxa"/>
                  <w:shd w:val="clear" w:color="auto" w:fill="auto"/>
                  <w:noWrap/>
                  <w:vAlign w:val="center"/>
                </w:tcPr>
                <w:p w14:paraId="5094DE6C" w14:textId="62DCBE15" w:rsidR="00102AB9" w:rsidRPr="00EB4CFA" w:rsidRDefault="00102AB9" w:rsidP="00EB4CFA">
                  <w:pPr>
                    <w:spacing w:after="0"/>
                    <w:jc w:val="center"/>
                    <w:rPr>
                      <w:color w:val="006100"/>
                      <w:szCs w:val="22"/>
                      <w:lang w:eastAsia="es-CO"/>
                    </w:rPr>
                  </w:pPr>
                </w:p>
              </w:tc>
            </w:tr>
          </w:tbl>
          <w:p w14:paraId="3DF87929" w14:textId="04B2FFB6" w:rsidR="00A77F51" w:rsidRPr="00F36DC6" w:rsidRDefault="00A77F51" w:rsidP="00A021A0">
            <w:pPr>
              <w:pStyle w:val="piecito"/>
            </w:pPr>
          </w:p>
        </w:tc>
      </w:tr>
      <w:tr w:rsidR="001375AF" w:rsidRPr="00B771A6" w14:paraId="14372B0F" w14:textId="77777777" w:rsidTr="00850B44">
        <w:trPr>
          <w:trHeight w:val="20"/>
          <w:jc w:val="center"/>
        </w:trPr>
        <w:tc>
          <w:tcPr>
            <w:tcW w:w="706" w:type="pct"/>
            <w:vAlign w:val="center"/>
          </w:tcPr>
          <w:p w14:paraId="23FB5BCA" w14:textId="77777777" w:rsidR="005F185A" w:rsidRPr="00B771A6" w:rsidRDefault="005F185A" w:rsidP="001375AF">
            <w:pPr>
              <w:jc w:val="left"/>
              <w:rPr>
                <w:lang w:val="es-CR" w:eastAsia="ar-SA"/>
              </w:rPr>
            </w:pPr>
            <w:r w:rsidRPr="00B771A6">
              <w:rPr>
                <w:lang w:val="es-MX" w:eastAsia="ar-SA"/>
              </w:rPr>
              <w:t>Interpretación</w:t>
            </w:r>
          </w:p>
        </w:tc>
        <w:tc>
          <w:tcPr>
            <w:tcW w:w="4294" w:type="pct"/>
          </w:tcPr>
          <w:p w14:paraId="7CFD15B8" w14:textId="19487555" w:rsidR="002B69A5" w:rsidRPr="002B69A5" w:rsidRDefault="002B69A5" w:rsidP="008144BF">
            <w:pPr>
              <w:rPr>
                <w:lang w:val="es-MX" w:eastAsia="ar-SA"/>
              </w:rPr>
            </w:pPr>
            <w:r w:rsidRPr="002B69A5">
              <w:rPr>
                <w:lang w:val="es-MX" w:eastAsia="ar-SA"/>
              </w:rPr>
              <w:t>Cuanto más cercano a cien por ciento, mayor es el cumplimient</w:t>
            </w:r>
            <w:r>
              <w:rPr>
                <w:lang w:val="es-MX" w:eastAsia="ar-SA"/>
              </w:rPr>
              <w:t>o de las metas que la autoridad ambiental</w:t>
            </w:r>
            <w:r w:rsidRPr="002B69A5">
              <w:rPr>
                <w:lang w:val="es-MX" w:eastAsia="ar-SA"/>
              </w:rPr>
              <w:t xml:space="preserve"> se ha propuesto alcanzar en relación</w:t>
            </w:r>
            <w:r w:rsidR="008144BF">
              <w:rPr>
                <w:lang w:val="es-MX" w:eastAsia="ar-SA"/>
              </w:rPr>
              <w:t xml:space="preserve"> con el número de c</w:t>
            </w:r>
            <w:r w:rsidR="0076428C">
              <w:rPr>
                <w:lang w:val="es-MX" w:eastAsia="ar-SA"/>
              </w:rPr>
              <w:t>uerpos de agua con plan</w:t>
            </w:r>
            <w:r w:rsidR="008144BF">
              <w:rPr>
                <w:lang w:val="es-MX" w:eastAsia="ar-SA"/>
              </w:rPr>
              <w:t>es</w:t>
            </w:r>
            <w:r w:rsidR="0076428C">
              <w:rPr>
                <w:lang w:val="es-MX" w:eastAsia="ar-SA"/>
              </w:rPr>
              <w:t xml:space="preserve"> de ordenamiento del recurso hídrico</w:t>
            </w:r>
            <w:r w:rsidR="007242C2">
              <w:rPr>
                <w:lang w:val="es-MX" w:eastAsia="ar-SA"/>
              </w:rPr>
              <w:t xml:space="preserve"> (</w:t>
            </w:r>
            <w:r w:rsidR="0076428C">
              <w:rPr>
                <w:lang w:val="es-MX" w:eastAsia="ar-SA"/>
              </w:rPr>
              <w:t>PORH</w:t>
            </w:r>
            <w:r w:rsidR="007242C2">
              <w:rPr>
                <w:lang w:val="es-MX" w:eastAsia="ar-SA"/>
              </w:rPr>
              <w:t>)</w:t>
            </w:r>
            <w:r w:rsidR="008144BF">
              <w:rPr>
                <w:lang w:val="es-MX" w:eastAsia="ar-SA"/>
              </w:rPr>
              <w:t xml:space="preserve"> adoptados.</w:t>
            </w:r>
          </w:p>
        </w:tc>
      </w:tr>
      <w:tr w:rsidR="001375AF" w:rsidRPr="00B771A6" w14:paraId="344F7165" w14:textId="77777777" w:rsidTr="00850B44">
        <w:trPr>
          <w:trHeight w:val="20"/>
          <w:jc w:val="center"/>
        </w:trPr>
        <w:tc>
          <w:tcPr>
            <w:tcW w:w="706" w:type="pct"/>
            <w:vAlign w:val="center"/>
          </w:tcPr>
          <w:p w14:paraId="237B91A1" w14:textId="77777777" w:rsidR="005F185A" w:rsidRPr="00765D15" w:rsidRDefault="005F185A" w:rsidP="001375AF">
            <w:pPr>
              <w:jc w:val="left"/>
              <w:rPr>
                <w:lang w:val="es-CR" w:eastAsia="ar-SA"/>
              </w:rPr>
            </w:pPr>
            <w:r w:rsidRPr="00765D15">
              <w:rPr>
                <w:lang w:val="es-MX" w:eastAsia="ar-SA"/>
              </w:rPr>
              <w:t>Restricciones o Limitaciones</w:t>
            </w:r>
          </w:p>
        </w:tc>
        <w:tc>
          <w:tcPr>
            <w:tcW w:w="4294" w:type="pct"/>
          </w:tcPr>
          <w:p w14:paraId="568E8349" w14:textId="77777777" w:rsidR="005F185A" w:rsidRPr="00E11FB9" w:rsidRDefault="002B69A5" w:rsidP="002B69A5">
            <w:pPr>
              <w:rPr>
                <w:lang w:eastAsia="ar-SA"/>
              </w:rPr>
            </w:pPr>
            <w:r>
              <w:rPr>
                <w:lang w:eastAsia="ar-SA"/>
              </w:rPr>
              <w:t>S</w:t>
            </w:r>
            <w:r w:rsidR="00FA6FB8">
              <w:rPr>
                <w:lang w:eastAsia="ar-SA"/>
              </w:rPr>
              <w:t xml:space="preserve">e pueden presentar situaciones de orden operativo, político y social que pueden afectar </w:t>
            </w:r>
            <w:r w:rsidRPr="002B69A5">
              <w:rPr>
                <w:lang w:eastAsia="ar-SA"/>
              </w:rPr>
              <w:t>la ejecución de los presupuestos y</w:t>
            </w:r>
            <w:r>
              <w:rPr>
                <w:lang w:eastAsia="ar-SA"/>
              </w:rPr>
              <w:t xml:space="preserve"> el cumplimiento de</w:t>
            </w:r>
            <w:r w:rsidRPr="002B69A5">
              <w:rPr>
                <w:lang w:eastAsia="ar-SA"/>
              </w:rPr>
              <w:t xml:space="preserve"> los cronogramas definidos en el Plan de Acción de la Corporación.</w:t>
            </w:r>
          </w:p>
        </w:tc>
      </w:tr>
      <w:tr w:rsidR="001375AF" w:rsidRPr="00B771A6" w14:paraId="1B78817D" w14:textId="77777777" w:rsidTr="00850B44">
        <w:trPr>
          <w:trHeight w:val="20"/>
          <w:jc w:val="center"/>
        </w:trPr>
        <w:tc>
          <w:tcPr>
            <w:tcW w:w="706" w:type="pct"/>
            <w:vAlign w:val="center"/>
          </w:tcPr>
          <w:p w14:paraId="66BDFC6A" w14:textId="77777777" w:rsidR="005F185A" w:rsidRPr="00B771A6" w:rsidRDefault="005F185A" w:rsidP="001375AF">
            <w:pPr>
              <w:jc w:val="left"/>
              <w:rPr>
                <w:lang w:val="es-MX" w:eastAsia="ar-SA"/>
              </w:rPr>
            </w:pPr>
            <w:r w:rsidRPr="00B771A6">
              <w:rPr>
                <w:lang w:val="es-MX" w:eastAsia="ar-SA"/>
              </w:rPr>
              <w:t>Facilidad de obtención</w:t>
            </w:r>
          </w:p>
        </w:tc>
        <w:tc>
          <w:tcPr>
            <w:tcW w:w="4294" w:type="pct"/>
          </w:tcPr>
          <w:tbl>
            <w:tblPr>
              <w:tblpPr w:leftFromText="142" w:rightFromText="142" w:topFromText="539" w:vertAnchor="text" w:horzAnchor="margin" w:tblpY="1"/>
              <w:tblOverlap w:val="never"/>
              <w:tblW w:w="8460" w:type="dxa"/>
              <w:tblLayout w:type="fixed"/>
              <w:tblCellMar>
                <w:left w:w="0" w:type="dxa"/>
                <w:right w:w="0" w:type="dxa"/>
              </w:tblCellMar>
              <w:tblLook w:val="01E0" w:firstRow="1" w:lastRow="1" w:firstColumn="1" w:lastColumn="1" w:noHBand="0" w:noVBand="0"/>
            </w:tblPr>
            <w:tblGrid>
              <w:gridCol w:w="325"/>
              <w:gridCol w:w="1405"/>
              <w:gridCol w:w="6730"/>
            </w:tblGrid>
            <w:tr w:rsidR="005F185A" w:rsidRPr="00B32D35" w14:paraId="4942D7C6"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21896EB6" w14:textId="77777777" w:rsidR="005F185A" w:rsidRPr="00CF34F9" w:rsidRDefault="004E5176" w:rsidP="00690C05">
                  <w:pPr>
                    <w:pStyle w:val="Sinespaciado1"/>
                    <w:tabs>
                      <w:tab w:val="left" w:pos="279"/>
                    </w:tabs>
                    <w:jc w:val="center"/>
                    <w:rPr>
                      <w:b/>
                      <w:sz w:val="18"/>
                      <w:szCs w:val="18"/>
                      <w:lang w:val="es-CR" w:eastAsia="ar-SA"/>
                    </w:rPr>
                  </w:pPr>
                  <w:r>
                    <w:rPr>
                      <w:b/>
                      <w:sz w:val="18"/>
                      <w:szCs w:val="18"/>
                      <w:lang w:val="es-CR" w:eastAsia="ar-SA"/>
                    </w:rPr>
                    <w:t>X</w:t>
                  </w:r>
                </w:p>
              </w:tc>
              <w:tc>
                <w:tcPr>
                  <w:tcW w:w="1405" w:type="dxa"/>
                  <w:tcBorders>
                    <w:left w:val="single" w:sz="8" w:space="0" w:color="auto"/>
                  </w:tcBorders>
                  <w:vAlign w:val="center"/>
                </w:tcPr>
                <w:p w14:paraId="30690DCA" w14:textId="77777777" w:rsidR="005F185A" w:rsidRPr="00CF34F9" w:rsidRDefault="005F185A" w:rsidP="00690C05">
                  <w:pPr>
                    <w:pStyle w:val="Sinespaciado1"/>
                    <w:ind w:left="143" w:right="-720"/>
                    <w:rPr>
                      <w:sz w:val="18"/>
                      <w:szCs w:val="18"/>
                      <w:lang w:val="es-CR" w:eastAsia="ar-SA"/>
                    </w:rPr>
                  </w:pPr>
                  <w:r>
                    <w:rPr>
                      <w:sz w:val="18"/>
                      <w:szCs w:val="18"/>
                      <w:lang w:val="es-CR" w:eastAsia="ar-SA"/>
                    </w:rPr>
                    <w:t>Fácil</w:t>
                  </w:r>
                </w:p>
              </w:tc>
            </w:tr>
            <w:tr w:rsidR="005F185A" w:rsidRPr="00B32D35" w14:paraId="4C991B7F" w14:textId="77777777" w:rsidTr="001375AF">
              <w:trPr>
                <w:gridAfter w:val="1"/>
                <w:wAfter w:w="6730" w:type="dxa"/>
                <w:cantSplit/>
                <w:trHeight w:hRule="exact" w:val="64"/>
              </w:trPr>
              <w:tc>
                <w:tcPr>
                  <w:tcW w:w="325" w:type="dxa"/>
                  <w:tcBorders>
                    <w:top w:val="single" w:sz="8" w:space="0" w:color="auto"/>
                    <w:bottom w:val="single" w:sz="8" w:space="0" w:color="auto"/>
                  </w:tcBorders>
                  <w:noWrap/>
                  <w:vAlign w:val="center"/>
                </w:tcPr>
                <w:p w14:paraId="245C9528"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0ED2EB49"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0228F4E4"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28C0B805" w14:textId="77777777"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04606C57" w14:textId="77777777" w:rsidR="005F185A" w:rsidRPr="00CF34F9" w:rsidRDefault="005F185A" w:rsidP="00690C05">
                  <w:pPr>
                    <w:pStyle w:val="Sinespaciado1"/>
                    <w:ind w:left="143" w:right="-720"/>
                    <w:rPr>
                      <w:sz w:val="18"/>
                      <w:szCs w:val="18"/>
                      <w:lang w:val="es-CR" w:eastAsia="ar-SA"/>
                    </w:rPr>
                  </w:pPr>
                  <w:r>
                    <w:rPr>
                      <w:sz w:val="18"/>
                      <w:szCs w:val="18"/>
                      <w:lang w:val="es-CR" w:eastAsia="ar-SA"/>
                    </w:rPr>
                    <w:t>Regular</w:t>
                  </w:r>
                </w:p>
              </w:tc>
            </w:tr>
            <w:tr w:rsidR="005F185A" w:rsidRPr="00B32D35" w14:paraId="73300CA8" w14:textId="77777777" w:rsidTr="001375AF">
              <w:trPr>
                <w:gridAfter w:val="1"/>
                <w:wAfter w:w="6730" w:type="dxa"/>
                <w:cantSplit/>
                <w:trHeight w:hRule="exact" w:val="64"/>
              </w:trPr>
              <w:tc>
                <w:tcPr>
                  <w:tcW w:w="325" w:type="dxa"/>
                  <w:tcBorders>
                    <w:top w:val="single" w:sz="8" w:space="0" w:color="auto"/>
                    <w:bottom w:val="single" w:sz="8" w:space="0" w:color="auto"/>
                  </w:tcBorders>
                  <w:noWrap/>
                  <w:vAlign w:val="center"/>
                </w:tcPr>
                <w:p w14:paraId="7847738A"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6828757C"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581D50A3" w14:textId="77777777" w:rsidTr="001375AF">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14:paraId="1562777A" w14:textId="77777777" w:rsidR="005F185A" w:rsidRPr="00CF34F9" w:rsidRDefault="005F185A" w:rsidP="00690C05">
                  <w:pPr>
                    <w:pStyle w:val="Sinespaciado1"/>
                    <w:tabs>
                      <w:tab w:val="left" w:pos="279"/>
                    </w:tabs>
                    <w:jc w:val="center"/>
                    <w:rPr>
                      <w:b/>
                      <w:sz w:val="18"/>
                      <w:szCs w:val="18"/>
                      <w:lang w:val="es-CR" w:eastAsia="ar-SA"/>
                    </w:rPr>
                  </w:pPr>
                </w:p>
              </w:tc>
              <w:tc>
                <w:tcPr>
                  <w:tcW w:w="1405" w:type="dxa"/>
                  <w:tcBorders>
                    <w:left w:val="single" w:sz="8" w:space="0" w:color="auto"/>
                  </w:tcBorders>
                  <w:vAlign w:val="center"/>
                </w:tcPr>
                <w:p w14:paraId="7D8E5344" w14:textId="77777777" w:rsidR="005F185A" w:rsidRPr="00CF34F9" w:rsidRDefault="005F185A" w:rsidP="00690C05">
                  <w:pPr>
                    <w:pStyle w:val="Sinespaciado1"/>
                    <w:ind w:left="143" w:right="-720"/>
                    <w:rPr>
                      <w:sz w:val="18"/>
                      <w:szCs w:val="18"/>
                      <w:lang w:val="es-CR" w:eastAsia="ar-SA"/>
                    </w:rPr>
                  </w:pPr>
                  <w:r>
                    <w:rPr>
                      <w:sz w:val="18"/>
                      <w:szCs w:val="18"/>
                      <w:lang w:val="es-CR" w:eastAsia="ar-SA"/>
                    </w:rPr>
                    <w:t>Difícil</w:t>
                  </w:r>
                </w:p>
              </w:tc>
            </w:tr>
            <w:tr w:rsidR="005F185A" w:rsidRPr="00B32D35" w14:paraId="6C47A364" w14:textId="77777777" w:rsidTr="001375AF">
              <w:trPr>
                <w:gridAfter w:val="1"/>
                <w:wAfter w:w="6730" w:type="dxa"/>
                <w:cantSplit/>
                <w:trHeight w:hRule="exact" w:val="64"/>
              </w:trPr>
              <w:tc>
                <w:tcPr>
                  <w:tcW w:w="325" w:type="dxa"/>
                  <w:tcBorders>
                    <w:top w:val="single" w:sz="8" w:space="0" w:color="auto"/>
                  </w:tcBorders>
                  <w:noWrap/>
                  <w:vAlign w:val="center"/>
                </w:tcPr>
                <w:p w14:paraId="77AB5DA5" w14:textId="77777777" w:rsidR="005F185A" w:rsidRPr="00CF34F9" w:rsidRDefault="005F185A" w:rsidP="00690C05">
                  <w:pPr>
                    <w:pStyle w:val="Sinespaciado1"/>
                    <w:tabs>
                      <w:tab w:val="left" w:pos="279"/>
                    </w:tabs>
                    <w:jc w:val="center"/>
                    <w:rPr>
                      <w:b/>
                      <w:sz w:val="18"/>
                      <w:szCs w:val="18"/>
                      <w:lang w:val="es-CR" w:eastAsia="ar-SA"/>
                    </w:rPr>
                  </w:pPr>
                </w:p>
              </w:tc>
              <w:tc>
                <w:tcPr>
                  <w:tcW w:w="1405" w:type="dxa"/>
                  <w:vAlign w:val="center"/>
                </w:tcPr>
                <w:p w14:paraId="04347A62" w14:textId="77777777" w:rsidR="005F185A" w:rsidRPr="00CF34F9" w:rsidRDefault="005F185A" w:rsidP="00690C05">
                  <w:pPr>
                    <w:pStyle w:val="Sinespaciado1"/>
                    <w:tabs>
                      <w:tab w:val="left" w:pos="279"/>
                    </w:tabs>
                    <w:ind w:left="143" w:right="-720"/>
                    <w:rPr>
                      <w:sz w:val="18"/>
                      <w:szCs w:val="18"/>
                      <w:lang w:val="es-CR" w:eastAsia="ar-SA"/>
                    </w:rPr>
                  </w:pPr>
                </w:p>
              </w:tc>
            </w:tr>
            <w:tr w:rsidR="005F185A" w:rsidRPr="00B32D35" w14:paraId="2D8078BA" w14:textId="77777777" w:rsidTr="001375AF">
              <w:trPr>
                <w:cantSplit/>
                <w:trHeight w:hRule="exact" w:val="447"/>
              </w:trPr>
              <w:tc>
                <w:tcPr>
                  <w:tcW w:w="325" w:type="dxa"/>
                  <w:noWrap/>
                  <w:vAlign w:val="center"/>
                </w:tcPr>
                <w:p w14:paraId="13543076" w14:textId="77777777" w:rsidR="005F185A" w:rsidRPr="00BC13C0" w:rsidRDefault="005F185A" w:rsidP="00BE18F3"/>
              </w:tc>
              <w:tc>
                <w:tcPr>
                  <w:tcW w:w="1405" w:type="dxa"/>
                  <w:vAlign w:val="center"/>
                </w:tcPr>
                <w:p w14:paraId="1FD3DF88" w14:textId="77777777" w:rsidR="005F185A" w:rsidRPr="00BC13C0" w:rsidRDefault="005F185A" w:rsidP="00BE18F3">
                  <w:r w:rsidRPr="00BC13C0">
                    <w:t>¿Por qué?:</w:t>
                  </w:r>
                </w:p>
              </w:tc>
              <w:tc>
                <w:tcPr>
                  <w:tcW w:w="6730" w:type="dxa"/>
                </w:tcPr>
                <w:p w14:paraId="1E3334E2" w14:textId="77777777" w:rsidR="005F185A" w:rsidRPr="00B00E5E" w:rsidRDefault="00123667" w:rsidP="00BE18F3">
                  <w:r>
                    <w:t xml:space="preserve">El indicador se calcula a partir </w:t>
                  </w:r>
                  <w:r w:rsidR="004E5176">
                    <w:t>de la información reportada por las corporaciones autónomas regionales en el ejercicio de sus funciones misionales</w:t>
                  </w:r>
                </w:p>
              </w:tc>
            </w:tr>
          </w:tbl>
          <w:p w14:paraId="34A43B02" w14:textId="77777777" w:rsidR="005F185A" w:rsidRPr="00666B6C" w:rsidRDefault="005F185A" w:rsidP="00C20065">
            <w:pPr>
              <w:spacing w:after="0"/>
              <w:rPr>
                <w:lang w:eastAsia="ar-SA"/>
              </w:rPr>
            </w:pPr>
          </w:p>
        </w:tc>
      </w:tr>
    </w:tbl>
    <w:p w14:paraId="790C5001" w14:textId="77777777" w:rsidR="00141C8F" w:rsidRDefault="00141C8F" w:rsidP="00001BD6">
      <w:pPr>
        <w:pStyle w:val="Sinespaciado1"/>
      </w:pPr>
    </w:p>
    <w:p w14:paraId="5022E3EF" w14:textId="77777777" w:rsidR="008A4E6B" w:rsidRDefault="008A4E6B" w:rsidP="00001BD6">
      <w:pPr>
        <w:pStyle w:val="Sinespaciado1"/>
      </w:pPr>
    </w:p>
    <w:p w14:paraId="6FB6EE7B" w14:textId="77777777" w:rsidR="00F40731" w:rsidRPr="00DC2ADC" w:rsidRDefault="00F40731" w:rsidP="00001BD6">
      <w:pPr>
        <w:pStyle w:val="Sinespaciado1"/>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3"/>
        <w:gridCol w:w="1878"/>
        <w:gridCol w:w="8363"/>
      </w:tblGrid>
      <w:tr w:rsidR="005F185A" w:rsidRPr="00A15977" w14:paraId="3300792B" w14:textId="77777777" w:rsidTr="009C14A4">
        <w:trPr>
          <w:trHeight w:val="20"/>
          <w:jc w:val="center"/>
        </w:trPr>
        <w:tc>
          <w:tcPr>
            <w:tcW w:w="5000" w:type="pct"/>
            <w:gridSpan w:val="3"/>
            <w:vAlign w:val="center"/>
          </w:tcPr>
          <w:p w14:paraId="68662E06" w14:textId="77777777"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14:paraId="44B4016D" w14:textId="77777777" w:rsidTr="009C14A4">
        <w:trPr>
          <w:trHeight w:val="20"/>
          <w:jc w:val="center"/>
        </w:trPr>
        <w:tc>
          <w:tcPr>
            <w:tcW w:w="256" w:type="pct"/>
            <w:vMerge w:val="restart"/>
            <w:vAlign w:val="center"/>
          </w:tcPr>
          <w:p w14:paraId="34352A0F" w14:textId="77777777" w:rsidR="00287EAA" w:rsidRPr="00A416C3" w:rsidRDefault="00287EAA" w:rsidP="00BE18F3">
            <w:pPr>
              <w:rPr>
                <w:lang w:val="es-MX" w:eastAsia="ar-SA"/>
              </w:rPr>
            </w:pPr>
            <w:r>
              <w:rPr>
                <w:lang w:val="es-MX" w:eastAsia="ar-SA"/>
              </w:rPr>
              <w:t>1</w:t>
            </w:r>
          </w:p>
        </w:tc>
        <w:tc>
          <w:tcPr>
            <w:tcW w:w="870" w:type="pct"/>
            <w:vAlign w:val="center"/>
          </w:tcPr>
          <w:p w14:paraId="769B4734" w14:textId="77777777" w:rsidR="00287EAA" w:rsidRPr="00746D28" w:rsidRDefault="00287EAA" w:rsidP="009C14A4">
            <w:pPr>
              <w:pStyle w:val="Ttulo4"/>
              <w:jc w:val="left"/>
            </w:pPr>
            <w:r w:rsidRPr="00746D28">
              <w:t>Entidad</w:t>
            </w:r>
          </w:p>
        </w:tc>
        <w:tc>
          <w:tcPr>
            <w:tcW w:w="3874" w:type="pct"/>
            <w:vAlign w:val="center"/>
          </w:tcPr>
          <w:p w14:paraId="3E079A37" w14:textId="77777777" w:rsidR="00287EAA" w:rsidRDefault="004E5176" w:rsidP="00BE18F3">
            <w:r>
              <w:rPr>
                <w:lang w:eastAsia="ar-SA"/>
              </w:rPr>
              <w:t>Corporaciones autónomas regionales y de desarrollo sostenible</w:t>
            </w:r>
          </w:p>
        </w:tc>
      </w:tr>
      <w:tr w:rsidR="00287EAA" w:rsidRPr="00A15977" w14:paraId="142597D2" w14:textId="77777777" w:rsidTr="009C14A4">
        <w:trPr>
          <w:trHeight w:val="20"/>
          <w:jc w:val="center"/>
        </w:trPr>
        <w:tc>
          <w:tcPr>
            <w:tcW w:w="256" w:type="pct"/>
            <w:vMerge/>
          </w:tcPr>
          <w:p w14:paraId="48A79D72" w14:textId="77777777" w:rsidR="00287EAA" w:rsidRPr="00A416C3" w:rsidRDefault="00287EAA" w:rsidP="00BE18F3">
            <w:pPr>
              <w:rPr>
                <w:lang w:val="es-MX" w:eastAsia="ar-SA"/>
              </w:rPr>
            </w:pPr>
          </w:p>
        </w:tc>
        <w:tc>
          <w:tcPr>
            <w:tcW w:w="870" w:type="pct"/>
            <w:vAlign w:val="center"/>
          </w:tcPr>
          <w:p w14:paraId="614FF900" w14:textId="77777777" w:rsidR="00287EAA" w:rsidRPr="006615CA" w:rsidRDefault="00287EAA" w:rsidP="009C14A4">
            <w:pPr>
              <w:jc w:val="left"/>
              <w:rPr>
                <w:lang w:val="es-MX" w:eastAsia="ar-SA"/>
              </w:rPr>
            </w:pPr>
            <w:r w:rsidRPr="006615CA">
              <w:rPr>
                <w:lang w:val="es-MX" w:eastAsia="ar-SA"/>
              </w:rPr>
              <w:t>Dependencia</w:t>
            </w:r>
          </w:p>
        </w:tc>
        <w:tc>
          <w:tcPr>
            <w:tcW w:w="3874" w:type="pct"/>
            <w:vAlign w:val="center"/>
          </w:tcPr>
          <w:p w14:paraId="541065FE" w14:textId="77777777" w:rsidR="00287EAA" w:rsidRDefault="00287EAA" w:rsidP="00BE18F3"/>
        </w:tc>
      </w:tr>
      <w:tr w:rsidR="00287EAA" w:rsidRPr="00A15977" w14:paraId="3AEBA39A" w14:textId="77777777" w:rsidTr="009C14A4">
        <w:trPr>
          <w:trHeight w:val="20"/>
          <w:jc w:val="center"/>
        </w:trPr>
        <w:tc>
          <w:tcPr>
            <w:tcW w:w="256" w:type="pct"/>
            <w:vMerge/>
          </w:tcPr>
          <w:p w14:paraId="013DFEE7" w14:textId="77777777" w:rsidR="00287EAA" w:rsidRPr="00A416C3" w:rsidRDefault="00287EAA" w:rsidP="00BE18F3">
            <w:pPr>
              <w:rPr>
                <w:lang w:val="es-MX" w:eastAsia="ar-SA"/>
              </w:rPr>
            </w:pPr>
          </w:p>
        </w:tc>
        <w:tc>
          <w:tcPr>
            <w:tcW w:w="870" w:type="pct"/>
            <w:vAlign w:val="center"/>
          </w:tcPr>
          <w:p w14:paraId="42688C74" w14:textId="77777777" w:rsidR="00287EAA" w:rsidRPr="006615CA" w:rsidRDefault="00287EAA" w:rsidP="009C14A4">
            <w:pPr>
              <w:jc w:val="left"/>
              <w:rPr>
                <w:lang w:val="es-MX" w:eastAsia="ar-SA"/>
              </w:rPr>
            </w:pPr>
            <w:r w:rsidRPr="006615CA">
              <w:rPr>
                <w:lang w:val="es-MX" w:eastAsia="ar-SA"/>
              </w:rPr>
              <w:t>Nombre del funcionario</w:t>
            </w:r>
          </w:p>
        </w:tc>
        <w:tc>
          <w:tcPr>
            <w:tcW w:w="3874" w:type="pct"/>
            <w:vAlign w:val="center"/>
          </w:tcPr>
          <w:p w14:paraId="3FE1223F" w14:textId="77777777" w:rsidR="00287EAA" w:rsidRPr="00B771A6" w:rsidRDefault="00287EAA" w:rsidP="00BE18F3">
            <w:pPr>
              <w:rPr>
                <w:lang w:eastAsia="ar-SA"/>
              </w:rPr>
            </w:pPr>
          </w:p>
        </w:tc>
      </w:tr>
      <w:tr w:rsidR="00287EAA" w:rsidRPr="00A15977" w14:paraId="0AD5C1C2" w14:textId="77777777" w:rsidTr="009C14A4">
        <w:trPr>
          <w:trHeight w:val="20"/>
          <w:jc w:val="center"/>
        </w:trPr>
        <w:tc>
          <w:tcPr>
            <w:tcW w:w="256" w:type="pct"/>
            <w:vMerge/>
          </w:tcPr>
          <w:p w14:paraId="7CF0272E" w14:textId="77777777" w:rsidR="00287EAA" w:rsidRPr="00A416C3" w:rsidRDefault="00287EAA" w:rsidP="00BE18F3">
            <w:pPr>
              <w:rPr>
                <w:lang w:val="es-MX" w:eastAsia="ar-SA"/>
              </w:rPr>
            </w:pPr>
          </w:p>
        </w:tc>
        <w:tc>
          <w:tcPr>
            <w:tcW w:w="870" w:type="pct"/>
            <w:vAlign w:val="center"/>
          </w:tcPr>
          <w:p w14:paraId="241C008E" w14:textId="77777777" w:rsidR="00287EAA" w:rsidRPr="006615CA" w:rsidRDefault="00287EAA" w:rsidP="009C14A4">
            <w:pPr>
              <w:jc w:val="left"/>
              <w:rPr>
                <w:lang w:val="es-MX" w:eastAsia="ar-SA"/>
              </w:rPr>
            </w:pPr>
            <w:r w:rsidRPr="006615CA">
              <w:rPr>
                <w:lang w:val="es-MX" w:eastAsia="ar-SA"/>
              </w:rPr>
              <w:t>Cargo</w:t>
            </w:r>
          </w:p>
        </w:tc>
        <w:tc>
          <w:tcPr>
            <w:tcW w:w="3874" w:type="pct"/>
            <w:vAlign w:val="center"/>
          </w:tcPr>
          <w:p w14:paraId="614E1057" w14:textId="77777777" w:rsidR="00287EAA" w:rsidRPr="00B771A6" w:rsidRDefault="00287EAA" w:rsidP="00BE18F3">
            <w:pPr>
              <w:rPr>
                <w:lang w:eastAsia="ar-SA"/>
              </w:rPr>
            </w:pPr>
          </w:p>
        </w:tc>
      </w:tr>
      <w:tr w:rsidR="00287EAA" w:rsidRPr="00A15977" w14:paraId="3D3F5C52" w14:textId="77777777" w:rsidTr="009C14A4">
        <w:trPr>
          <w:trHeight w:val="20"/>
          <w:jc w:val="center"/>
        </w:trPr>
        <w:tc>
          <w:tcPr>
            <w:tcW w:w="256" w:type="pct"/>
            <w:vMerge/>
          </w:tcPr>
          <w:p w14:paraId="4576F562" w14:textId="77777777" w:rsidR="00287EAA" w:rsidRPr="00A416C3" w:rsidRDefault="00287EAA" w:rsidP="00BE18F3">
            <w:pPr>
              <w:rPr>
                <w:lang w:val="es-MX" w:eastAsia="ar-SA"/>
              </w:rPr>
            </w:pPr>
          </w:p>
        </w:tc>
        <w:tc>
          <w:tcPr>
            <w:tcW w:w="870" w:type="pct"/>
            <w:vAlign w:val="center"/>
          </w:tcPr>
          <w:p w14:paraId="7FB09C7F" w14:textId="77777777" w:rsidR="00287EAA" w:rsidRPr="006615CA" w:rsidRDefault="00287EAA" w:rsidP="009C14A4">
            <w:pPr>
              <w:jc w:val="left"/>
              <w:rPr>
                <w:lang w:eastAsia="ar-SA"/>
              </w:rPr>
            </w:pPr>
            <w:r w:rsidRPr="006615CA">
              <w:rPr>
                <w:lang w:eastAsia="ar-SA"/>
              </w:rPr>
              <w:t>Correo electrónico</w:t>
            </w:r>
          </w:p>
        </w:tc>
        <w:tc>
          <w:tcPr>
            <w:tcW w:w="3874" w:type="pct"/>
            <w:vAlign w:val="center"/>
          </w:tcPr>
          <w:p w14:paraId="3570A38E" w14:textId="77777777" w:rsidR="00287EAA" w:rsidRPr="00B771A6" w:rsidRDefault="00287EAA" w:rsidP="00BE18F3">
            <w:pPr>
              <w:rPr>
                <w:sz w:val="20"/>
                <w:lang w:eastAsia="ar-SA"/>
              </w:rPr>
            </w:pPr>
          </w:p>
        </w:tc>
      </w:tr>
      <w:tr w:rsidR="00287EAA" w:rsidRPr="00A15977" w14:paraId="726B19DF" w14:textId="77777777" w:rsidTr="009C14A4">
        <w:trPr>
          <w:trHeight w:val="20"/>
          <w:jc w:val="center"/>
        </w:trPr>
        <w:tc>
          <w:tcPr>
            <w:tcW w:w="256" w:type="pct"/>
            <w:vMerge/>
          </w:tcPr>
          <w:p w14:paraId="42C5988B" w14:textId="77777777" w:rsidR="00287EAA" w:rsidRPr="00A416C3" w:rsidRDefault="00287EAA" w:rsidP="00BE18F3">
            <w:pPr>
              <w:rPr>
                <w:lang w:val="es-MX" w:eastAsia="ar-SA"/>
              </w:rPr>
            </w:pPr>
          </w:p>
        </w:tc>
        <w:tc>
          <w:tcPr>
            <w:tcW w:w="870" w:type="pct"/>
            <w:vAlign w:val="center"/>
          </w:tcPr>
          <w:p w14:paraId="3179F5C6" w14:textId="77777777" w:rsidR="00287EAA" w:rsidRPr="006615CA" w:rsidRDefault="00287EAA" w:rsidP="009C14A4">
            <w:pPr>
              <w:jc w:val="left"/>
              <w:rPr>
                <w:lang w:val="es-MX" w:eastAsia="ar-SA"/>
              </w:rPr>
            </w:pPr>
            <w:r w:rsidRPr="006615CA">
              <w:rPr>
                <w:lang w:val="es-MX" w:eastAsia="ar-SA"/>
              </w:rPr>
              <w:t>Teléfono</w:t>
            </w:r>
          </w:p>
        </w:tc>
        <w:tc>
          <w:tcPr>
            <w:tcW w:w="3874" w:type="pct"/>
            <w:vAlign w:val="center"/>
          </w:tcPr>
          <w:p w14:paraId="2ED66846" w14:textId="77777777" w:rsidR="00287EAA" w:rsidRPr="00B771A6" w:rsidRDefault="00287EAA" w:rsidP="00BE18F3">
            <w:pPr>
              <w:rPr>
                <w:lang w:eastAsia="ar-SA"/>
              </w:rPr>
            </w:pPr>
          </w:p>
        </w:tc>
      </w:tr>
      <w:tr w:rsidR="00287EAA" w:rsidRPr="007E60E5" w14:paraId="25CDDA65" w14:textId="77777777" w:rsidTr="009C14A4">
        <w:trPr>
          <w:trHeight w:val="20"/>
          <w:jc w:val="center"/>
        </w:trPr>
        <w:tc>
          <w:tcPr>
            <w:tcW w:w="256" w:type="pct"/>
            <w:vMerge/>
          </w:tcPr>
          <w:p w14:paraId="11CC750E" w14:textId="77777777" w:rsidR="00287EAA" w:rsidRPr="00A416C3" w:rsidRDefault="00287EAA" w:rsidP="00BE18F3">
            <w:pPr>
              <w:rPr>
                <w:lang w:val="es-MX" w:eastAsia="ar-SA"/>
              </w:rPr>
            </w:pPr>
          </w:p>
        </w:tc>
        <w:tc>
          <w:tcPr>
            <w:tcW w:w="870" w:type="pct"/>
            <w:vAlign w:val="center"/>
          </w:tcPr>
          <w:p w14:paraId="6BB34312" w14:textId="77777777" w:rsidR="00287EAA" w:rsidRPr="006615CA" w:rsidRDefault="00287EAA" w:rsidP="00BE18F3">
            <w:pPr>
              <w:rPr>
                <w:lang w:val="es-MX" w:eastAsia="ar-SA"/>
              </w:rPr>
            </w:pPr>
            <w:r w:rsidRPr="006615CA">
              <w:rPr>
                <w:lang w:val="es-MX" w:eastAsia="ar-SA"/>
              </w:rPr>
              <w:t>Dirección</w:t>
            </w:r>
          </w:p>
        </w:tc>
        <w:tc>
          <w:tcPr>
            <w:tcW w:w="3874" w:type="pct"/>
            <w:vAlign w:val="center"/>
          </w:tcPr>
          <w:p w14:paraId="5720F117" w14:textId="77777777" w:rsidR="00287EAA" w:rsidRPr="00B771A6" w:rsidRDefault="00287EAA" w:rsidP="00BE18F3">
            <w:pPr>
              <w:rPr>
                <w:lang w:eastAsia="ar-SA"/>
              </w:rPr>
            </w:pPr>
          </w:p>
        </w:tc>
      </w:tr>
    </w:tbl>
    <w:p w14:paraId="654022C4" w14:textId="77777777" w:rsidR="005F185A" w:rsidRDefault="005F185A"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3"/>
        <w:gridCol w:w="1878"/>
        <w:gridCol w:w="8363"/>
      </w:tblGrid>
      <w:tr w:rsidR="009214B8" w:rsidRPr="00A15977" w14:paraId="75DC8CD1" w14:textId="77777777" w:rsidTr="008A088B">
        <w:trPr>
          <w:trHeight w:val="20"/>
          <w:jc w:val="center"/>
        </w:trPr>
        <w:tc>
          <w:tcPr>
            <w:tcW w:w="5000" w:type="pct"/>
            <w:gridSpan w:val="3"/>
            <w:vAlign w:val="center"/>
          </w:tcPr>
          <w:p w14:paraId="68829D61" w14:textId="77777777"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14:paraId="341AA52B" w14:textId="77777777" w:rsidTr="008A088B">
        <w:trPr>
          <w:trHeight w:val="20"/>
          <w:jc w:val="center"/>
        </w:trPr>
        <w:tc>
          <w:tcPr>
            <w:tcW w:w="256" w:type="pct"/>
            <w:vMerge w:val="restart"/>
            <w:vAlign w:val="center"/>
          </w:tcPr>
          <w:p w14:paraId="2913346C" w14:textId="77777777" w:rsidR="009214B8" w:rsidRPr="00A416C3" w:rsidRDefault="009214B8" w:rsidP="008A088B">
            <w:pPr>
              <w:rPr>
                <w:lang w:val="es-MX" w:eastAsia="ar-SA"/>
              </w:rPr>
            </w:pPr>
            <w:r>
              <w:rPr>
                <w:lang w:val="es-MX" w:eastAsia="ar-SA"/>
              </w:rPr>
              <w:t>1</w:t>
            </w:r>
          </w:p>
        </w:tc>
        <w:tc>
          <w:tcPr>
            <w:tcW w:w="870" w:type="pct"/>
            <w:vAlign w:val="center"/>
          </w:tcPr>
          <w:p w14:paraId="60CEEEDF" w14:textId="77777777" w:rsidR="009214B8" w:rsidRPr="00746D28" w:rsidRDefault="009214B8" w:rsidP="008A088B">
            <w:pPr>
              <w:pStyle w:val="Ttulo4"/>
              <w:jc w:val="left"/>
            </w:pPr>
            <w:r w:rsidRPr="00746D28">
              <w:t>Entidad</w:t>
            </w:r>
          </w:p>
        </w:tc>
        <w:tc>
          <w:tcPr>
            <w:tcW w:w="3874" w:type="pct"/>
            <w:vAlign w:val="center"/>
          </w:tcPr>
          <w:p w14:paraId="7DAEC078" w14:textId="77777777" w:rsidR="009214B8" w:rsidRDefault="009214B8" w:rsidP="009214B8">
            <w:r>
              <w:rPr>
                <w:lang w:eastAsia="ar-SA"/>
              </w:rPr>
              <w:t>Ministerio de Ambiente y Desarrollo Sostenible MADS</w:t>
            </w:r>
          </w:p>
        </w:tc>
      </w:tr>
      <w:tr w:rsidR="009214B8" w:rsidRPr="00A15977" w14:paraId="1CC4F317" w14:textId="77777777" w:rsidTr="008A088B">
        <w:trPr>
          <w:trHeight w:val="20"/>
          <w:jc w:val="center"/>
        </w:trPr>
        <w:tc>
          <w:tcPr>
            <w:tcW w:w="256" w:type="pct"/>
            <w:vMerge/>
          </w:tcPr>
          <w:p w14:paraId="7D3F39E9" w14:textId="77777777" w:rsidR="009214B8" w:rsidRPr="00A416C3" w:rsidRDefault="009214B8" w:rsidP="008A088B">
            <w:pPr>
              <w:rPr>
                <w:lang w:val="es-MX" w:eastAsia="ar-SA"/>
              </w:rPr>
            </w:pPr>
          </w:p>
        </w:tc>
        <w:tc>
          <w:tcPr>
            <w:tcW w:w="870" w:type="pct"/>
            <w:vAlign w:val="center"/>
          </w:tcPr>
          <w:p w14:paraId="7D9D90EF" w14:textId="77777777" w:rsidR="009214B8" w:rsidRPr="006615CA" w:rsidRDefault="009214B8" w:rsidP="008A088B">
            <w:pPr>
              <w:jc w:val="left"/>
              <w:rPr>
                <w:lang w:val="es-MX" w:eastAsia="ar-SA"/>
              </w:rPr>
            </w:pPr>
            <w:r w:rsidRPr="006615CA">
              <w:rPr>
                <w:lang w:val="es-MX" w:eastAsia="ar-SA"/>
              </w:rPr>
              <w:t>Dependencia</w:t>
            </w:r>
          </w:p>
        </w:tc>
        <w:tc>
          <w:tcPr>
            <w:tcW w:w="3874" w:type="pct"/>
            <w:vAlign w:val="center"/>
          </w:tcPr>
          <w:p w14:paraId="20CE133E" w14:textId="77777777" w:rsidR="009214B8" w:rsidRDefault="00490676" w:rsidP="00490676">
            <w:r>
              <w:rPr>
                <w:lang w:eastAsia="ar-SA"/>
              </w:rPr>
              <w:t xml:space="preserve">Dirección </w:t>
            </w:r>
            <w:r w:rsidRPr="00490676">
              <w:rPr>
                <w:lang w:eastAsia="ar-SA"/>
              </w:rPr>
              <w:t>de Ordenamiento Territorial y Coordinación del Sistema Ambiental - SINA</w:t>
            </w:r>
          </w:p>
        </w:tc>
      </w:tr>
      <w:tr w:rsidR="009214B8" w:rsidRPr="00A15977" w14:paraId="53546D11" w14:textId="77777777" w:rsidTr="008A088B">
        <w:trPr>
          <w:trHeight w:val="20"/>
          <w:jc w:val="center"/>
        </w:trPr>
        <w:tc>
          <w:tcPr>
            <w:tcW w:w="256" w:type="pct"/>
            <w:vMerge/>
          </w:tcPr>
          <w:p w14:paraId="4AAE6A5C" w14:textId="77777777" w:rsidR="009214B8" w:rsidRPr="00A416C3" w:rsidRDefault="009214B8" w:rsidP="008A088B">
            <w:pPr>
              <w:rPr>
                <w:lang w:val="es-MX" w:eastAsia="ar-SA"/>
              </w:rPr>
            </w:pPr>
          </w:p>
        </w:tc>
        <w:tc>
          <w:tcPr>
            <w:tcW w:w="870" w:type="pct"/>
            <w:vAlign w:val="center"/>
          </w:tcPr>
          <w:p w14:paraId="20331D52" w14:textId="77777777" w:rsidR="009214B8" w:rsidRPr="006615CA" w:rsidRDefault="009214B8" w:rsidP="008A088B">
            <w:pPr>
              <w:jc w:val="left"/>
              <w:rPr>
                <w:lang w:val="es-MX" w:eastAsia="ar-SA"/>
              </w:rPr>
            </w:pPr>
            <w:r w:rsidRPr="006615CA">
              <w:rPr>
                <w:lang w:val="es-MX" w:eastAsia="ar-SA"/>
              </w:rPr>
              <w:t>Nombre del funcionario</w:t>
            </w:r>
          </w:p>
        </w:tc>
        <w:tc>
          <w:tcPr>
            <w:tcW w:w="3874" w:type="pct"/>
            <w:vAlign w:val="center"/>
          </w:tcPr>
          <w:p w14:paraId="63F89AB8" w14:textId="77777777" w:rsidR="009214B8" w:rsidRPr="00B771A6" w:rsidRDefault="009214B8" w:rsidP="008A088B">
            <w:pPr>
              <w:rPr>
                <w:lang w:eastAsia="ar-SA"/>
              </w:rPr>
            </w:pPr>
          </w:p>
        </w:tc>
      </w:tr>
      <w:tr w:rsidR="009214B8" w:rsidRPr="00A15977" w14:paraId="284F8B6B" w14:textId="77777777" w:rsidTr="008A088B">
        <w:trPr>
          <w:trHeight w:val="20"/>
          <w:jc w:val="center"/>
        </w:trPr>
        <w:tc>
          <w:tcPr>
            <w:tcW w:w="256" w:type="pct"/>
            <w:vMerge/>
          </w:tcPr>
          <w:p w14:paraId="68E9186A" w14:textId="77777777" w:rsidR="009214B8" w:rsidRPr="00A416C3" w:rsidRDefault="009214B8" w:rsidP="008A088B">
            <w:pPr>
              <w:rPr>
                <w:lang w:val="es-MX" w:eastAsia="ar-SA"/>
              </w:rPr>
            </w:pPr>
          </w:p>
        </w:tc>
        <w:tc>
          <w:tcPr>
            <w:tcW w:w="870" w:type="pct"/>
            <w:vAlign w:val="center"/>
          </w:tcPr>
          <w:p w14:paraId="515A8248" w14:textId="77777777" w:rsidR="009214B8" w:rsidRPr="006615CA" w:rsidRDefault="009214B8" w:rsidP="008A088B">
            <w:pPr>
              <w:jc w:val="left"/>
              <w:rPr>
                <w:lang w:val="es-MX" w:eastAsia="ar-SA"/>
              </w:rPr>
            </w:pPr>
            <w:r w:rsidRPr="006615CA">
              <w:rPr>
                <w:lang w:val="es-MX" w:eastAsia="ar-SA"/>
              </w:rPr>
              <w:t>Cargo</w:t>
            </w:r>
          </w:p>
        </w:tc>
        <w:tc>
          <w:tcPr>
            <w:tcW w:w="3874" w:type="pct"/>
            <w:vAlign w:val="center"/>
          </w:tcPr>
          <w:p w14:paraId="1844F3F4" w14:textId="77777777" w:rsidR="009214B8" w:rsidRPr="00B771A6" w:rsidRDefault="009214B8" w:rsidP="008A088B">
            <w:pPr>
              <w:rPr>
                <w:lang w:eastAsia="ar-SA"/>
              </w:rPr>
            </w:pPr>
          </w:p>
        </w:tc>
      </w:tr>
      <w:tr w:rsidR="009214B8" w:rsidRPr="00A15977" w14:paraId="678151AA" w14:textId="77777777" w:rsidTr="008A088B">
        <w:trPr>
          <w:trHeight w:val="20"/>
          <w:jc w:val="center"/>
        </w:trPr>
        <w:tc>
          <w:tcPr>
            <w:tcW w:w="256" w:type="pct"/>
            <w:vMerge/>
          </w:tcPr>
          <w:p w14:paraId="0EA44F0E" w14:textId="77777777" w:rsidR="009214B8" w:rsidRPr="00A416C3" w:rsidRDefault="009214B8" w:rsidP="008A088B">
            <w:pPr>
              <w:rPr>
                <w:lang w:val="es-MX" w:eastAsia="ar-SA"/>
              </w:rPr>
            </w:pPr>
          </w:p>
        </w:tc>
        <w:tc>
          <w:tcPr>
            <w:tcW w:w="870" w:type="pct"/>
            <w:vAlign w:val="center"/>
          </w:tcPr>
          <w:p w14:paraId="507994FE" w14:textId="77777777" w:rsidR="009214B8" w:rsidRPr="006615CA" w:rsidRDefault="009214B8" w:rsidP="008A088B">
            <w:pPr>
              <w:jc w:val="left"/>
              <w:rPr>
                <w:lang w:eastAsia="ar-SA"/>
              </w:rPr>
            </w:pPr>
            <w:r w:rsidRPr="006615CA">
              <w:rPr>
                <w:lang w:eastAsia="ar-SA"/>
              </w:rPr>
              <w:t>Correo electrónico</w:t>
            </w:r>
          </w:p>
        </w:tc>
        <w:tc>
          <w:tcPr>
            <w:tcW w:w="3874" w:type="pct"/>
            <w:vAlign w:val="center"/>
          </w:tcPr>
          <w:p w14:paraId="6355A3FF" w14:textId="77777777" w:rsidR="009214B8" w:rsidRPr="00B771A6" w:rsidRDefault="009214B8" w:rsidP="008A088B">
            <w:pPr>
              <w:rPr>
                <w:sz w:val="20"/>
                <w:lang w:eastAsia="ar-SA"/>
              </w:rPr>
            </w:pPr>
          </w:p>
        </w:tc>
      </w:tr>
      <w:tr w:rsidR="009214B8" w:rsidRPr="00A15977" w14:paraId="4654297C" w14:textId="77777777" w:rsidTr="008A088B">
        <w:trPr>
          <w:trHeight w:val="20"/>
          <w:jc w:val="center"/>
        </w:trPr>
        <w:tc>
          <w:tcPr>
            <w:tcW w:w="256" w:type="pct"/>
            <w:vMerge/>
          </w:tcPr>
          <w:p w14:paraId="6726D367" w14:textId="77777777" w:rsidR="009214B8" w:rsidRPr="00A416C3" w:rsidRDefault="009214B8" w:rsidP="008A088B">
            <w:pPr>
              <w:rPr>
                <w:lang w:val="es-MX" w:eastAsia="ar-SA"/>
              </w:rPr>
            </w:pPr>
          </w:p>
        </w:tc>
        <w:tc>
          <w:tcPr>
            <w:tcW w:w="870" w:type="pct"/>
            <w:vAlign w:val="center"/>
          </w:tcPr>
          <w:p w14:paraId="5788FECB" w14:textId="77777777" w:rsidR="009214B8" w:rsidRPr="006615CA" w:rsidRDefault="009214B8" w:rsidP="008A088B">
            <w:pPr>
              <w:jc w:val="left"/>
              <w:rPr>
                <w:lang w:val="es-MX" w:eastAsia="ar-SA"/>
              </w:rPr>
            </w:pPr>
            <w:r w:rsidRPr="006615CA">
              <w:rPr>
                <w:lang w:val="es-MX" w:eastAsia="ar-SA"/>
              </w:rPr>
              <w:t>Teléfono</w:t>
            </w:r>
          </w:p>
        </w:tc>
        <w:tc>
          <w:tcPr>
            <w:tcW w:w="3874" w:type="pct"/>
            <w:vAlign w:val="center"/>
          </w:tcPr>
          <w:p w14:paraId="3DA38C8F" w14:textId="77777777" w:rsidR="009214B8" w:rsidRPr="00B771A6" w:rsidRDefault="009214B8" w:rsidP="008A088B">
            <w:pPr>
              <w:rPr>
                <w:lang w:eastAsia="ar-SA"/>
              </w:rPr>
            </w:pPr>
          </w:p>
        </w:tc>
      </w:tr>
      <w:tr w:rsidR="009214B8" w:rsidRPr="007E60E5" w14:paraId="2B6BBCA8" w14:textId="77777777" w:rsidTr="008A088B">
        <w:trPr>
          <w:trHeight w:val="20"/>
          <w:jc w:val="center"/>
        </w:trPr>
        <w:tc>
          <w:tcPr>
            <w:tcW w:w="256" w:type="pct"/>
            <w:vMerge/>
          </w:tcPr>
          <w:p w14:paraId="25C8443A" w14:textId="77777777" w:rsidR="009214B8" w:rsidRPr="00A416C3" w:rsidRDefault="009214B8" w:rsidP="008A088B">
            <w:pPr>
              <w:rPr>
                <w:lang w:val="es-MX" w:eastAsia="ar-SA"/>
              </w:rPr>
            </w:pPr>
          </w:p>
        </w:tc>
        <w:tc>
          <w:tcPr>
            <w:tcW w:w="870" w:type="pct"/>
            <w:vAlign w:val="center"/>
          </w:tcPr>
          <w:p w14:paraId="0EEE382B" w14:textId="77777777" w:rsidR="009214B8" w:rsidRPr="006615CA" w:rsidRDefault="009214B8" w:rsidP="008A088B">
            <w:pPr>
              <w:rPr>
                <w:lang w:val="es-MX" w:eastAsia="ar-SA"/>
              </w:rPr>
            </w:pPr>
            <w:r w:rsidRPr="006615CA">
              <w:rPr>
                <w:lang w:val="es-MX" w:eastAsia="ar-SA"/>
              </w:rPr>
              <w:t>Dirección</w:t>
            </w:r>
          </w:p>
        </w:tc>
        <w:tc>
          <w:tcPr>
            <w:tcW w:w="3874" w:type="pct"/>
            <w:vAlign w:val="center"/>
          </w:tcPr>
          <w:p w14:paraId="63ED8DF4" w14:textId="77777777" w:rsidR="009214B8" w:rsidRPr="00B771A6" w:rsidRDefault="009214B8" w:rsidP="008A088B">
            <w:pPr>
              <w:rPr>
                <w:lang w:eastAsia="ar-SA"/>
              </w:rPr>
            </w:pPr>
          </w:p>
        </w:tc>
      </w:tr>
    </w:tbl>
    <w:p w14:paraId="5F314BE6" w14:textId="77777777" w:rsidR="009214B8" w:rsidRDefault="009214B8"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95"/>
        <w:gridCol w:w="835"/>
        <w:gridCol w:w="6081"/>
        <w:gridCol w:w="3083"/>
      </w:tblGrid>
      <w:tr w:rsidR="00FD029B" w:rsidRPr="002224EE" w14:paraId="1D89C922" w14:textId="77777777" w:rsidTr="00096B75">
        <w:trPr>
          <w:trHeight w:val="20"/>
          <w:jc w:val="center"/>
        </w:trPr>
        <w:tc>
          <w:tcPr>
            <w:tcW w:w="5000" w:type="pct"/>
            <w:gridSpan w:val="4"/>
            <w:vAlign w:val="center"/>
          </w:tcPr>
          <w:p w14:paraId="0139B2B7" w14:textId="77777777" w:rsidR="00FD029B" w:rsidRPr="00653933" w:rsidRDefault="00FD029B" w:rsidP="00BE18F3">
            <w:pPr>
              <w:pStyle w:val="Ttulo7"/>
              <w:rPr>
                <w:i/>
                <w:sz w:val="18"/>
                <w:szCs w:val="22"/>
                <w:u w:val="none"/>
                <w:lang w:val="es-MX" w:eastAsia="en-US"/>
              </w:rPr>
            </w:pPr>
            <w:r w:rsidRPr="00D77866">
              <w:t>Información sobre la Hoja Metodológica</w:t>
            </w:r>
            <w:r>
              <w:t xml:space="preserve"> </w:t>
            </w:r>
          </w:p>
        </w:tc>
      </w:tr>
      <w:tr w:rsidR="007223F6" w:rsidRPr="00B771A6" w14:paraId="467BDB08" w14:textId="77777777" w:rsidTr="00490676">
        <w:trPr>
          <w:trHeight w:val="20"/>
          <w:jc w:val="center"/>
        </w:trPr>
        <w:tc>
          <w:tcPr>
            <w:tcW w:w="368" w:type="pct"/>
            <w:vAlign w:val="center"/>
          </w:tcPr>
          <w:p w14:paraId="49F5EF19" w14:textId="77777777" w:rsidR="00FD029B" w:rsidRPr="005317D5" w:rsidRDefault="00FD029B" w:rsidP="00BE18F3">
            <w:pPr>
              <w:rPr>
                <w:bCs/>
              </w:rPr>
            </w:pPr>
            <w:r w:rsidRPr="005317D5">
              <w:rPr>
                <w:lang w:val="es-ES"/>
              </w:rPr>
              <w:t>Fecha</w:t>
            </w:r>
          </w:p>
        </w:tc>
        <w:tc>
          <w:tcPr>
            <w:tcW w:w="387" w:type="pct"/>
            <w:vAlign w:val="center"/>
          </w:tcPr>
          <w:p w14:paraId="7AE27DF0" w14:textId="77777777" w:rsidR="00FD029B" w:rsidRPr="005317D5" w:rsidRDefault="00FD029B" w:rsidP="00BE18F3">
            <w:pPr>
              <w:rPr>
                <w:lang w:val="es-ES"/>
              </w:rPr>
            </w:pPr>
            <w:r w:rsidRPr="005317D5">
              <w:rPr>
                <w:lang w:val="es-ES"/>
              </w:rPr>
              <w:t>Versión</w:t>
            </w:r>
          </w:p>
        </w:tc>
        <w:tc>
          <w:tcPr>
            <w:tcW w:w="2817" w:type="pct"/>
            <w:vAlign w:val="center"/>
          </w:tcPr>
          <w:p w14:paraId="5E065F44" w14:textId="77777777" w:rsidR="00FD029B" w:rsidRPr="005317D5" w:rsidRDefault="00FD029B" w:rsidP="00BE18F3">
            <w:pPr>
              <w:rPr>
                <w:lang w:val="es-MX" w:eastAsia="ar-SA"/>
              </w:rPr>
            </w:pPr>
            <w:r w:rsidRPr="005317D5">
              <w:rPr>
                <w:lang w:val="es-ES"/>
              </w:rPr>
              <w:t>Datos del autor o de quien ajustó la hoja metodológica</w:t>
            </w:r>
          </w:p>
        </w:tc>
        <w:tc>
          <w:tcPr>
            <w:tcW w:w="1428" w:type="pct"/>
            <w:vAlign w:val="center"/>
          </w:tcPr>
          <w:p w14:paraId="35818FF1" w14:textId="77777777" w:rsidR="00FD029B" w:rsidRPr="005317D5" w:rsidRDefault="00FD029B" w:rsidP="00BE18F3">
            <w:pPr>
              <w:rPr>
                <w:lang w:val="es-ES"/>
              </w:rPr>
            </w:pPr>
            <w:r>
              <w:rPr>
                <w:lang w:val="es-ES"/>
              </w:rPr>
              <w:t>Descripción de los ajustes</w:t>
            </w:r>
          </w:p>
        </w:tc>
      </w:tr>
      <w:tr w:rsidR="007223F6" w:rsidRPr="0093050D" w14:paraId="3440A464" w14:textId="77777777" w:rsidTr="00490676">
        <w:trPr>
          <w:trHeight w:val="20"/>
          <w:jc w:val="center"/>
        </w:trPr>
        <w:tc>
          <w:tcPr>
            <w:tcW w:w="368" w:type="pct"/>
            <w:vAlign w:val="center"/>
          </w:tcPr>
          <w:p w14:paraId="188E8A84" w14:textId="77777777"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7" w:type="pct"/>
            <w:vAlign w:val="center"/>
          </w:tcPr>
          <w:p w14:paraId="2F649DCE" w14:textId="77777777" w:rsidR="00FD029B" w:rsidRPr="0093050D" w:rsidRDefault="00854054" w:rsidP="00BE18F3">
            <w:pPr>
              <w:rPr>
                <w:lang w:val="es-MX"/>
              </w:rPr>
            </w:pPr>
            <w:r>
              <w:rPr>
                <w:lang w:val="es-MX"/>
              </w:rPr>
              <w:t>0</w:t>
            </w:r>
            <w:r w:rsidR="00490676">
              <w:rPr>
                <w:lang w:val="es-MX"/>
              </w:rPr>
              <w:t>,01</w:t>
            </w:r>
            <w:r w:rsidR="00FD029B" w:rsidRPr="0093050D">
              <w:rPr>
                <w:lang w:val="es-MX"/>
              </w:rPr>
              <w:t xml:space="preserve"> </w:t>
            </w:r>
          </w:p>
        </w:tc>
        <w:tc>
          <w:tcPr>
            <w:tcW w:w="2817" w:type="pct"/>
          </w:tcPr>
          <w:p w14:paraId="4206B5FD" w14:textId="77777777" w:rsidR="00490676" w:rsidRDefault="00FD029B" w:rsidP="00096B75">
            <w:pPr>
              <w:spacing w:after="0"/>
              <w:rPr>
                <w:i/>
                <w:lang w:val="es-ES"/>
              </w:rPr>
            </w:pPr>
            <w:r w:rsidRPr="0093050D">
              <w:rPr>
                <w:lang w:val="es-ES"/>
              </w:rPr>
              <w:t>Nombre funcionario:</w:t>
            </w:r>
            <w:r w:rsidRPr="0093050D">
              <w:rPr>
                <w:i/>
                <w:lang w:val="es-ES"/>
              </w:rPr>
              <w:t xml:space="preserve"> </w:t>
            </w:r>
          </w:p>
          <w:p w14:paraId="16806FB2" w14:textId="77777777" w:rsidR="00FD029B" w:rsidRPr="0093050D" w:rsidRDefault="00FD029B" w:rsidP="00096B75">
            <w:pPr>
              <w:spacing w:after="0"/>
              <w:rPr>
                <w:lang w:val="es-MX" w:eastAsia="ar-SA"/>
              </w:rPr>
            </w:pPr>
            <w:r w:rsidRPr="0093050D">
              <w:rPr>
                <w:lang w:val="es-ES"/>
              </w:rPr>
              <w:t>Cargo:</w:t>
            </w:r>
            <w:r w:rsidR="00096B75">
              <w:rPr>
                <w:lang w:val="es-ES"/>
              </w:rPr>
              <w:t xml:space="preserve"> </w:t>
            </w:r>
          </w:p>
          <w:p w14:paraId="5849CFC3" w14:textId="77777777" w:rsidR="00FD029B" w:rsidRPr="0093050D" w:rsidRDefault="00FD029B" w:rsidP="00096B75">
            <w:pPr>
              <w:spacing w:after="0"/>
              <w:rPr>
                <w:lang w:eastAsia="ar-SA"/>
              </w:rPr>
            </w:pPr>
            <w:r w:rsidRPr="0093050D">
              <w:rPr>
                <w:lang w:val="es-ES"/>
              </w:rPr>
              <w:t>Dependencia:</w:t>
            </w:r>
            <w:r w:rsidR="00096B75">
              <w:rPr>
                <w:lang w:val="es-ES"/>
              </w:rPr>
              <w:t xml:space="preserve"> </w:t>
            </w:r>
          </w:p>
          <w:p w14:paraId="22B44C59" w14:textId="77777777" w:rsidR="00490676" w:rsidRDefault="00FD029B" w:rsidP="00096B75">
            <w:pPr>
              <w:spacing w:after="0"/>
              <w:rPr>
                <w:lang w:eastAsia="ar-SA"/>
              </w:rPr>
            </w:pPr>
            <w:r w:rsidRPr="0093050D">
              <w:rPr>
                <w:lang w:val="es-ES"/>
              </w:rPr>
              <w:t>Entidad:</w:t>
            </w:r>
            <w:r w:rsidRPr="0093050D">
              <w:rPr>
                <w:i/>
                <w:lang w:val="es-ES"/>
              </w:rPr>
              <w:t xml:space="preserve"> </w:t>
            </w:r>
          </w:p>
          <w:p w14:paraId="79E1CA5F" w14:textId="77777777" w:rsidR="00FD029B" w:rsidRPr="0093050D" w:rsidRDefault="00FD029B" w:rsidP="00096B75">
            <w:pPr>
              <w:spacing w:after="0"/>
              <w:rPr>
                <w:lang w:val="es-MX" w:eastAsia="ar-SA"/>
              </w:rPr>
            </w:pPr>
            <w:r w:rsidRPr="0093050D">
              <w:rPr>
                <w:lang w:val="es-ES"/>
              </w:rPr>
              <w:t>Correo electrónico:</w:t>
            </w:r>
            <w:r w:rsidRPr="0093050D">
              <w:rPr>
                <w:i/>
                <w:lang w:val="es-ES"/>
              </w:rPr>
              <w:t xml:space="preserve"> </w:t>
            </w:r>
          </w:p>
          <w:p w14:paraId="661D88C2" w14:textId="77777777" w:rsidR="00FD029B" w:rsidRPr="0093050D" w:rsidRDefault="00FD029B" w:rsidP="00096B75">
            <w:pPr>
              <w:spacing w:after="0"/>
              <w:rPr>
                <w:lang w:val="es-MX" w:eastAsia="ar-SA"/>
              </w:rPr>
            </w:pPr>
            <w:r w:rsidRPr="0093050D">
              <w:rPr>
                <w:lang w:val="es-ES"/>
              </w:rPr>
              <w:t>Teléfono:</w:t>
            </w:r>
            <w:r w:rsidRPr="0093050D">
              <w:t xml:space="preserve"> </w:t>
            </w:r>
          </w:p>
          <w:p w14:paraId="16146A33" w14:textId="77777777" w:rsidR="00FD029B" w:rsidRPr="0093050D" w:rsidRDefault="00FD029B" w:rsidP="00BE18F3">
            <w:pPr>
              <w:rPr>
                <w:lang w:eastAsia="ar-SA"/>
              </w:rPr>
            </w:pPr>
            <w:r w:rsidRPr="0093050D">
              <w:rPr>
                <w:lang w:val="es-ES"/>
              </w:rPr>
              <w:t>Dirección:</w:t>
            </w:r>
            <w:r w:rsidRPr="0093050D">
              <w:rPr>
                <w:i/>
                <w:lang w:val="es-ES"/>
              </w:rPr>
              <w:t xml:space="preserve"> </w:t>
            </w:r>
          </w:p>
          <w:p w14:paraId="283AD356" w14:textId="552D2348" w:rsidR="00FD029B" w:rsidRPr="0093050D" w:rsidRDefault="00FD029B" w:rsidP="00464D5A">
            <w:pPr>
              <w:rPr>
                <w:i/>
                <w:lang w:eastAsia="ar-SA"/>
              </w:rPr>
            </w:pPr>
            <w:r w:rsidRPr="0093050D">
              <w:rPr>
                <w:b/>
                <w:lang w:val="es-ES"/>
              </w:rPr>
              <w:t>Cítese como:</w:t>
            </w:r>
            <w:r w:rsidR="00E90833">
              <w:rPr>
                <w:lang w:eastAsia="ar-SA"/>
              </w:rPr>
              <w:t xml:space="preserve"> MADS</w:t>
            </w:r>
            <w:r w:rsidR="00490676">
              <w:rPr>
                <w:lang w:eastAsia="ar-SA"/>
              </w:rPr>
              <w:t xml:space="preserve"> </w:t>
            </w:r>
            <w:r w:rsidRPr="0093050D">
              <w:rPr>
                <w:lang w:eastAsia="ar-SA"/>
              </w:rPr>
              <w:t>(201</w:t>
            </w:r>
            <w:r w:rsidR="00490676">
              <w:rPr>
                <w:lang w:eastAsia="ar-SA"/>
              </w:rPr>
              <w:t>6</w:t>
            </w:r>
            <w:r w:rsidRPr="0093050D">
              <w:rPr>
                <w:lang w:eastAsia="ar-SA"/>
              </w:rPr>
              <w:t xml:space="preserve">). </w:t>
            </w:r>
            <w:r w:rsidRPr="0093050D">
              <w:rPr>
                <w:i/>
                <w:lang w:eastAsia="ar-SA"/>
              </w:rPr>
              <w:t>Hoja metodológica</w:t>
            </w:r>
            <w:r w:rsidR="00FA6FB8">
              <w:rPr>
                <w:i/>
                <w:lang w:eastAsia="ar-SA"/>
              </w:rPr>
              <w:t xml:space="preserve"> de</w:t>
            </w:r>
            <w:r w:rsidR="00464D5A">
              <w:rPr>
                <w:i/>
                <w:lang w:eastAsia="ar-SA"/>
              </w:rPr>
              <w:t xml:space="preserve"> </w:t>
            </w:r>
            <w:r w:rsidR="006A7D55" w:rsidRPr="006A7D55">
              <w:rPr>
                <w:i/>
                <w:lang w:eastAsia="ar-SA"/>
              </w:rPr>
              <w:t xml:space="preserve">Porcentaje de </w:t>
            </w:r>
            <w:r w:rsidR="0076428C">
              <w:rPr>
                <w:i/>
                <w:lang w:eastAsia="ar-SA"/>
              </w:rPr>
              <w:t>Cuerpos de agua con plan</w:t>
            </w:r>
            <w:r w:rsidR="008144BF">
              <w:rPr>
                <w:i/>
                <w:lang w:eastAsia="ar-SA"/>
              </w:rPr>
              <w:t>es</w:t>
            </w:r>
            <w:r w:rsidR="0076428C">
              <w:rPr>
                <w:i/>
                <w:lang w:eastAsia="ar-SA"/>
              </w:rPr>
              <w:t xml:space="preserve"> de ordenamiento del recurso hídrico</w:t>
            </w:r>
            <w:r w:rsidR="007242C2">
              <w:rPr>
                <w:i/>
                <w:lang w:eastAsia="ar-SA"/>
              </w:rPr>
              <w:t xml:space="preserve"> (</w:t>
            </w:r>
            <w:r w:rsidR="0076428C">
              <w:rPr>
                <w:i/>
                <w:lang w:eastAsia="ar-SA"/>
              </w:rPr>
              <w:t>PORH</w:t>
            </w:r>
            <w:r w:rsidR="007242C2">
              <w:rPr>
                <w:i/>
                <w:lang w:eastAsia="ar-SA"/>
              </w:rPr>
              <w:t>)</w:t>
            </w:r>
            <w:r w:rsidR="008144BF">
              <w:rPr>
                <w:i/>
                <w:lang w:eastAsia="ar-SA"/>
              </w:rPr>
              <w:t xml:space="preserve"> adoptados</w:t>
            </w:r>
            <w:r w:rsidR="006A7D55" w:rsidRPr="006A7D55">
              <w:rPr>
                <w:i/>
                <w:lang w:eastAsia="ar-SA"/>
              </w:rPr>
              <w:t xml:space="preserve"> </w:t>
            </w:r>
            <w:r w:rsidRPr="0093050D">
              <w:rPr>
                <w:i/>
                <w:lang w:eastAsia="ar-SA"/>
              </w:rPr>
              <w:t>(Versión 1.0).</w:t>
            </w:r>
            <w:r w:rsidRPr="0093050D">
              <w:rPr>
                <w:lang w:eastAsia="ar-SA"/>
              </w:rPr>
              <w:t xml:space="preserve"> </w:t>
            </w:r>
            <w:r w:rsidR="00490676">
              <w:rPr>
                <w:lang w:eastAsia="ar-SA"/>
              </w:rPr>
              <w:t>Ministerio de Ambie</w:t>
            </w:r>
            <w:r w:rsidR="00464D5A">
              <w:rPr>
                <w:lang w:eastAsia="ar-SA"/>
              </w:rPr>
              <w:t>nte y Des</w:t>
            </w:r>
            <w:r w:rsidR="008D138F">
              <w:rPr>
                <w:lang w:eastAsia="ar-SA"/>
              </w:rPr>
              <w:t>arrollo Sostenible</w:t>
            </w:r>
            <w:r w:rsidR="0069383B" w:rsidRPr="0069383B">
              <w:rPr>
                <w:lang w:eastAsia="ar-SA"/>
              </w:rPr>
              <w:t>, DGOAT-SINA y DRH</w:t>
            </w:r>
            <w:r w:rsidR="00490676">
              <w:rPr>
                <w:lang w:eastAsia="ar-SA"/>
              </w:rPr>
              <w:t>.</w:t>
            </w:r>
          </w:p>
        </w:tc>
        <w:tc>
          <w:tcPr>
            <w:tcW w:w="1428" w:type="pct"/>
            <w:vAlign w:val="center"/>
          </w:tcPr>
          <w:p w14:paraId="73CA558B" w14:textId="77777777" w:rsidR="00FD029B" w:rsidRPr="0093050D" w:rsidRDefault="00FD029B" w:rsidP="00BE18F3">
            <w:pPr>
              <w:rPr>
                <w:lang w:val="es-ES"/>
              </w:rPr>
            </w:pPr>
          </w:p>
        </w:tc>
      </w:tr>
    </w:tbl>
    <w:p w14:paraId="16114143" w14:textId="77777777" w:rsidR="0057505F" w:rsidRDefault="0057505F" w:rsidP="00B003ED">
      <w:pPr>
        <w:pStyle w:val="Sinespaciado1"/>
      </w:pPr>
    </w:p>
    <w:p w14:paraId="25DE1D55" w14:textId="77777777" w:rsidR="00A80616" w:rsidRDefault="00A80616" w:rsidP="00A80616">
      <w:pPr>
        <w:pStyle w:val="Sinespaciado1"/>
      </w:pPr>
    </w:p>
    <w:p w14:paraId="551806B1" w14:textId="77777777" w:rsidR="00A80616" w:rsidRDefault="00A80616" w:rsidP="00A80616">
      <w:pPr>
        <w:pStyle w:val="Sinespaciado1"/>
      </w:pPr>
    </w:p>
    <w:p w14:paraId="15C592B7" w14:textId="715FD797" w:rsidR="00A80616" w:rsidRDefault="00A80616" w:rsidP="00A80616">
      <w:pPr>
        <w:pStyle w:val="Sinespaciado1"/>
      </w:pPr>
      <w:r>
        <w:t>-----------------------------------</w:t>
      </w:r>
      <w:r w:rsidR="00590DBC">
        <w:t>-----------------------------</w:t>
      </w:r>
      <w:r>
        <w:tab/>
      </w:r>
      <w:r>
        <w:tab/>
        <w:t>----------------------------------------------------------------</w:t>
      </w:r>
    </w:p>
    <w:p w14:paraId="579A24DC" w14:textId="2505C6CA" w:rsidR="00A80616" w:rsidRDefault="00A80616" w:rsidP="00A80616">
      <w:pPr>
        <w:pStyle w:val="Sinespaciado1"/>
      </w:pPr>
      <w:r>
        <w:t xml:space="preserve">VoBo </w:t>
      </w:r>
      <w:r w:rsidRPr="00A80616">
        <w:rPr>
          <w:b/>
        </w:rPr>
        <w:t>Director Ordenamiento</w:t>
      </w:r>
      <w:r>
        <w:rPr>
          <w:b/>
        </w:rPr>
        <w:t xml:space="preserve"> Territorial – SINA</w:t>
      </w:r>
      <w:r>
        <w:tab/>
      </w:r>
      <w:r>
        <w:tab/>
        <w:t xml:space="preserve">VoBo </w:t>
      </w:r>
      <w:r w:rsidRPr="00A80616">
        <w:rPr>
          <w:b/>
        </w:rPr>
        <w:t>Director</w:t>
      </w:r>
      <w:r>
        <w:rPr>
          <w:b/>
        </w:rPr>
        <w:t xml:space="preserve"> Gestión Integral Recurso Hídrico</w:t>
      </w:r>
    </w:p>
    <w:p w14:paraId="6E02644A" w14:textId="77777777" w:rsidR="00A04476" w:rsidRDefault="00A04476" w:rsidP="00A04476">
      <w:pPr>
        <w:pStyle w:val="Sinespaciado1"/>
        <w:rPr>
          <w:b/>
          <w:sz w:val="20"/>
          <w:szCs w:val="20"/>
        </w:rPr>
      </w:pPr>
    </w:p>
    <w:p w14:paraId="6CCE57FA" w14:textId="77777777" w:rsidR="00A04476" w:rsidRDefault="00A04476" w:rsidP="00A04476">
      <w:pPr>
        <w:pStyle w:val="Sinespaciado1"/>
        <w:rPr>
          <w:b/>
          <w:sz w:val="20"/>
          <w:szCs w:val="20"/>
        </w:rPr>
      </w:pPr>
    </w:p>
    <w:p w14:paraId="4311FDA4" w14:textId="77777777" w:rsidR="00A04476" w:rsidRPr="00CE321D" w:rsidRDefault="00A04476" w:rsidP="00A04476">
      <w:pPr>
        <w:pStyle w:val="Sinespaciado1"/>
        <w:jc w:val="center"/>
        <w:rPr>
          <w:sz w:val="20"/>
          <w:szCs w:val="20"/>
        </w:rPr>
      </w:pPr>
      <w:r w:rsidRPr="00CE321D">
        <w:rPr>
          <w:sz w:val="20"/>
          <w:szCs w:val="20"/>
        </w:rPr>
        <w:t>-------------------------------------------------------------------------------</w:t>
      </w:r>
      <w:r>
        <w:rPr>
          <w:sz w:val="20"/>
          <w:szCs w:val="20"/>
        </w:rPr>
        <w:t>----</w:t>
      </w:r>
    </w:p>
    <w:p w14:paraId="3BFF7F32" w14:textId="737CEB6E" w:rsidR="00A04476" w:rsidRPr="00A04476" w:rsidRDefault="00A04476" w:rsidP="00A04476">
      <w:pPr>
        <w:pStyle w:val="Sinespaciado1"/>
        <w:jc w:val="center"/>
      </w:pPr>
      <w:proofErr w:type="gramStart"/>
      <w:r>
        <w:t xml:space="preserve">VoBo  </w:t>
      </w:r>
      <w:r w:rsidRPr="00CE321D">
        <w:rPr>
          <w:b/>
        </w:rPr>
        <w:t>Viceministro</w:t>
      </w:r>
      <w:proofErr w:type="gramEnd"/>
      <w:r w:rsidRPr="00CE321D">
        <w:rPr>
          <w:b/>
        </w:rPr>
        <w:t xml:space="preserve"> de Ambiente y Desarrollo Sostenible</w:t>
      </w:r>
    </w:p>
    <w:p w14:paraId="53BF7874" w14:textId="77777777" w:rsidR="00A04476" w:rsidRDefault="00A04476" w:rsidP="00A04476">
      <w:pPr>
        <w:pStyle w:val="Sinespaciado1"/>
        <w:rPr>
          <w:b/>
          <w:sz w:val="20"/>
          <w:szCs w:val="20"/>
        </w:rPr>
      </w:pPr>
    </w:p>
    <w:tbl>
      <w:tblPr>
        <w:tblStyle w:val="Tablaconcuadrcula"/>
        <w:tblW w:w="0" w:type="auto"/>
        <w:tblLook w:val="04A0" w:firstRow="1" w:lastRow="0" w:firstColumn="1" w:lastColumn="0" w:noHBand="0" w:noVBand="1"/>
      </w:tblPr>
      <w:tblGrid>
        <w:gridCol w:w="10790"/>
      </w:tblGrid>
      <w:tr w:rsidR="00A50F8D" w14:paraId="618437B6" w14:textId="77777777" w:rsidTr="00A50F8D">
        <w:tc>
          <w:tcPr>
            <w:tcW w:w="10790" w:type="dxa"/>
            <w:tcBorders>
              <w:top w:val="single" w:sz="4" w:space="0" w:color="auto"/>
              <w:left w:val="single" w:sz="4" w:space="0" w:color="auto"/>
              <w:bottom w:val="single" w:sz="4" w:space="0" w:color="auto"/>
              <w:right w:val="single" w:sz="4" w:space="0" w:color="auto"/>
            </w:tcBorders>
            <w:hideMark/>
          </w:tcPr>
          <w:p w14:paraId="7C9E5733" w14:textId="77777777" w:rsidR="00A50F8D" w:rsidRDefault="00A50F8D">
            <w:pPr>
              <w:pStyle w:val="Sinespaciado1"/>
              <w:rPr>
                <w:b/>
                <w:sz w:val="20"/>
                <w:szCs w:val="20"/>
              </w:rPr>
            </w:pPr>
            <w:proofErr w:type="spellStart"/>
            <w:r>
              <w:rPr>
                <w:b/>
                <w:sz w:val="20"/>
                <w:szCs w:val="20"/>
              </w:rPr>
              <w:t>Observaciones</w:t>
            </w:r>
            <w:proofErr w:type="spellEnd"/>
          </w:p>
        </w:tc>
      </w:tr>
      <w:tr w:rsidR="00A50F8D" w14:paraId="00F3041F" w14:textId="77777777" w:rsidTr="00A04476">
        <w:trPr>
          <w:trHeight w:val="1747"/>
        </w:trPr>
        <w:tc>
          <w:tcPr>
            <w:tcW w:w="10790" w:type="dxa"/>
            <w:tcBorders>
              <w:top w:val="single" w:sz="4" w:space="0" w:color="auto"/>
              <w:left w:val="single" w:sz="4" w:space="0" w:color="auto"/>
              <w:bottom w:val="single" w:sz="4" w:space="0" w:color="auto"/>
              <w:right w:val="single" w:sz="4" w:space="0" w:color="auto"/>
            </w:tcBorders>
          </w:tcPr>
          <w:p w14:paraId="762B94A9" w14:textId="77777777" w:rsidR="00A50F8D" w:rsidRDefault="00A50F8D">
            <w:pPr>
              <w:pStyle w:val="Sinespaciado1"/>
              <w:rPr>
                <w:b/>
                <w:sz w:val="20"/>
                <w:szCs w:val="20"/>
              </w:rPr>
            </w:pPr>
          </w:p>
        </w:tc>
      </w:tr>
    </w:tbl>
    <w:p w14:paraId="2B4DDAA9" w14:textId="77777777" w:rsidR="00A50F8D" w:rsidRDefault="00A50F8D" w:rsidP="00B003ED">
      <w:pPr>
        <w:pStyle w:val="Sinespaciado1"/>
      </w:pPr>
    </w:p>
    <w:sectPr w:rsidR="00A50F8D" w:rsidSect="00A80616">
      <w:footerReference w:type="default" r:id="rId8"/>
      <w:pgSz w:w="12240" w:h="15840" w:code="17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2DEF56" w14:textId="77777777" w:rsidR="00265CF6" w:rsidRDefault="00265CF6" w:rsidP="00BE18F3">
      <w:r>
        <w:separator/>
      </w:r>
    </w:p>
  </w:endnote>
  <w:endnote w:type="continuationSeparator" w:id="0">
    <w:p w14:paraId="28B2BCA5" w14:textId="77777777" w:rsidR="00265CF6" w:rsidRDefault="00265CF6"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8B5CE" w14:textId="31C0EB23" w:rsidR="00BD6AA3" w:rsidRDefault="00BD6AA3">
    <w:pPr>
      <w:pStyle w:val="Piedepgina"/>
      <w:jc w:val="right"/>
    </w:pPr>
    <w:r>
      <w:fldChar w:fldCharType="begin"/>
    </w:r>
    <w:r>
      <w:instrText>PAGE   \* MERGEFORMAT</w:instrText>
    </w:r>
    <w:r>
      <w:fldChar w:fldCharType="separate"/>
    </w:r>
    <w:r w:rsidR="009951D3" w:rsidRPr="009951D3">
      <w:rPr>
        <w:noProof/>
        <w:lang w:val="es-ES"/>
      </w:rPr>
      <w:t>1</w:t>
    </w:r>
    <w:r>
      <w:fldChar w:fldCharType="end"/>
    </w:r>
  </w:p>
  <w:p w14:paraId="2AD38391" w14:textId="77777777" w:rsidR="00BD6AA3" w:rsidRDefault="00BD6AA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69AA07" w14:textId="77777777" w:rsidR="00265CF6" w:rsidRDefault="00265CF6" w:rsidP="00BE18F3">
      <w:r>
        <w:separator/>
      </w:r>
    </w:p>
  </w:footnote>
  <w:footnote w:type="continuationSeparator" w:id="0">
    <w:p w14:paraId="22FEE03D" w14:textId="77777777" w:rsidR="00265CF6" w:rsidRDefault="00265CF6" w:rsidP="00BE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2"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5"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9"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1"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7"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9"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3"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4"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5"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15"/>
  </w:num>
  <w:num w:numId="3">
    <w:abstractNumId w:val="10"/>
  </w:num>
  <w:num w:numId="4">
    <w:abstractNumId w:val="34"/>
  </w:num>
  <w:num w:numId="5">
    <w:abstractNumId w:val="14"/>
  </w:num>
  <w:num w:numId="6">
    <w:abstractNumId w:val="28"/>
  </w:num>
  <w:num w:numId="7">
    <w:abstractNumId w:val="31"/>
  </w:num>
  <w:num w:numId="8">
    <w:abstractNumId w:val="26"/>
  </w:num>
  <w:num w:numId="9">
    <w:abstractNumId w:val="16"/>
  </w:num>
  <w:num w:numId="10">
    <w:abstractNumId w:val="20"/>
  </w:num>
  <w:num w:numId="11">
    <w:abstractNumId w:val="32"/>
  </w:num>
  <w:num w:numId="12">
    <w:abstractNumId w:val="25"/>
  </w:num>
  <w:num w:numId="13">
    <w:abstractNumId w:val="11"/>
  </w:num>
  <w:num w:numId="14">
    <w:abstractNumId w:val="29"/>
  </w:num>
  <w:num w:numId="15">
    <w:abstractNumId w:val="12"/>
  </w:num>
  <w:num w:numId="16">
    <w:abstractNumId w:val="24"/>
  </w:num>
  <w:num w:numId="17">
    <w:abstractNumId w:val="17"/>
  </w:num>
  <w:num w:numId="18">
    <w:abstractNumId w:val="22"/>
  </w:num>
  <w:num w:numId="19">
    <w:abstractNumId w:val="30"/>
  </w:num>
  <w:num w:numId="20">
    <w:abstractNumId w:val="21"/>
  </w:num>
  <w:num w:numId="21">
    <w:abstractNumId w:val="18"/>
  </w:num>
  <w:num w:numId="22">
    <w:abstractNumId w:val="33"/>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19"/>
  </w:num>
  <w:num w:numId="34">
    <w:abstractNumId w:val="27"/>
  </w:num>
  <w:num w:numId="35">
    <w:abstractNumId w:val="23"/>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1BD6"/>
    <w:rsid w:val="00002EC0"/>
    <w:rsid w:val="000030B7"/>
    <w:rsid w:val="00005151"/>
    <w:rsid w:val="000052AD"/>
    <w:rsid w:val="00005E87"/>
    <w:rsid w:val="000071E4"/>
    <w:rsid w:val="00015E0B"/>
    <w:rsid w:val="0001764D"/>
    <w:rsid w:val="000208BB"/>
    <w:rsid w:val="00027FA6"/>
    <w:rsid w:val="000302B4"/>
    <w:rsid w:val="000312A2"/>
    <w:rsid w:val="00032B4D"/>
    <w:rsid w:val="00033772"/>
    <w:rsid w:val="0003572B"/>
    <w:rsid w:val="00036FCA"/>
    <w:rsid w:val="00036FE2"/>
    <w:rsid w:val="00040998"/>
    <w:rsid w:val="00040F4D"/>
    <w:rsid w:val="00041534"/>
    <w:rsid w:val="000431E2"/>
    <w:rsid w:val="000440D1"/>
    <w:rsid w:val="0005025E"/>
    <w:rsid w:val="00056C6C"/>
    <w:rsid w:val="00057144"/>
    <w:rsid w:val="000611DE"/>
    <w:rsid w:val="000618B0"/>
    <w:rsid w:val="000621F5"/>
    <w:rsid w:val="00062948"/>
    <w:rsid w:val="0006577D"/>
    <w:rsid w:val="0007591C"/>
    <w:rsid w:val="00076DA7"/>
    <w:rsid w:val="00080356"/>
    <w:rsid w:val="000820BA"/>
    <w:rsid w:val="00085D2D"/>
    <w:rsid w:val="00086649"/>
    <w:rsid w:val="00086DE6"/>
    <w:rsid w:val="00086F1C"/>
    <w:rsid w:val="00093645"/>
    <w:rsid w:val="00096B75"/>
    <w:rsid w:val="000A16C2"/>
    <w:rsid w:val="000A2488"/>
    <w:rsid w:val="000A3A82"/>
    <w:rsid w:val="000A3B92"/>
    <w:rsid w:val="000A440E"/>
    <w:rsid w:val="000A75C4"/>
    <w:rsid w:val="000B12BA"/>
    <w:rsid w:val="000B26BC"/>
    <w:rsid w:val="000B3785"/>
    <w:rsid w:val="000B4B70"/>
    <w:rsid w:val="000B5699"/>
    <w:rsid w:val="000B74DE"/>
    <w:rsid w:val="000B7588"/>
    <w:rsid w:val="000C3678"/>
    <w:rsid w:val="000D05F8"/>
    <w:rsid w:val="000D43F6"/>
    <w:rsid w:val="000D4B66"/>
    <w:rsid w:val="000D6378"/>
    <w:rsid w:val="000E2C7C"/>
    <w:rsid w:val="000E652E"/>
    <w:rsid w:val="000F2E66"/>
    <w:rsid w:val="000F3E3F"/>
    <w:rsid w:val="000F7E5F"/>
    <w:rsid w:val="00101DB4"/>
    <w:rsid w:val="00102AB9"/>
    <w:rsid w:val="00110069"/>
    <w:rsid w:val="00111E32"/>
    <w:rsid w:val="00113826"/>
    <w:rsid w:val="00121693"/>
    <w:rsid w:val="001217E4"/>
    <w:rsid w:val="001234DD"/>
    <w:rsid w:val="00123667"/>
    <w:rsid w:val="001300F8"/>
    <w:rsid w:val="00130AF7"/>
    <w:rsid w:val="001375AF"/>
    <w:rsid w:val="00141C8F"/>
    <w:rsid w:val="00141F7F"/>
    <w:rsid w:val="00142C53"/>
    <w:rsid w:val="001465D8"/>
    <w:rsid w:val="0015047B"/>
    <w:rsid w:val="00155AE3"/>
    <w:rsid w:val="00156176"/>
    <w:rsid w:val="0015648B"/>
    <w:rsid w:val="0015740D"/>
    <w:rsid w:val="00157A5C"/>
    <w:rsid w:val="00160686"/>
    <w:rsid w:val="0016537C"/>
    <w:rsid w:val="00166710"/>
    <w:rsid w:val="00170E3A"/>
    <w:rsid w:val="00172DA6"/>
    <w:rsid w:val="001767F2"/>
    <w:rsid w:val="00180474"/>
    <w:rsid w:val="001868F2"/>
    <w:rsid w:val="00187F55"/>
    <w:rsid w:val="00193140"/>
    <w:rsid w:val="001956F1"/>
    <w:rsid w:val="001A1819"/>
    <w:rsid w:val="001A2D51"/>
    <w:rsid w:val="001A3901"/>
    <w:rsid w:val="001A41DB"/>
    <w:rsid w:val="001A696C"/>
    <w:rsid w:val="001B63D5"/>
    <w:rsid w:val="001B66A7"/>
    <w:rsid w:val="001C0800"/>
    <w:rsid w:val="001C3C81"/>
    <w:rsid w:val="001C6D6D"/>
    <w:rsid w:val="001D1DBD"/>
    <w:rsid w:val="001D3CFC"/>
    <w:rsid w:val="001D53C5"/>
    <w:rsid w:val="001E2CF6"/>
    <w:rsid w:val="001E399B"/>
    <w:rsid w:val="001E51AD"/>
    <w:rsid w:val="001F12D0"/>
    <w:rsid w:val="001F1D0C"/>
    <w:rsid w:val="001F625E"/>
    <w:rsid w:val="00200EA0"/>
    <w:rsid w:val="00205291"/>
    <w:rsid w:val="00205314"/>
    <w:rsid w:val="0020548A"/>
    <w:rsid w:val="0020616C"/>
    <w:rsid w:val="00213622"/>
    <w:rsid w:val="0022033E"/>
    <w:rsid w:val="002224EE"/>
    <w:rsid w:val="00231834"/>
    <w:rsid w:val="00231EE4"/>
    <w:rsid w:val="002345E4"/>
    <w:rsid w:val="002406F9"/>
    <w:rsid w:val="002443A5"/>
    <w:rsid w:val="00246198"/>
    <w:rsid w:val="002476AA"/>
    <w:rsid w:val="002479B5"/>
    <w:rsid w:val="00251E0C"/>
    <w:rsid w:val="00253203"/>
    <w:rsid w:val="00254274"/>
    <w:rsid w:val="002546CD"/>
    <w:rsid w:val="00256CB9"/>
    <w:rsid w:val="00256D0A"/>
    <w:rsid w:val="00261540"/>
    <w:rsid w:val="00262E9E"/>
    <w:rsid w:val="00265722"/>
    <w:rsid w:val="00265CF6"/>
    <w:rsid w:val="00270F36"/>
    <w:rsid w:val="00271564"/>
    <w:rsid w:val="00272D7B"/>
    <w:rsid w:val="00276A44"/>
    <w:rsid w:val="0027782E"/>
    <w:rsid w:val="0028279E"/>
    <w:rsid w:val="00283880"/>
    <w:rsid w:val="0028575E"/>
    <w:rsid w:val="00287EAA"/>
    <w:rsid w:val="00290163"/>
    <w:rsid w:val="0029343B"/>
    <w:rsid w:val="0029500D"/>
    <w:rsid w:val="00295D37"/>
    <w:rsid w:val="002A3D22"/>
    <w:rsid w:val="002A3EC8"/>
    <w:rsid w:val="002A6FA3"/>
    <w:rsid w:val="002A7A1A"/>
    <w:rsid w:val="002B2B25"/>
    <w:rsid w:val="002B2E39"/>
    <w:rsid w:val="002B2E96"/>
    <w:rsid w:val="002B31AA"/>
    <w:rsid w:val="002B5B17"/>
    <w:rsid w:val="002B69A5"/>
    <w:rsid w:val="002C3CB3"/>
    <w:rsid w:val="002C6E25"/>
    <w:rsid w:val="002C7BC9"/>
    <w:rsid w:val="002D2AFE"/>
    <w:rsid w:val="002D4309"/>
    <w:rsid w:val="002D44CC"/>
    <w:rsid w:val="002D4994"/>
    <w:rsid w:val="002D4C31"/>
    <w:rsid w:val="002E2AA5"/>
    <w:rsid w:val="002E2FA6"/>
    <w:rsid w:val="002E507E"/>
    <w:rsid w:val="002E7A4F"/>
    <w:rsid w:val="002F068D"/>
    <w:rsid w:val="002F5E73"/>
    <w:rsid w:val="0030071D"/>
    <w:rsid w:val="0030109B"/>
    <w:rsid w:val="003012F6"/>
    <w:rsid w:val="00304FCB"/>
    <w:rsid w:val="00305AE5"/>
    <w:rsid w:val="0030652B"/>
    <w:rsid w:val="003124F0"/>
    <w:rsid w:val="003148A5"/>
    <w:rsid w:val="00314A56"/>
    <w:rsid w:val="00321865"/>
    <w:rsid w:val="00323604"/>
    <w:rsid w:val="003249DD"/>
    <w:rsid w:val="0033206D"/>
    <w:rsid w:val="00333674"/>
    <w:rsid w:val="00335EB9"/>
    <w:rsid w:val="003432A2"/>
    <w:rsid w:val="00353E97"/>
    <w:rsid w:val="00355728"/>
    <w:rsid w:val="00355B39"/>
    <w:rsid w:val="00355D36"/>
    <w:rsid w:val="003628E8"/>
    <w:rsid w:val="003642EA"/>
    <w:rsid w:val="003656C0"/>
    <w:rsid w:val="0037141B"/>
    <w:rsid w:val="00374A1D"/>
    <w:rsid w:val="0037507C"/>
    <w:rsid w:val="003760CF"/>
    <w:rsid w:val="00380A66"/>
    <w:rsid w:val="003810C0"/>
    <w:rsid w:val="003835BA"/>
    <w:rsid w:val="00396275"/>
    <w:rsid w:val="00397A45"/>
    <w:rsid w:val="003A265A"/>
    <w:rsid w:val="003A4DBF"/>
    <w:rsid w:val="003A6EDE"/>
    <w:rsid w:val="003A7C6E"/>
    <w:rsid w:val="003A7CAE"/>
    <w:rsid w:val="003B003C"/>
    <w:rsid w:val="003B03D5"/>
    <w:rsid w:val="003B3EBE"/>
    <w:rsid w:val="003C47E6"/>
    <w:rsid w:val="003C51FC"/>
    <w:rsid w:val="003D1D8F"/>
    <w:rsid w:val="003D2B3A"/>
    <w:rsid w:val="003D3FBF"/>
    <w:rsid w:val="003D5913"/>
    <w:rsid w:val="003D5CFB"/>
    <w:rsid w:val="003E0FA9"/>
    <w:rsid w:val="003E41B9"/>
    <w:rsid w:val="003E6508"/>
    <w:rsid w:val="003E6847"/>
    <w:rsid w:val="003F08CC"/>
    <w:rsid w:val="003F2885"/>
    <w:rsid w:val="003F6EE8"/>
    <w:rsid w:val="00402F0D"/>
    <w:rsid w:val="00406043"/>
    <w:rsid w:val="004107AD"/>
    <w:rsid w:val="00412604"/>
    <w:rsid w:val="004130EE"/>
    <w:rsid w:val="00415E0D"/>
    <w:rsid w:val="004169E4"/>
    <w:rsid w:val="0041704F"/>
    <w:rsid w:val="0042071D"/>
    <w:rsid w:val="004226D1"/>
    <w:rsid w:val="0042307F"/>
    <w:rsid w:val="004323B8"/>
    <w:rsid w:val="004341D7"/>
    <w:rsid w:val="004449C5"/>
    <w:rsid w:val="00446FD7"/>
    <w:rsid w:val="00460DF3"/>
    <w:rsid w:val="00463AB1"/>
    <w:rsid w:val="00464D5A"/>
    <w:rsid w:val="00466B6D"/>
    <w:rsid w:val="004707E5"/>
    <w:rsid w:val="00470889"/>
    <w:rsid w:val="00471D2B"/>
    <w:rsid w:val="00474165"/>
    <w:rsid w:val="004756EA"/>
    <w:rsid w:val="00483975"/>
    <w:rsid w:val="00485431"/>
    <w:rsid w:val="00490676"/>
    <w:rsid w:val="004A0803"/>
    <w:rsid w:val="004B088E"/>
    <w:rsid w:val="004B1C7F"/>
    <w:rsid w:val="004B6E04"/>
    <w:rsid w:val="004C0714"/>
    <w:rsid w:val="004C224B"/>
    <w:rsid w:val="004C2E6B"/>
    <w:rsid w:val="004C743B"/>
    <w:rsid w:val="004D1340"/>
    <w:rsid w:val="004D28E9"/>
    <w:rsid w:val="004D4E08"/>
    <w:rsid w:val="004D64E1"/>
    <w:rsid w:val="004D7CE4"/>
    <w:rsid w:val="004E03C9"/>
    <w:rsid w:val="004E25AF"/>
    <w:rsid w:val="004E3984"/>
    <w:rsid w:val="004E3FAB"/>
    <w:rsid w:val="004E49EB"/>
    <w:rsid w:val="004E5176"/>
    <w:rsid w:val="004E56BA"/>
    <w:rsid w:val="004F5522"/>
    <w:rsid w:val="004F79DD"/>
    <w:rsid w:val="00502C39"/>
    <w:rsid w:val="00503902"/>
    <w:rsid w:val="00512BC8"/>
    <w:rsid w:val="00513F85"/>
    <w:rsid w:val="00515B18"/>
    <w:rsid w:val="00516CC6"/>
    <w:rsid w:val="0052092E"/>
    <w:rsid w:val="00524834"/>
    <w:rsid w:val="005261FC"/>
    <w:rsid w:val="00527FCE"/>
    <w:rsid w:val="005317D5"/>
    <w:rsid w:val="00534058"/>
    <w:rsid w:val="00535612"/>
    <w:rsid w:val="00542C2F"/>
    <w:rsid w:val="00543F75"/>
    <w:rsid w:val="0054444B"/>
    <w:rsid w:val="005508E3"/>
    <w:rsid w:val="00551672"/>
    <w:rsid w:val="00551E07"/>
    <w:rsid w:val="005534F0"/>
    <w:rsid w:val="00554418"/>
    <w:rsid w:val="00555574"/>
    <w:rsid w:val="0055744D"/>
    <w:rsid w:val="00557781"/>
    <w:rsid w:val="00557F11"/>
    <w:rsid w:val="00560F0C"/>
    <w:rsid w:val="005613A1"/>
    <w:rsid w:val="00562975"/>
    <w:rsid w:val="00565F5D"/>
    <w:rsid w:val="00566D34"/>
    <w:rsid w:val="00571E62"/>
    <w:rsid w:val="005734E7"/>
    <w:rsid w:val="0057505F"/>
    <w:rsid w:val="005750D2"/>
    <w:rsid w:val="00576DA6"/>
    <w:rsid w:val="00581FB0"/>
    <w:rsid w:val="00587758"/>
    <w:rsid w:val="00590DBC"/>
    <w:rsid w:val="00597EC5"/>
    <w:rsid w:val="005A01E3"/>
    <w:rsid w:val="005A0FFF"/>
    <w:rsid w:val="005A2D8B"/>
    <w:rsid w:val="005A69DA"/>
    <w:rsid w:val="005A6FA8"/>
    <w:rsid w:val="005B05C5"/>
    <w:rsid w:val="005B2AA7"/>
    <w:rsid w:val="005B2F37"/>
    <w:rsid w:val="005B48B2"/>
    <w:rsid w:val="005B6F05"/>
    <w:rsid w:val="005B7161"/>
    <w:rsid w:val="005C3E2F"/>
    <w:rsid w:val="005C7A34"/>
    <w:rsid w:val="005D1551"/>
    <w:rsid w:val="005D2DE6"/>
    <w:rsid w:val="005D557C"/>
    <w:rsid w:val="005D7E3A"/>
    <w:rsid w:val="005E1CBA"/>
    <w:rsid w:val="005E2A8B"/>
    <w:rsid w:val="005E3EA8"/>
    <w:rsid w:val="005F185A"/>
    <w:rsid w:val="005F1972"/>
    <w:rsid w:val="005F2F39"/>
    <w:rsid w:val="005F3A15"/>
    <w:rsid w:val="005F6994"/>
    <w:rsid w:val="005F7394"/>
    <w:rsid w:val="005F772F"/>
    <w:rsid w:val="0060479D"/>
    <w:rsid w:val="00604D74"/>
    <w:rsid w:val="006058A7"/>
    <w:rsid w:val="00617738"/>
    <w:rsid w:val="00622703"/>
    <w:rsid w:val="00624B00"/>
    <w:rsid w:val="00631781"/>
    <w:rsid w:val="00632041"/>
    <w:rsid w:val="00633691"/>
    <w:rsid w:val="00636C4D"/>
    <w:rsid w:val="006424B3"/>
    <w:rsid w:val="00643745"/>
    <w:rsid w:val="00644CD2"/>
    <w:rsid w:val="00646C13"/>
    <w:rsid w:val="00651C9B"/>
    <w:rsid w:val="00653933"/>
    <w:rsid w:val="006615CA"/>
    <w:rsid w:val="00666B6C"/>
    <w:rsid w:val="00667472"/>
    <w:rsid w:val="006713BB"/>
    <w:rsid w:val="006723AF"/>
    <w:rsid w:val="006748BE"/>
    <w:rsid w:val="006754CF"/>
    <w:rsid w:val="00675CC5"/>
    <w:rsid w:val="00675D7D"/>
    <w:rsid w:val="006824F4"/>
    <w:rsid w:val="006855FB"/>
    <w:rsid w:val="00687FE9"/>
    <w:rsid w:val="00690C05"/>
    <w:rsid w:val="00692AAB"/>
    <w:rsid w:val="0069383B"/>
    <w:rsid w:val="00694D2B"/>
    <w:rsid w:val="0069641D"/>
    <w:rsid w:val="00697F2C"/>
    <w:rsid w:val="006A039E"/>
    <w:rsid w:val="006A0DD8"/>
    <w:rsid w:val="006A45FF"/>
    <w:rsid w:val="006A62EF"/>
    <w:rsid w:val="006A7D55"/>
    <w:rsid w:val="006B19FE"/>
    <w:rsid w:val="006B5AAA"/>
    <w:rsid w:val="006C1616"/>
    <w:rsid w:val="006C4570"/>
    <w:rsid w:val="006C53E7"/>
    <w:rsid w:val="006D214B"/>
    <w:rsid w:val="006D27C8"/>
    <w:rsid w:val="006D2ACA"/>
    <w:rsid w:val="006D3424"/>
    <w:rsid w:val="006D351B"/>
    <w:rsid w:val="006D4A63"/>
    <w:rsid w:val="006D6E6E"/>
    <w:rsid w:val="006D72FD"/>
    <w:rsid w:val="006E18D7"/>
    <w:rsid w:val="006E1CE3"/>
    <w:rsid w:val="006E2BCC"/>
    <w:rsid w:val="006E331F"/>
    <w:rsid w:val="006E4EBC"/>
    <w:rsid w:val="006E5C4B"/>
    <w:rsid w:val="006F131D"/>
    <w:rsid w:val="006F29DE"/>
    <w:rsid w:val="006F5453"/>
    <w:rsid w:val="00703B28"/>
    <w:rsid w:val="007103F3"/>
    <w:rsid w:val="0071133D"/>
    <w:rsid w:val="00711496"/>
    <w:rsid w:val="00711508"/>
    <w:rsid w:val="00711A28"/>
    <w:rsid w:val="00717BBC"/>
    <w:rsid w:val="007223F6"/>
    <w:rsid w:val="007232B9"/>
    <w:rsid w:val="007242C2"/>
    <w:rsid w:val="00726A43"/>
    <w:rsid w:val="00726E7C"/>
    <w:rsid w:val="00731F4A"/>
    <w:rsid w:val="007320FA"/>
    <w:rsid w:val="00733656"/>
    <w:rsid w:val="007346BC"/>
    <w:rsid w:val="0073581C"/>
    <w:rsid w:val="0074132B"/>
    <w:rsid w:val="00741600"/>
    <w:rsid w:val="007422F5"/>
    <w:rsid w:val="0074371E"/>
    <w:rsid w:val="007441CC"/>
    <w:rsid w:val="00746329"/>
    <w:rsid w:val="00746D28"/>
    <w:rsid w:val="00752955"/>
    <w:rsid w:val="00752A17"/>
    <w:rsid w:val="00754423"/>
    <w:rsid w:val="007566A3"/>
    <w:rsid w:val="00757852"/>
    <w:rsid w:val="00762F72"/>
    <w:rsid w:val="0076428C"/>
    <w:rsid w:val="007657B3"/>
    <w:rsid w:val="00765D15"/>
    <w:rsid w:val="00766A8E"/>
    <w:rsid w:val="00771675"/>
    <w:rsid w:val="007813F0"/>
    <w:rsid w:val="00785441"/>
    <w:rsid w:val="00786950"/>
    <w:rsid w:val="00790F8F"/>
    <w:rsid w:val="00794393"/>
    <w:rsid w:val="00794A31"/>
    <w:rsid w:val="007961A5"/>
    <w:rsid w:val="00796CA0"/>
    <w:rsid w:val="007971D8"/>
    <w:rsid w:val="007A0784"/>
    <w:rsid w:val="007A1DC4"/>
    <w:rsid w:val="007A24F7"/>
    <w:rsid w:val="007A327A"/>
    <w:rsid w:val="007A5DC5"/>
    <w:rsid w:val="007B1EB7"/>
    <w:rsid w:val="007B5BEE"/>
    <w:rsid w:val="007B6D4D"/>
    <w:rsid w:val="007C0E10"/>
    <w:rsid w:val="007C1036"/>
    <w:rsid w:val="007C2E2B"/>
    <w:rsid w:val="007D0F9B"/>
    <w:rsid w:val="007D7AC2"/>
    <w:rsid w:val="007E0119"/>
    <w:rsid w:val="007E0AD5"/>
    <w:rsid w:val="007E210E"/>
    <w:rsid w:val="007E441E"/>
    <w:rsid w:val="007E60E5"/>
    <w:rsid w:val="007E7D25"/>
    <w:rsid w:val="007F0069"/>
    <w:rsid w:val="007F1260"/>
    <w:rsid w:val="007F77ED"/>
    <w:rsid w:val="007F7E4F"/>
    <w:rsid w:val="0080067D"/>
    <w:rsid w:val="00801CF1"/>
    <w:rsid w:val="008020BB"/>
    <w:rsid w:val="0080394D"/>
    <w:rsid w:val="008144BF"/>
    <w:rsid w:val="00814DEA"/>
    <w:rsid w:val="008165EC"/>
    <w:rsid w:val="0082117C"/>
    <w:rsid w:val="0082403B"/>
    <w:rsid w:val="0083007A"/>
    <w:rsid w:val="00831192"/>
    <w:rsid w:val="00833322"/>
    <w:rsid w:val="00836FF0"/>
    <w:rsid w:val="00841674"/>
    <w:rsid w:val="00845DC5"/>
    <w:rsid w:val="00850923"/>
    <w:rsid w:val="00850B44"/>
    <w:rsid w:val="00852236"/>
    <w:rsid w:val="00852F54"/>
    <w:rsid w:val="00853491"/>
    <w:rsid w:val="00854054"/>
    <w:rsid w:val="00854702"/>
    <w:rsid w:val="00855B79"/>
    <w:rsid w:val="00861350"/>
    <w:rsid w:val="00863093"/>
    <w:rsid w:val="008668A6"/>
    <w:rsid w:val="00867A62"/>
    <w:rsid w:val="00870B36"/>
    <w:rsid w:val="00873740"/>
    <w:rsid w:val="0087408A"/>
    <w:rsid w:val="00877DB7"/>
    <w:rsid w:val="00880C34"/>
    <w:rsid w:val="0088159B"/>
    <w:rsid w:val="0088654B"/>
    <w:rsid w:val="00886B8D"/>
    <w:rsid w:val="00887B5B"/>
    <w:rsid w:val="00896DFD"/>
    <w:rsid w:val="008A088B"/>
    <w:rsid w:val="008A1834"/>
    <w:rsid w:val="008A4E6B"/>
    <w:rsid w:val="008B2E84"/>
    <w:rsid w:val="008B450A"/>
    <w:rsid w:val="008B6794"/>
    <w:rsid w:val="008B79D7"/>
    <w:rsid w:val="008C4B33"/>
    <w:rsid w:val="008C6C95"/>
    <w:rsid w:val="008C770F"/>
    <w:rsid w:val="008D138F"/>
    <w:rsid w:val="008D27A5"/>
    <w:rsid w:val="008D42F4"/>
    <w:rsid w:val="008D55F7"/>
    <w:rsid w:val="008D62BB"/>
    <w:rsid w:val="008D7AA6"/>
    <w:rsid w:val="008E1EDF"/>
    <w:rsid w:val="008E2872"/>
    <w:rsid w:val="008E49E3"/>
    <w:rsid w:val="008E5B84"/>
    <w:rsid w:val="008F191B"/>
    <w:rsid w:val="008F65BE"/>
    <w:rsid w:val="00900712"/>
    <w:rsid w:val="00901D63"/>
    <w:rsid w:val="00903A34"/>
    <w:rsid w:val="00904DE9"/>
    <w:rsid w:val="009050CC"/>
    <w:rsid w:val="00906A66"/>
    <w:rsid w:val="00906DAA"/>
    <w:rsid w:val="009075F1"/>
    <w:rsid w:val="00907768"/>
    <w:rsid w:val="00907C3C"/>
    <w:rsid w:val="009111B6"/>
    <w:rsid w:val="009160A9"/>
    <w:rsid w:val="009214B8"/>
    <w:rsid w:val="00921A0F"/>
    <w:rsid w:val="00925E15"/>
    <w:rsid w:val="00927337"/>
    <w:rsid w:val="00927C6B"/>
    <w:rsid w:val="00927E7A"/>
    <w:rsid w:val="00930429"/>
    <w:rsid w:val="0093050D"/>
    <w:rsid w:val="00930A55"/>
    <w:rsid w:val="0093250A"/>
    <w:rsid w:val="009341CE"/>
    <w:rsid w:val="00944786"/>
    <w:rsid w:val="00945C23"/>
    <w:rsid w:val="0095091C"/>
    <w:rsid w:val="00950DFD"/>
    <w:rsid w:val="009532D9"/>
    <w:rsid w:val="00957F1E"/>
    <w:rsid w:val="009649C0"/>
    <w:rsid w:val="00972895"/>
    <w:rsid w:val="009772AD"/>
    <w:rsid w:val="009778C2"/>
    <w:rsid w:val="00985D81"/>
    <w:rsid w:val="009861E3"/>
    <w:rsid w:val="0098643F"/>
    <w:rsid w:val="0099125B"/>
    <w:rsid w:val="00991F28"/>
    <w:rsid w:val="00992A87"/>
    <w:rsid w:val="00992D81"/>
    <w:rsid w:val="009951D3"/>
    <w:rsid w:val="009A34D7"/>
    <w:rsid w:val="009A3C72"/>
    <w:rsid w:val="009A4724"/>
    <w:rsid w:val="009A70C2"/>
    <w:rsid w:val="009A74C3"/>
    <w:rsid w:val="009B0DB9"/>
    <w:rsid w:val="009B2315"/>
    <w:rsid w:val="009B4E47"/>
    <w:rsid w:val="009B7F1C"/>
    <w:rsid w:val="009C14A4"/>
    <w:rsid w:val="009C2684"/>
    <w:rsid w:val="009C354E"/>
    <w:rsid w:val="009C4FA7"/>
    <w:rsid w:val="009C7A75"/>
    <w:rsid w:val="009D3937"/>
    <w:rsid w:val="009D5653"/>
    <w:rsid w:val="009D6B8D"/>
    <w:rsid w:val="009D7ECF"/>
    <w:rsid w:val="009E19DB"/>
    <w:rsid w:val="009E53A6"/>
    <w:rsid w:val="009E542B"/>
    <w:rsid w:val="009E5E7A"/>
    <w:rsid w:val="009E7BB2"/>
    <w:rsid w:val="009F07E2"/>
    <w:rsid w:val="009F3121"/>
    <w:rsid w:val="009F3403"/>
    <w:rsid w:val="009F4EE1"/>
    <w:rsid w:val="009F596B"/>
    <w:rsid w:val="00A021A0"/>
    <w:rsid w:val="00A04476"/>
    <w:rsid w:val="00A15247"/>
    <w:rsid w:val="00A15977"/>
    <w:rsid w:val="00A203FF"/>
    <w:rsid w:val="00A228C5"/>
    <w:rsid w:val="00A22F0E"/>
    <w:rsid w:val="00A240E1"/>
    <w:rsid w:val="00A31148"/>
    <w:rsid w:val="00A31454"/>
    <w:rsid w:val="00A31BBE"/>
    <w:rsid w:val="00A35B1D"/>
    <w:rsid w:val="00A37A9B"/>
    <w:rsid w:val="00A37F4C"/>
    <w:rsid w:val="00A416C3"/>
    <w:rsid w:val="00A478C2"/>
    <w:rsid w:val="00A50A3E"/>
    <w:rsid w:val="00A50F8D"/>
    <w:rsid w:val="00A51828"/>
    <w:rsid w:val="00A51D9F"/>
    <w:rsid w:val="00A5596D"/>
    <w:rsid w:val="00A559EE"/>
    <w:rsid w:val="00A57A43"/>
    <w:rsid w:val="00A60CFD"/>
    <w:rsid w:val="00A615A8"/>
    <w:rsid w:val="00A63E27"/>
    <w:rsid w:val="00A64125"/>
    <w:rsid w:val="00A701DA"/>
    <w:rsid w:val="00A70D5D"/>
    <w:rsid w:val="00A73C50"/>
    <w:rsid w:val="00A7595C"/>
    <w:rsid w:val="00A770C9"/>
    <w:rsid w:val="00A77ACB"/>
    <w:rsid w:val="00A77F51"/>
    <w:rsid w:val="00A80616"/>
    <w:rsid w:val="00A81C6F"/>
    <w:rsid w:val="00A8417D"/>
    <w:rsid w:val="00A86342"/>
    <w:rsid w:val="00A86E0E"/>
    <w:rsid w:val="00A94406"/>
    <w:rsid w:val="00AA35AB"/>
    <w:rsid w:val="00AB257D"/>
    <w:rsid w:val="00AB34AD"/>
    <w:rsid w:val="00AC6166"/>
    <w:rsid w:val="00AD0F40"/>
    <w:rsid w:val="00AD2455"/>
    <w:rsid w:val="00AD3963"/>
    <w:rsid w:val="00AD4442"/>
    <w:rsid w:val="00AD5FE4"/>
    <w:rsid w:val="00AD6403"/>
    <w:rsid w:val="00AE4179"/>
    <w:rsid w:val="00AF1AA4"/>
    <w:rsid w:val="00AF39BC"/>
    <w:rsid w:val="00AF4440"/>
    <w:rsid w:val="00AF796C"/>
    <w:rsid w:val="00B003ED"/>
    <w:rsid w:val="00B00E5E"/>
    <w:rsid w:val="00B017D3"/>
    <w:rsid w:val="00B01A92"/>
    <w:rsid w:val="00B029DC"/>
    <w:rsid w:val="00B046A9"/>
    <w:rsid w:val="00B04FA6"/>
    <w:rsid w:val="00B05AEC"/>
    <w:rsid w:val="00B21C10"/>
    <w:rsid w:val="00B22FD8"/>
    <w:rsid w:val="00B2383D"/>
    <w:rsid w:val="00B25014"/>
    <w:rsid w:val="00B269A7"/>
    <w:rsid w:val="00B32D35"/>
    <w:rsid w:val="00B34E48"/>
    <w:rsid w:val="00B47D3B"/>
    <w:rsid w:val="00B6022C"/>
    <w:rsid w:val="00B63E4B"/>
    <w:rsid w:val="00B64668"/>
    <w:rsid w:val="00B70B57"/>
    <w:rsid w:val="00B72FA3"/>
    <w:rsid w:val="00B74D61"/>
    <w:rsid w:val="00B771A6"/>
    <w:rsid w:val="00B77ADD"/>
    <w:rsid w:val="00B77F10"/>
    <w:rsid w:val="00B817F8"/>
    <w:rsid w:val="00B841F0"/>
    <w:rsid w:val="00B93B31"/>
    <w:rsid w:val="00B94768"/>
    <w:rsid w:val="00BA226D"/>
    <w:rsid w:val="00BA28CF"/>
    <w:rsid w:val="00BB26B2"/>
    <w:rsid w:val="00BB351B"/>
    <w:rsid w:val="00BB4D70"/>
    <w:rsid w:val="00BC13C0"/>
    <w:rsid w:val="00BC3294"/>
    <w:rsid w:val="00BC6A80"/>
    <w:rsid w:val="00BC7A25"/>
    <w:rsid w:val="00BC7C3C"/>
    <w:rsid w:val="00BD030B"/>
    <w:rsid w:val="00BD0FB2"/>
    <w:rsid w:val="00BD6AA3"/>
    <w:rsid w:val="00BD71B2"/>
    <w:rsid w:val="00BE18F3"/>
    <w:rsid w:val="00BE5FDC"/>
    <w:rsid w:val="00BF3452"/>
    <w:rsid w:val="00BF74D3"/>
    <w:rsid w:val="00BF7CA7"/>
    <w:rsid w:val="00C00C69"/>
    <w:rsid w:val="00C024A1"/>
    <w:rsid w:val="00C035A9"/>
    <w:rsid w:val="00C039C6"/>
    <w:rsid w:val="00C04C9E"/>
    <w:rsid w:val="00C10149"/>
    <w:rsid w:val="00C10705"/>
    <w:rsid w:val="00C115B5"/>
    <w:rsid w:val="00C12B68"/>
    <w:rsid w:val="00C12F59"/>
    <w:rsid w:val="00C14FFA"/>
    <w:rsid w:val="00C15221"/>
    <w:rsid w:val="00C17943"/>
    <w:rsid w:val="00C20065"/>
    <w:rsid w:val="00C222BC"/>
    <w:rsid w:val="00C32E6F"/>
    <w:rsid w:val="00C42CAB"/>
    <w:rsid w:val="00C45EE8"/>
    <w:rsid w:val="00C4715A"/>
    <w:rsid w:val="00C508EE"/>
    <w:rsid w:val="00C510BB"/>
    <w:rsid w:val="00C54739"/>
    <w:rsid w:val="00C547AE"/>
    <w:rsid w:val="00C57A32"/>
    <w:rsid w:val="00C60892"/>
    <w:rsid w:val="00C608B2"/>
    <w:rsid w:val="00C621B1"/>
    <w:rsid w:val="00C625B5"/>
    <w:rsid w:val="00C62CF9"/>
    <w:rsid w:val="00C67129"/>
    <w:rsid w:val="00C67A13"/>
    <w:rsid w:val="00C67C36"/>
    <w:rsid w:val="00C73D50"/>
    <w:rsid w:val="00C74460"/>
    <w:rsid w:val="00C74A67"/>
    <w:rsid w:val="00C77427"/>
    <w:rsid w:val="00C77552"/>
    <w:rsid w:val="00C82FA9"/>
    <w:rsid w:val="00C832CA"/>
    <w:rsid w:val="00C846CD"/>
    <w:rsid w:val="00C86F34"/>
    <w:rsid w:val="00C93454"/>
    <w:rsid w:val="00C93812"/>
    <w:rsid w:val="00C93E47"/>
    <w:rsid w:val="00C97C27"/>
    <w:rsid w:val="00CA1A57"/>
    <w:rsid w:val="00CA1C30"/>
    <w:rsid w:val="00CA522C"/>
    <w:rsid w:val="00CA7045"/>
    <w:rsid w:val="00CB369F"/>
    <w:rsid w:val="00CB51CC"/>
    <w:rsid w:val="00CC136B"/>
    <w:rsid w:val="00CC6F3E"/>
    <w:rsid w:val="00CD07E5"/>
    <w:rsid w:val="00CD21E2"/>
    <w:rsid w:val="00CD314B"/>
    <w:rsid w:val="00CD5F08"/>
    <w:rsid w:val="00CD78C2"/>
    <w:rsid w:val="00CE1916"/>
    <w:rsid w:val="00CE2E82"/>
    <w:rsid w:val="00CE322E"/>
    <w:rsid w:val="00CE3F15"/>
    <w:rsid w:val="00CE67D8"/>
    <w:rsid w:val="00CE6F46"/>
    <w:rsid w:val="00CF34F9"/>
    <w:rsid w:val="00CF5A3A"/>
    <w:rsid w:val="00D01EDD"/>
    <w:rsid w:val="00D049FA"/>
    <w:rsid w:val="00D05D98"/>
    <w:rsid w:val="00D124E1"/>
    <w:rsid w:val="00D124EA"/>
    <w:rsid w:val="00D13646"/>
    <w:rsid w:val="00D14F6D"/>
    <w:rsid w:val="00D15DD5"/>
    <w:rsid w:val="00D20B06"/>
    <w:rsid w:val="00D25E18"/>
    <w:rsid w:val="00D2789F"/>
    <w:rsid w:val="00D3145C"/>
    <w:rsid w:val="00D32893"/>
    <w:rsid w:val="00D32F8F"/>
    <w:rsid w:val="00D331BE"/>
    <w:rsid w:val="00D36079"/>
    <w:rsid w:val="00D4515D"/>
    <w:rsid w:val="00D5014F"/>
    <w:rsid w:val="00D55DBE"/>
    <w:rsid w:val="00D55DFE"/>
    <w:rsid w:val="00D628D3"/>
    <w:rsid w:val="00D64231"/>
    <w:rsid w:val="00D64820"/>
    <w:rsid w:val="00D66576"/>
    <w:rsid w:val="00D677A1"/>
    <w:rsid w:val="00D70853"/>
    <w:rsid w:val="00D70E25"/>
    <w:rsid w:val="00D747CA"/>
    <w:rsid w:val="00D74D5B"/>
    <w:rsid w:val="00D76862"/>
    <w:rsid w:val="00D77866"/>
    <w:rsid w:val="00D8158A"/>
    <w:rsid w:val="00D82766"/>
    <w:rsid w:val="00D83DCE"/>
    <w:rsid w:val="00D9075F"/>
    <w:rsid w:val="00D948CB"/>
    <w:rsid w:val="00DA144D"/>
    <w:rsid w:val="00DA1B83"/>
    <w:rsid w:val="00DA4B82"/>
    <w:rsid w:val="00DA74F2"/>
    <w:rsid w:val="00DA74F8"/>
    <w:rsid w:val="00DA7EF1"/>
    <w:rsid w:val="00DB2296"/>
    <w:rsid w:val="00DB3145"/>
    <w:rsid w:val="00DB488E"/>
    <w:rsid w:val="00DB5021"/>
    <w:rsid w:val="00DB5EE3"/>
    <w:rsid w:val="00DB6C64"/>
    <w:rsid w:val="00DC2ADC"/>
    <w:rsid w:val="00DC4C86"/>
    <w:rsid w:val="00DC504F"/>
    <w:rsid w:val="00DC51DB"/>
    <w:rsid w:val="00DC53A9"/>
    <w:rsid w:val="00DD077F"/>
    <w:rsid w:val="00DD0B29"/>
    <w:rsid w:val="00DD4458"/>
    <w:rsid w:val="00DE06D7"/>
    <w:rsid w:val="00DE0BCE"/>
    <w:rsid w:val="00DE23EC"/>
    <w:rsid w:val="00DE3F7C"/>
    <w:rsid w:val="00DE4DAA"/>
    <w:rsid w:val="00DE6206"/>
    <w:rsid w:val="00DF0270"/>
    <w:rsid w:val="00DF1FB5"/>
    <w:rsid w:val="00DF509A"/>
    <w:rsid w:val="00DF774E"/>
    <w:rsid w:val="00E01A70"/>
    <w:rsid w:val="00E0290E"/>
    <w:rsid w:val="00E07E9B"/>
    <w:rsid w:val="00E11FB9"/>
    <w:rsid w:val="00E13267"/>
    <w:rsid w:val="00E154FD"/>
    <w:rsid w:val="00E2092D"/>
    <w:rsid w:val="00E2263B"/>
    <w:rsid w:val="00E23256"/>
    <w:rsid w:val="00E329F5"/>
    <w:rsid w:val="00E34148"/>
    <w:rsid w:val="00E368F3"/>
    <w:rsid w:val="00E434B1"/>
    <w:rsid w:val="00E46B43"/>
    <w:rsid w:val="00E47601"/>
    <w:rsid w:val="00E70098"/>
    <w:rsid w:val="00E70508"/>
    <w:rsid w:val="00E71EE5"/>
    <w:rsid w:val="00E75EE9"/>
    <w:rsid w:val="00E76C6D"/>
    <w:rsid w:val="00E77353"/>
    <w:rsid w:val="00E7756A"/>
    <w:rsid w:val="00E80555"/>
    <w:rsid w:val="00E82E4E"/>
    <w:rsid w:val="00E86148"/>
    <w:rsid w:val="00E90833"/>
    <w:rsid w:val="00E90FD9"/>
    <w:rsid w:val="00E91C14"/>
    <w:rsid w:val="00E9274B"/>
    <w:rsid w:val="00E93E0F"/>
    <w:rsid w:val="00E94A7D"/>
    <w:rsid w:val="00E9609B"/>
    <w:rsid w:val="00E96C94"/>
    <w:rsid w:val="00E97BA4"/>
    <w:rsid w:val="00EB1754"/>
    <w:rsid w:val="00EB1836"/>
    <w:rsid w:val="00EB2F8F"/>
    <w:rsid w:val="00EB4CFA"/>
    <w:rsid w:val="00EB5057"/>
    <w:rsid w:val="00EB6459"/>
    <w:rsid w:val="00EB6A41"/>
    <w:rsid w:val="00EC1CBB"/>
    <w:rsid w:val="00EC2BC8"/>
    <w:rsid w:val="00ED0828"/>
    <w:rsid w:val="00ED425E"/>
    <w:rsid w:val="00ED6A9B"/>
    <w:rsid w:val="00ED737A"/>
    <w:rsid w:val="00ED7F1B"/>
    <w:rsid w:val="00EE1E3B"/>
    <w:rsid w:val="00EE4622"/>
    <w:rsid w:val="00EE566B"/>
    <w:rsid w:val="00EF13B0"/>
    <w:rsid w:val="00EF2C22"/>
    <w:rsid w:val="00EF3BC7"/>
    <w:rsid w:val="00EF5444"/>
    <w:rsid w:val="00EF775D"/>
    <w:rsid w:val="00EF7868"/>
    <w:rsid w:val="00F00D97"/>
    <w:rsid w:val="00F02178"/>
    <w:rsid w:val="00F049E2"/>
    <w:rsid w:val="00F05EA5"/>
    <w:rsid w:val="00F06767"/>
    <w:rsid w:val="00F06BD9"/>
    <w:rsid w:val="00F137D2"/>
    <w:rsid w:val="00F14E59"/>
    <w:rsid w:val="00F204E5"/>
    <w:rsid w:val="00F2528E"/>
    <w:rsid w:val="00F25CC7"/>
    <w:rsid w:val="00F263A2"/>
    <w:rsid w:val="00F26E1E"/>
    <w:rsid w:val="00F30D91"/>
    <w:rsid w:val="00F3580A"/>
    <w:rsid w:val="00F36DC6"/>
    <w:rsid w:val="00F374ED"/>
    <w:rsid w:val="00F37A29"/>
    <w:rsid w:val="00F40731"/>
    <w:rsid w:val="00F442DE"/>
    <w:rsid w:val="00F456EB"/>
    <w:rsid w:val="00F464EF"/>
    <w:rsid w:val="00F46572"/>
    <w:rsid w:val="00F4720E"/>
    <w:rsid w:val="00F50DDF"/>
    <w:rsid w:val="00F5112B"/>
    <w:rsid w:val="00F51AD9"/>
    <w:rsid w:val="00F54CBE"/>
    <w:rsid w:val="00F55E4C"/>
    <w:rsid w:val="00F61642"/>
    <w:rsid w:val="00F65291"/>
    <w:rsid w:val="00F65893"/>
    <w:rsid w:val="00F73209"/>
    <w:rsid w:val="00F74F50"/>
    <w:rsid w:val="00F801EB"/>
    <w:rsid w:val="00F82E29"/>
    <w:rsid w:val="00F83FED"/>
    <w:rsid w:val="00F84AF5"/>
    <w:rsid w:val="00F85130"/>
    <w:rsid w:val="00F857FF"/>
    <w:rsid w:val="00F90C5C"/>
    <w:rsid w:val="00F93482"/>
    <w:rsid w:val="00FA6FB8"/>
    <w:rsid w:val="00FB345C"/>
    <w:rsid w:val="00FB6BC9"/>
    <w:rsid w:val="00FC0887"/>
    <w:rsid w:val="00FC4A82"/>
    <w:rsid w:val="00FC571F"/>
    <w:rsid w:val="00FD029B"/>
    <w:rsid w:val="00FD0ABA"/>
    <w:rsid w:val="00FD30EC"/>
    <w:rsid w:val="00FE00DE"/>
    <w:rsid w:val="00FE08BE"/>
    <w:rsid w:val="00FE0F3D"/>
    <w:rsid w:val="00FE16DD"/>
    <w:rsid w:val="00FE6B11"/>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4A9CD8"/>
  <w15:chartTrackingRefBased/>
  <w15:docId w15:val="{B9814328-C1BE-4A65-A615-8FC2BFCE4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AA3"/>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uiPriority w:val="99"/>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4912">
      <w:bodyDiv w:val="1"/>
      <w:marLeft w:val="0"/>
      <w:marRight w:val="0"/>
      <w:marTop w:val="0"/>
      <w:marBottom w:val="0"/>
      <w:divBdr>
        <w:top w:val="none" w:sz="0" w:space="0" w:color="auto"/>
        <w:left w:val="none" w:sz="0" w:space="0" w:color="auto"/>
        <w:bottom w:val="none" w:sz="0" w:space="0" w:color="auto"/>
        <w:right w:val="none" w:sz="0" w:space="0" w:color="auto"/>
      </w:divBdr>
    </w:div>
    <w:div w:id="226308440">
      <w:bodyDiv w:val="1"/>
      <w:marLeft w:val="0"/>
      <w:marRight w:val="0"/>
      <w:marTop w:val="0"/>
      <w:marBottom w:val="0"/>
      <w:divBdr>
        <w:top w:val="none" w:sz="0" w:space="0" w:color="auto"/>
        <w:left w:val="none" w:sz="0" w:space="0" w:color="auto"/>
        <w:bottom w:val="none" w:sz="0" w:space="0" w:color="auto"/>
        <w:right w:val="none" w:sz="0" w:space="0" w:color="auto"/>
      </w:divBdr>
    </w:div>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46442067">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714819490">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958221768">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 w:id="1895114261">
      <w:bodyDiv w:val="1"/>
      <w:marLeft w:val="0"/>
      <w:marRight w:val="0"/>
      <w:marTop w:val="0"/>
      <w:marBottom w:val="0"/>
      <w:divBdr>
        <w:top w:val="none" w:sz="0" w:space="0" w:color="auto"/>
        <w:left w:val="none" w:sz="0" w:space="0" w:color="auto"/>
        <w:bottom w:val="none" w:sz="0" w:space="0" w:color="auto"/>
        <w:right w:val="none" w:sz="0" w:space="0" w:color="auto"/>
      </w:divBdr>
    </w:div>
    <w:div w:id="1900163987">
      <w:bodyDiv w:val="1"/>
      <w:marLeft w:val="0"/>
      <w:marRight w:val="0"/>
      <w:marTop w:val="0"/>
      <w:marBottom w:val="0"/>
      <w:divBdr>
        <w:top w:val="none" w:sz="0" w:space="0" w:color="auto"/>
        <w:left w:val="none" w:sz="0" w:space="0" w:color="auto"/>
        <w:bottom w:val="none" w:sz="0" w:space="0" w:color="auto"/>
        <w:right w:val="none" w:sz="0" w:space="0" w:color="auto"/>
      </w:divBdr>
    </w:div>
    <w:div w:id="2057001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8C5AC-2058-4F05-A3FB-9E84118AE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873</Words>
  <Characters>4807</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5669</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Juan Carlos Gutierrez Casas</cp:lastModifiedBy>
  <cp:revision>5</cp:revision>
  <cp:lastPrinted>2016-05-19T15:57:00Z</cp:lastPrinted>
  <dcterms:created xsi:type="dcterms:W3CDTF">2016-04-26T19:59:00Z</dcterms:created>
  <dcterms:modified xsi:type="dcterms:W3CDTF">2016-05-19T16:16:00Z</dcterms:modified>
</cp:coreProperties>
</file>