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152B" w:rsidRDefault="00EB152B" w:rsidP="00EB152B">
      <w:pPr>
        <w:ind w:right="423"/>
        <w:jc w:val="both"/>
        <w:rPr>
          <w:rFonts w:ascii="Arial" w:hAnsi="Arial" w:cs="Arial"/>
          <w:b/>
          <w:sz w:val="22"/>
          <w:szCs w:val="22"/>
        </w:rPr>
      </w:pPr>
    </w:p>
    <w:p w:rsidR="00CC1EB1" w:rsidRPr="00CC1EB1" w:rsidRDefault="00EB152B" w:rsidP="00CC1EB1">
      <w:pPr>
        <w:tabs>
          <w:tab w:val="left" w:pos="8647"/>
        </w:tabs>
        <w:adjustRightInd w:val="0"/>
        <w:ind w:right="-93"/>
        <w:jc w:val="center"/>
        <w:rPr>
          <w:rFonts w:ascii="Arial" w:eastAsia="Times New Roman" w:hAnsi="Arial" w:cs="Arial"/>
          <w:bCs/>
          <w:i/>
          <w:lang w:val="es-ES"/>
        </w:rPr>
      </w:pPr>
      <w:r w:rsidRPr="00CB7ADC">
        <w:rPr>
          <w:rFonts w:ascii="Arial" w:hAnsi="Arial" w:cs="Arial"/>
          <w:b/>
          <w:sz w:val="22"/>
          <w:szCs w:val="22"/>
        </w:rPr>
        <w:t>MEMO</w:t>
      </w:r>
      <w:r w:rsidRPr="00883BE4">
        <w:rPr>
          <w:rFonts w:ascii="Arial" w:hAnsi="Arial" w:cs="Arial"/>
          <w:b/>
          <w:sz w:val="22"/>
          <w:szCs w:val="22"/>
        </w:rPr>
        <w:t>RIA JUSTIFICATIVA POR MEDIO DE LA CUAL SE PROPONE L</w:t>
      </w:r>
      <w:r w:rsidR="00883BE4" w:rsidRPr="00883BE4">
        <w:rPr>
          <w:rFonts w:ascii="Arial" w:hAnsi="Arial" w:cs="Arial"/>
          <w:b/>
          <w:sz w:val="22"/>
          <w:szCs w:val="22"/>
        </w:rPr>
        <w:t xml:space="preserve">A EXPEDICIÓN DE LA RESOLUCIÓN </w:t>
      </w:r>
      <w:r w:rsidR="00CC1EB1" w:rsidRPr="00CC1EB1">
        <w:rPr>
          <w:rFonts w:ascii="Arial" w:eastAsia="Times New Roman" w:hAnsi="Arial" w:cs="Arial"/>
          <w:bCs/>
          <w:i/>
          <w:lang w:val="es-ES"/>
        </w:rPr>
        <w:t>“Por la cual se modifica los artículos 9, 10 y 12 de la Resolución No. 256 del 22 de febrero de 2018, por medio de la cual se  adopta la actualización del Manual de Compensaciones Ambientales del Componente Biótico y se toman otras determinaciones”</w:t>
      </w:r>
    </w:p>
    <w:p w:rsidR="00EB152B" w:rsidRPr="003927E5" w:rsidRDefault="00EB152B" w:rsidP="00CC1EB1">
      <w:pPr>
        <w:jc w:val="center"/>
        <w:rPr>
          <w:rFonts w:ascii="Arial" w:hAnsi="Arial" w:cs="Arial"/>
          <w:b/>
          <w:sz w:val="20"/>
          <w:szCs w:val="22"/>
        </w:rPr>
      </w:pPr>
    </w:p>
    <w:p w:rsidR="00EB152B" w:rsidRPr="003927E5" w:rsidRDefault="00EB152B" w:rsidP="00EB152B">
      <w:pPr>
        <w:jc w:val="center"/>
        <w:rPr>
          <w:rFonts w:ascii="Arial" w:hAnsi="Arial" w:cs="Arial"/>
          <w:b/>
          <w:sz w:val="22"/>
        </w:rPr>
      </w:pPr>
    </w:p>
    <w:p w:rsidR="001B0130" w:rsidRPr="003927E5" w:rsidRDefault="00EB152B" w:rsidP="001B0130">
      <w:pPr>
        <w:pStyle w:val="Prrafodelista"/>
        <w:numPr>
          <w:ilvl w:val="0"/>
          <w:numId w:val="1"/>
        </w:numPr>
        <w:spacing w:after="200" w:line="276" w:lineRule="auto"/>
        <w:jc w:val="both"/>
        <w:rPr>
          <w:rFonts w:ascii="Arial" w:hAnsi="Arial" w:cs="Arial"/>
          <w:sz w:val="22"/>
        </w:rPr>
      </w:pPr>
      <w:r w:rsidRPr="003927E5">
        <w:rPr>
          <w:rFonts w:ascii="Arial" w:hAnsi="Arial" w:cs="Arial"/>
          <w:b/>
          <w:sz w:val="22"/>
        </w:rPr>
        <w:t>Los antecedentes y las razones de oportunidad y convenienc</w:t>
      </w:r>
      <w:r w:rsidR="00606C9D" w:rsidRPr="003927E5">
        <w:rPr>
          <w:rFonts w:ascii="Arial" w:hAnsi="Arial" w:cs="Arial"/>
          <w:b/>
          <w:sz w:val="22"/>
        </w:rPr>
        <w:t>ia que justifican su expedición.</w:t>
      </w:r>
    </w:p>
    <w:p w:rsidR="001B0130" w:rsidRPr="001B0130" w:rsidRDefault="001B0130" w:rsidP="001B0130">
      <w:pPr>
        <w:jc w:val="both"/>
        <w:rPr>
          <w:rFonts w:ascii="Arial" w:eastAsia="Times New Roman" w:hAnsi="Arial" w:cs="Arial"/>
          <w:sz w:val="22"/>
          <w:lang w:val="es-ES"/>
        </w:rPr>
      </w:pPr>
      <w:r w:rsidRPr="001B0130">
        <w:rPr>
          <w:rFonts w:ascii="Arial" w:eastAsia="Times New Roman" w:hAnsi="Arial" w:cs="Arial"/>
          <w:sz w:val="22"/>
          <w:szCs w:val="20"/>
          <w:lang w:val="es-ES"/>
        </w:rPr>
        <w:t xml:space="preserve">Que a través de la Resolución No. 256 del 22 de febrero de 2018, el Ministerio de Ambiente y Desarrollo Sostenible adoptó la actualización del Manual de Compensaciones Ambientales del Componente Biótico </w:t>
      </w:r>
      <w:r w:rsidRPr="001B0130">
        <w:rPr>
          <w:rFonts w:ascii="Arial" w:eastAsia="Times New Roman" w:hAnsi="Arial" w:cs="Arial"/>
          <w:sz w:val="22"/>
          <w:lang w:val="es-ES"/>
        </w:rPr>
        <w:t>y derogó la Resolución No. 1517 de 2012 y modifica el numeral 1.2 del artículo 10 de la resolución 1526 de 2012.</w:t>
      </w:r>
    </w:p>
    <w:p w:rsidR="001B0130" w:rsidRPr="001B0130" w:rsidRDefault="001B0130" w:rsidP="001B0130">
      <w:pPr>
        <w:jc w:val="both"/>
        <w:rPr>
          <w:rFonts w:ascii="Arial" w:eastAsia="Times New Roman" w:hAnsi="Arial" w:cs="Arial"/>
          <w:sz w:val="22"/>
          <w:lang w:val="es-ES"/>
        </w:rPr>
      </w:pPr>
    </w:p>
    <w:p w:rsidR="001B0130" w:rsidRPr="001B0130" w:rsidRDefault="001B0130" w:rsidP="001B0130">
      <w:pPr>
        <w:tabs>
          <w:tab w:val="left" w:pos="8647"/>
        </w:tabs>
        <w:adjustRightInd w:val="0"/>
        <w:ind w:right="49"/>
        <w:jc w:val="both"/>
        <w:rPr>
          <w:rFonts w:ascii="Arial" w:eastAsia="Times New Roman" w:hAnsi="Arial" w:cs="Arial"/>
          <w:sz w:val="22"/>
          <w:lang w:val="es-ES"/>
        </w:rPr>
      </w:pPr>
      <w:r w:rsidRPr="001B0130">
        <w:rPr>
          <w:rFonts w:ascii="Arial" w:eastAsia="Times New Roman" w:hAnsi="Arial" w:cs="Arial"/>
          <w:sz w:val="22"/>
          <w:lang w:val="es-ES"/>
        </w:rPr>
        <w:t>Que de conformidad con los diferentes escenarios técnicos y jurídicos que el Ministerio de Ambiente y Desarrollo Sostenible sostuvo con actores y autoridades ambientales, se observó la necesidad de modificar los artículos 9, 10 y 12 de la</w:t>
      </w:r>
      <w:r w:rsidRPr="001B0130">
        <w:rPr>
          <w:rFonts w:ascii="Arial" w:eastAsia="Times New Roman" w:hAnsi="Arial" w:cs="Arial"/>
          <w:sz w:val="22"/>
          <w:szCs w:val="20"/>
          <w:lang w:val="es-ES"/>
        </w:rPr>
        <w:t xml:space="preserve"> </w:t>
      </w:r>
      <w:r w:rsidRPr="001B0130">
        <w:rPr>
          <w:rFonts w:ascii="Arial" w:eastAsia="Times New Roman" w:hAnsi="Arial" w:cs="Arial"/>
          <w:sz w:val="22"/>
          <w:lang w:val="es-ES"/>
        </w:rPr>
        <w:t xml:space="preserve">Resolución No. 256 del 22 de febrero de 2018, con el fin de dar certeza a la aplicabilidad jurídica del régimen de transición por parte de </w:t>
      </w:r>
      <w:r w:rsidR="00923866" w:rsidRPr="003927E5">
        <w:rPr>
          <w:rFonts w:ascii="Arial" w:eastAsia="Times New Roman" w:hAnsi="Arial" w:cs="Arial"/>
          <w:sz w:val="22"/>
          <w:lang w:val="es-ES"/>
        </w:rPr>
        <w:t>la Autoridad Nacional de Licencias Ambientales –ANLA-, las Corporaciones Autónomas Regionales y las de Desarrollo Sostenible, los Grandes Centros Urbanos de que trata el artículo 66 de la Ley 99 de 1993, establecimientos públicos ambientales creadas mediante la Ley 768 de 2002 y 1617 de 2013</w:t>
      </w:r>
      <w:r w:rsidRPr="001B0130">
        <w:rPr>
          <w:rFonts w:ascii="Arial" w:eastAsia="Times New Roman" w:hAnsi="Arial" w:cs="Arial"/>
          <w:sz w:val="22"/>
          <w:lang w:val="es-ES"/>
        </w:rPr>
        <w:t xml:space="preserve">, partiendo de una fecha exacta de entrada en vigencia del acto administrativo en comento. </w:t>
      </w:r>
    </w:p>
    <w:p w:rsidR="001B0130" w:rsidRPr="001B0130" w:rsidRDefault="001B0130" w:rsidP="001B0130">
      <w:pPr>
        <w:tabs>
          <w:tab w:val="left" w:pos="8647"/>
        </w:tabs>
        <w:adjustRightInd w:val="0"/>
        <w:ind w:right="49"/>
        <w:jc w:val="both"/>
        <w:rPr>
          <w:rFonts w:ascii="Arial" w:eastAsia="Times New Roman" w:hAnsi="Arial" w:cs="Arial"/>
          <w:sz w:val="22"/>
          <w:lang w:val="es-ES"/>
        </w:rPr>
      </w:pPr>
    </w:p>
    <w:p w:rsidR="001B0130" w:rsidRPr="001B0130" w:rsidRDefault="001B0130" w:rsidP="001B0130">
      <w:pPr>
        <w:tabs>
          <w:tab w:val="left" w:pos="8647"/>
        </w:tabs>
        <w:adjustRightInd w:val="0"/>
        <w:ind w:right="49"/>
        <w:jc w:val="both"/>
        <w:rPr>
          <w:rFonts w:ascii="Arial" w:eastAsia="Times New Roman" w:hAnsi="Arial" w:cs="Arial"/>
          <w:sz w:val="22"/>
          <w:lang w:val="es-ES"/>
        </w:rPr>
      </w:pPr>
      <w:r w:rsidRPr="001B0130">
        <w:rPr>
          <w:rFonts w:ascii="Arial" w:eastAsia="Times New Roman" w:hAnsi="Arial" w:cs="Arial"/>
          <w:sz w:val="22"/>
          <w:lang w:val="es-ES"/>
        </w:rPr>
        <w:t>Que conforme a lo anterior, este Ministerio modificará a través del presente acto administrativo los artículos 9, 10 y 12 de la</w:t>
      </w:r>
      <w:r w:rsidRPr="001B0130">
        <w:rPr>
          <w:rFonts w:ascii="Arial" w:eastAsia="Times New Roman" w:hAnsi="Arial" w:cs="Arial"/>
          <w:sz w:val="22"/>
          <w:szCs w:val="20"/>
          <w:lang w:val="es-ES"/>
        </w:rPr>
        <w:t xml:space="preserve"> </w:t>
      </w:r>
      <w:r w:rsidRPr="001B0130">
        <w:rPr>
          <w:rFonts w:ascii="Arial" w:eastAsia="Times New Roman" w:hAnsi="Arial" w:cs="Arial"/>
          <w:sz w:val="22"/>
          <w:lang w:val="es-ES"/>
        </w:rPr>
        <w:t>Resolución No. 256 del 22 de febrero de 2018</w:t>
      </w:r>
      <w:r w:rsidR="00CD11A6" w:rsidRPr="003927E5">
        <w:rPr>
          <w:rFonts w:ascii="Arial" w:eastAsia="Times New Roman" w:hAnsi="Arial" w:cs="Arial"/>
          <w:sz w:val="22"/>
          <w:lang w:val="es-ES"/>
        </w:rPr>
        <w:t xml:space="preserve">, con el fin de </w:t>
      </w:r>
      <w:r w:rsidR="008B51A5" w:rsidRPr="003927E5">
        <w:rPr>
          <w:rFonts w:ascii="Arial" w:eastAsia="Times New Roman" w:hAnsi="Arial" w:cs="Arial"/>
          <w:sz w:val="22"/>
          <w:lang w:val="es-ES"/>
        </w:rPr>
        <w:t>dar certeza jurídica a los usuarios.</w:t>
      </w:r>
    </w:p>
    <w:p w:rsidR="00EB152B" w:rsidRPr="00EB152B" w:rsidRDefault="00EB152B" w:rsidP="00EB152B">
      <w:pPr>
        <w:jc w:val="both"/>
        <w:rPr>
          <w:rFonts w:ascii="Arial" w:eastAsia="Times New Roman" w:hAnsi="Arial" w:cs="Arial"/>
          <w:sz w:val="22"/>
          <w:szCs w:val="22"/>
          <w:lang w:val="es-ES"/>
        </w:rPr>
      </w:pPr>
    </w:p>
    <w:p w:rsidR="00EB152B" w:rsidRDefault="00EB152B" w:rsidP="00EB152B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2. El ámbito de aplicación del respectivo acto y los sujetos a quienes va dirigido</w:t>
      </w:r>
    </w:p>
    <w:p w:rsidR="00EB152B" w:rsidRDefault="00EB152B" w:rsidP="00EB152B">
      <w:pPr>
        <w:tabs>
          <w:tab w:val="left" w:pos="9356"/>
        </w:tabs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tabs>
          <w:tab w:val="left" w:pos="935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El ámbito de </w:t>
      </w:r>
      <w:r w:rsidR="00F80E6B">
        <w:rPr>
          <w:rFonts w:ascii="Arial" w:hAnsi="Arial" w:cs="Arial"/>
          <w:sz w:val="22"/>
          <w:szCs w:val="22"/>
        </w:rPr>
        <w:t xml:space="preserve">aplicación </w:t>
      </w:r>
      <w:r w:rsidR="00BC3423">
        <w:rPr>
          <w:rFonts w:ascii="Arial" w:hAnsi="Arial" w:cs="Arial"/>
          <w:sz w:val="22"/>
          <w:szCs w:val="22"/>
        </w:rPr>
        <w:t xml:space="preserve">es </w:t>
      </w:r>
      <w:r w:rsidR="00F80E6B">
        <w:rPr>
          <w:rFonts w:ascii="Arial" w:hAnsi="Arial" w:cs="Arial"/>
          <w:sz w:val="22"/>
          <w:szCs w:val="22"/>
        </w:rPr>
        <w:t xml:space="preserve">para todos los proyectos sometidos a licenciamiento ambiental, aprovechamiento forestal único y sustracción </w:t>
      </w:r>
      <w:r w:rsidR="005B6C31">
        <w:rPr>
          <w:rFonts w:ascii="Arial" w:hAnsi="Arial" w:cs="Arial"/>
          <w:sz w:val="22"/>
          <w:szCs w:val="22"/>
        </w:rPr>
        <w:t xml:space="preserve">temporal o definitiva </w:t>
      </w:r>
      <w:r w:rsidR="00F80E6B">
        <w:rPr>
          <w:rFonts w:ascii="Arial" w:hAnsi="Arial" w:cs="Arial"/>
          <w:sz w:val="22"/>
          <w:szCs w:val="22"/>
        </w:rPr>
        <w:t xml:space="preserve">de </w:t>
      </w:r>
      <w:r w:rsidR="00BC3423">
        <w:rPr>
          <w:rFonts w:ascii="Arial" w:hAnsi="Arial" w:cs="Arial"/>
          <w:sz w:val="22"/>
          <w:szCs w:val="22"/>
        </w:rPr>
        <w:t>áreas de reserva forestal</w:t>
      </w:r>
      <w:r w:rsidR="00485AE5">
        <w:rPr>
          <w:rFonts w:ascii="Arial" w:hAnsi="Arial" w:cs="Arial"/>
          <w:sz w:val="22"/>
          <w:szCs w:val="22"/>
        </w:rPr>
        <w:t>.</w:t>
      </w:r>
      <w:r w:rsidR="00F80E6B">
        <w:rPr>
          <w:rFonts w:ascii="Arial" w:hAnsi="Arial" w:cs="Arial"/>
          <w:sz w:val="22"/>
          <w:szCs w:val="22"/>
        </w:rPr>
        <w:t xml:space="preserve"> </w:t>
      </w:r>
    </w:p>
    <w:p w:rsidR="00EB152B" w:rsidRDefault="00EB152B" w:rsidP="00EB152B">
      <w:pPr>
        <w:widowControl w:val="0"/>
        <w:numPr>
          <w:ilvl w:val="12"/>
          <w:numId w:val="0"/>
        </w:numPr>
        <w:tabs>
          <w:tab w:val="left" w:pos="0"/>
          <w:tab w:val="left" w:pos="368"/>
          <w:tab w:val="left" w:pos="736"/>
          <w:tab w:val="left" w:pos="1105"/>
          <w:tab w:val="left" w:pos="1473"/>
          <w:tab w:val="left" w:pos="1842"/>
          <w:tab w:val="left" w:pos="2210"/>
          <w:tab w:val="left" w:pos="2578"/>
          <w:tab w:val="left" w:pos="2947"/>
          <w:tab w:val="left" w:pos="3315"/>
          <w:tab w:val="left" w:pos="3684"/>
          <w:tab w:val="left" w:pos="4052"/>
          <w:tab w:val="left" w:pos="4420"/>
          <w:tab w:val="left" w:pos="4789"/>
          <w:tab w:val="left" w:pos="5157"/>
          <w:tab w:val="left" w:pos="5527"/>
          <w:tab w:val="left" w:pos="5895"/>
          <w:tab w:val="left" w:pos="6263"/>
          <w:tab w:val="left" w:pos="6631"/>
          <w:tab w:val="left" w:pos="6999"/>
          <w:tab w:val="left" w:pos="7367"/>
          <w:tab w:val="left" w:pos="7735"/>
          <w:tab w:val="left" w:pos="8103"/>
          <w:tab w:val="left" w:pos="8471"/>
          <w:tab w:val="left" w:pos="9207"/>
          <w:tab w:val="left" w:pos="9356"/>
          <w:tab w:val="left" w:pos="9575"/>
          <w:tab w:val="left" w:pos="9943"/>
        </w:tabs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tabs>
          <w:tab w:val="left" w:pos="9356"/>
        </w:tabs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3. La viabilidad jurídica, que deberá contar con el visto bueno de la Oficina Asesora Jurídica de la entidad o la dependencia que haga sus veces.</w:t>
      </w:r>
    </w:p>
    <w:p w:rsidR="00EB152B" w:rsidRDefault="00EB152B" w:rsidP="00EB152B">
      <w:pPr>
        <w:tabs>
          <w:tab w:val="left" w:pos="9356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contextualSpacing/>
        <w:jc w:val="both"/>
        <w:rPr>
          <w:rFonts w:ascii="Arial" w:hAnsi="Arial" w:cs="Arial"/>
          <w:sz w:val="22"/>
          <w:szCs w:val="22"/>
        </w:rPr>
      </w:pPr>
      <w:r w:rsidRPr="00145B0F">
        <w:rPr>
          <w:rFonts w:ascii="Arial" w:hAnsi="Arial" w:cs="Arial"/>
          <w:sz w:val="22"/>
          <w:szCs w:val="22"/>
        </w:rPr>
        <w:t>El documento cuenta con la viabilidad de la Oficina Asesora Jurídica del Ministerio de Ambiente y Desarrollo Sostenible.</w:t>
      </w:r>
      <w:r w:rsidRPr="001C57AC">
        <w:rPr>
          <w:rFonts w:ascii="Arial" w:hAnsi="Arial" w:cs="Arial"/>
          <w:sz w:val="22"/>
          <w:szCs w:val="22"/>
        </w:rPr>
        <w:t xml:space="preserve"> </w:t>
      </w:r>
    </w:p>
    <w:p w:rsidR="00EB152B" w:rsidRPr="00145B0F" w:rsidRDefault="00EB152B" w:rsidP="006B144C">
      <w:pPr>
        <w:tabs>
          <w:tab w:val="left" w:pos="9356"/>
        </w:tabs>
        <w:autoSpaceDE w:val="0"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tabs>
          <w:tab w:val="left" w:pos="9356"/>
        </w:tabs>
        <w:autoSpaceDE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45B0F">
        <w:rPr>
          <w:rFonts w:ascii="Arial" w:hAnsi="Arial" w:cs="Arial"/>
          <w:sz w:val="22"/>
          <w:szCs w:val="22"/>
        </w:rPr>
        <w:t>3.1. Análisis expreso y detallado de las normas que otorgan la competencia para la expedición del correspondiente acto.</w:t>
      </w:r>
    </w:p>
    <w:p w:rsidR="00EB152B" w:rsidRDefault="00EB152B" w:rsidP="00EB152B">
      <w:pPr>
        <w:jc w:val="both"/>
        <w:rPr>
          <w:rFonts w:ascii="Arial" w:hAnsi="Arial" w:cs="Arial"/>
          <w:sz w:val="22"/>
          <w:szCs w:val="22"/>
        </w:rPr>
      </w:pPr>
    </w:p>
    <w:p w:rsidR="006B144C" w:rsidRDefault="00CB7483" w:rsidP="006B144C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numerales 1º </w:t>
      </w:r>
      <w:r w:rsidR="0053125D">
        <w:rPr>
          <w:rFonts w:ascii="Arial" w:hAnsi="Arial" w:cs="Arial"/>
          <w:sz w:val="22"/>
          <w:szCs w:val="22"/>
        </w:rPr>
        <w:t>y 14</w:t>
      </w:r>
      <w:r w:rsidR="006B144C" w:rsidRPr="0077078C">
        <w:rPr>
          <w:rFonts w:ascii="Arial" w:hAnsi="Arial" w:cs="Arial"/>
          <w:sz w:val="22"/>
          <w:szCs w:val="22"/>
        </w:rPr>
        <w:t xml:space="preserve"> del artículo 5º de la Ley 99 de 1993,</w:t>
      </w:r>
      <w:r w:rsidR="006B144C">
        <w:rPr>
          <w:rFonts w:ascii="Arial" w:hAnsi="Arial" w:cs="Arial"/>
          <w:sz w:val="22"/>
          <w:szCs w:val="22"/>
        </w:rPr>
        <w:t xml:space="preserve"> le otorgan al Ministerio de Ambiente y Desarrollo Sostenible la competencia de establecer reglas a nivel nacional</w:t>
      </w:r>
      <w:r w:rsidR="006B144C" w:rsidRPr="00040238">
        <w:rPr>
          <w:rFonts w:ascii="Arial" w:hAnsi="Arial" w:cs="Arial"/>
          <w:sz w:val="22"/>
          <w:szCs w:val="22"/>
        </w:rPr>
        <w:t xml:space="preserve"> para asegurar el aprovechamiento sostenible de los recursos naturales renovables y del medio ambiente</w:t>
      </w:r>
      <w:r w:rsidR="006B144C">
        <w:rPr>
          <w:rFonts w:ascii="Arial" w:hAnsi="Arial" w:cs="Arial"/>
          <w:sz w:val="22"/>
          <w:szCs w:val="22"/>
        </w:rPr>
        <w:t xml:space="preserve">, y de coordinar el proceso de planificación en materia ambiental, a través de las siguientes funciones: </w:t>
      </w:r>
    </w:p>
    <w:p w:rsidR="006B144C" w:rsidRPr="0077078C" w:rsidRDefault="006B144C" w:rsidP="006B144C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6B144C" w:rsidRDefault="006B144C" w:rsidP="006B144C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“</w:t>
      </w:r>
      <w:r w:rsidRPr="00672D5A">
        <w:rPr>
          <w:rFonts w:ascii="Arial" w:hAnsi="Arial" w:cs="Arial"/>
          <w:i/>
          <w:sz w:val="22"/>
          <w:szCs w:val="22"/>
        </w:rPr>
        <w:t>Formular la política nacional en relación con el medio ambiente y los recursos naturales renovables, y establecer las reglas y criterios de ordenamiento ambiental de uso del territorio y de los mares adyacentes, para asegurar el aprovechamiento sostenible de los recursos naturales renovables y del medio ambiente</w:t>
      </w:r>
      <w:r>
        <w:rPr>
          <w:rFonts w:ascii="Arial" w:hAnsi="Arial" w:cs="Arial"/>
          <w:sz w:val="22"/>
          <w:szCs w:val="22"/>
        </w:rPr>
        <w:t>”.</w:t>
      </w:r>
    </w:p>
    <w:p w:rsidR="000C0587" w:rsidRPr="0053125D" w:rsidRDefault="0053125D" w:rsidP="006B144C">
      <w:pPr>
        <w:pStyle w:val="Prrafodelista"/>
        <w:numPr>
          <w:ilvl w:val="0"/>
          <w:numId w:val="2"/>
        </w:numPr>
        <w:tabs>
          <w:tab w:val="left" w:pos="-720"/>
        </w:tabs>
        <w:suppressAutoHyphens/>
        <w:jc w:val="both"/>
        <w:rPr>
          <w:rFonts w:ascii="Arial" w:hAnsi="Arial" w:cs="Arial"/>
          <w:i/>
          <w:sz w:val="22"/>
          <w:szCs w:val="22"/>
        </w:rPr>
      </w:pPr>
      <w:r w:rsidRPr="0053125D">
        <w:rPr>
          <w:rFonts w:ascii="Arial" w:hAnsi="Arial" w:cs="Arial"/>
          <w:i/>
          <w:sz w:val="22"/>
          <w:szCs w:val="22"/>
        </w:rPr>
        <w:t>“Definir y regular los instrumentos administrativos y mecanismos necesarios para la prevención y el control de los factores de deterioro ambiental y determinar los criterios de evaluación, seguimiento y manejo ambientales de las actividades económicas.”</w:t>
      </w:r>
    </w:p>
    <w:p w:rsidR="00EB152B" w:rsidRPr="0077078C" w:rsidRDefault="00EB152B" w:rsidP="00EB152B">
      <w:pPr>
        <w:tabs>
          <w:tab w:val="left" w:pos="-720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EB152B" w:rsidRPr="002C780E" w:rsidRDefault="00EB152B" w:rsidP="00EB152B">
      <w:pPr>
        <w:jc w:val="both"/>
        <w:rPr>
          <w:rFonts w:ascii="Arial" w:hAnsi="Arial" w:cs="Arial"/>
          <w:sz w:val="22"/>
          <w:szCs w:val="22"/>
        </w:rPr>
      </w:pPr>
      <w:r w:rsidRPr="002C780E">
        <w:rPr>
          <w:rFonts w:ascii="Arial" w:hAnsi="Arial" w:cs="Arial"/>
          <w:sz w:val="22"/>
          <w:szCs w:val="22"/>
        </w:rPr>
        <w:t xml:space="preserve">Estas funciones son reforzadas mediante el numeral </w:t>
      </w:r>
      <w:r w:rsidR="00BC3423">
        <w:rPr>
          <w:rFonts w:ascii="Arial" w:hAnsi="Arial" w:cs="Arial"/>
          <w:sz w:val="22"/>
          <w:szCs w:val="22"/>
        </w:rPr>
        <w:t>2</w:t>
      </w:r>
      <w:r w:rsidRPr="002C780E">
        <w:rPr>
          <w:rFonts w:ascii="Arial" w:hAnsi="Arial" w:cs="Arial"/>
          <w:sz w:val="22"/>
          <w:szCs w:val="22"/>
        </w:rPr>
        <w:t xml:space="preserve"> del artículo 2 del Decreto Ley 3570 de 2011</w:t>
      </w:r>
      <w:r w:rsidR="00CB7483">
        <w:rPr>
          <w:rFonts w:ascii="Arial" w:hAnsi="Arial" w:cs="Arial"/>
          <w:sz w:val="22"/>
          <w:szCs w:val="22"/>
        </w:rPr>
        <w:t>,</w:t>
      </w:r>
      <w:r w:rsidRPr="002C780E">
        <w:rPr>
          <w:rFonts w:ascii="Arial" w:hAnsi="Arial" w:cs="Arial"/>
          <w:sz w:val="22"/>
          <w:szCs w:val="22"/>
        </w:rPr>
        <w:t xml:space="preserve"> el cual le otorga a este Ministerio</w:t>
      </w:r>
      <w:r w:rsidR="00CB7483">
        <w:rPr>
          <w:rFonts w:ascii="Arial" w:hAnsi="Arial" w:cs="Arial"/>
          <w:sz w:val="22"/>
          <w:szCs w:val="22"/>
        </w:rPr>
        <w:t>,</w:t>
      </w:r>
      <w:r w:rsidRPr="002C780E">
        <w:rPr>
          <w:rFonts w:ascii="Arial" w:hAnsi="Arial" w:cs="Arial"/>
          <w:sz w:val="22"/>
          <w:szCs w:val="22"/>
        </w:rPr>
        <w:t xml:space="preserve"> la competencia para </w:t>
      </w:r>
      <w:r w:rsidR="008B51A5" w:rsidRPr="008B51A5">
        <w:rPr>
          <w:rFonts w:ascii="Arial" w:eastAsia="Times New Roman" w:hAnsi="Arial" w:cs="Arial"/>
          <w:i/>
          <w:szCs w:val="20"/>
          <w:lang w:val="es-ES"/>
        </w:rPr>
        <w:t>“Diseñar y regular las políticas públicas y las condiciones generales para el saneamiento del ambiente, y el uso, manejo, aprovechamiento, conservación, restauración y recuperación de los recursos naturales, a fin de impedir, reprimir, eliminar o mitigar el impacto de actividades contaminantes, deteriorantes o destructivas del entorno o del patrimonio natural, en todos los sectores económicos y productivos.”</w:t>
      </w:r>
      <w:r w:rsidRPr="002C780E">
        <w:rPr>
          <w:rFonts w:ascii="Arial" w:hAnsi="Arial" w:cs="Arial"/>
          <w:sz w:val="22"/>
          <w:szCs w:val="22"/>
        </w:rPr>
        <w:t>.</w:t>
      </w:r>
    </w:p>
    <w:p w:rsidR="00EB152B" w:rsidRPr="00145B0F" w:rsidRDefault="00EB152B" w:rsidP="00EB152B">
      <w:pPr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autoSpaceDE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45B0F">
        <w:rPr>
          <w:rFonts w:ascii="Arial" w:hAnsi="Arial" w:cs="Arial"/>
          <w:sz w:val="22"/>
          <w:szCs w:val="22"/>
        </w:rPr>
        <w:t>3.2. La vigencia de la Ley o norma reglamentada o desarrollada.</w:t>
      </w:r>
    </w:p>
    <w:p w:rsidR="00EB152B" w:rsidRPr="00145B0F" w:rsidRDefault="00EB152B" w:rsidP="00EB152B">
      <w:pPr>
        <w:autoSpaceDE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:rsidR="00EB152B" w:rsidRPr="00145B0F" w:rsidRDefault="00EB152B" w:rsidP="00EB152B">
      <w:pPr>
        <w:tabs>
          <w:tab w:val="left" w:pos="3690"/>
        </w:tabs>
        <w:ind w:right="-91"/>
        <w:jc w:val="both"/>
        <w:rPr>
          <w:rFonts w:ascii="Arial" w:hAnsi="Arial" w:cs="Arial"/>
          <w:sz w:val="22"/>
          <w:szCs w:val="22"/>
        </w:rPr>
      </w:pPr>
      <w:r w:rsidRPr="00145B0F">
        <w:rPr>
          <w:rFonts w:ascii="Arial" w:hAnsi="Arial" w:cs="Arial"/>
          <w:sz w:val="22"/>
          <w:szCs w:val="22"/>
        </w:rPr>
        <w:t>La vigencia de la propuesta de resolución rige a partir de su publicación en el Diario Oficial.</w:t>
      </w:r>
    </w:p>
    <w:p w:rsidR="00EB152B" w:rsidRDefault="00EB152B" w:rsidP="00EB152B">
      <w:pPr>
        <w:autoSpaceDE w:val="0"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autoSpaceDE w:val="0"/>
        <w:ind w:left="709" w:hanging="425"/>
        <w:jc w:val="both"/>
        <w:rPr>
          <w:rFonts w:ascii="Arial" w:hAnsi="Arial" w:cs="Arial"/>
          <w:sz w:val="22"/>
          <w:szCs w:val="22"/>
        </w:rPr>
      </w:pPr>
      <w:r w:rsidRPr="00145B0F">
        <w:rPr>
          <w:rFonts w:ascii="Arial" w:hAnsi="Arial" w:cs="Arial"/>
          <w:sz w:val="22"/>
          <w:szCs w:val="22"/>
        </w:rPr>
        <w:t>3.3. Las disposiciones derogadas, subrogadas, modificadas, adicionadas o sustituidas, si alguno de estos efectos se produce con la expedición del respectivo acto. </w:t>
      </w:r>
    </w:p>
    <w:p w:rsidR="00CB7483" w:rsidRDefault="00CB7483" w:rsidP="00EB152B">
      <w:pPr>
        <w:autoSpaceDE w:val="0"/>
        <w:ind w:left="709" w:hanging="425"/>
        <w:jc w:val="both"/>
        <w:rPr>
          <w:rFonts w:ascii="Arial" w:hAnsi="Arial" w:cs="Arial"/>
          <w:sz w:val="22"/>
          <w:szCs w:val="22"/>
        </w:rPr>
      </w:pPr>
    </w:p>
    <w:p w:rsidR="00EB152B" w:rsidRDefault="00DC3103" w:rsidP="00EB152B">
      <w:pPr>
        <w:tabs>
          <w:tab w:val="left" w:pos="3690"/>
        </w:tabs>
        <w:ind w:right="-91"/>
        <w:jc w:val="both"/>
        <w:rPr>
          <w:rFonts w:ascii="Arial" w:hAnsi="Arial" w:cs="Arial"/>
          <w:sz w:val="22"/>
          <w:szCs w:val="22"/>
          <w:lang w:val="es-ES"/>
        </w:rPr>
      </w:pPr>
      <w:r w:rsidRPr="00DC3103">
        <w:rPr>
          <w:rFonts w:ascii="Arial" w:hAnsi="Arial" w:cs="Arial"/>
          <w:sz w:val="22"/>
          <w:szCs w:val="22"/>
          <w:lang w:val="es-ES"/>
        </w:rPr>
        <w:t>La presente resolución modifica los artículos 9, 10 y 12 de la Resolución No. 256 del 22 de febrero de 2018</w:t>
      </w:r>
      <w:r>
        <w:rPr>
          <w:rFonts w:ascii="Arial" w:hAnsi="Arial" w:cs="Arial"/>
          <w:sz w:val="22"/>
          <w:szCs w:val="22"/>
          <w:lang w:val="es-ES"/>
        </w:rPr>
        <w:t>.</w:t>
      </w:r>
    </w:p>
    <w:p w:rsidR="00DC3103" w:rsidRDefault="00DC3103" w:rsidP="00EB152B">
      <w:pPr>
        <w:tabs>
          <w:tab w:val="left" w:pos="3690"/>
        </w:tabs>
        <w:ind w:right="-91"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4. Impacto económico si fuere el caso, el cual deberá señalar el costo o ahorro, de la implementación del respectivo acto.</w:t>
      </w:r>
    </w:p>
    <w:p w:rsidR="00EB152B" w:rsidRDefault="00EB152B" w:rsidP="00EB15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A32371" w:rsidRPr="00A32371" w:rsidRDefault="00A32371" w:rsidP="00A3237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32371">
        <w:rPr>
          <w:rFonts w:ascii="Arial" w:hAnsi="Arial" w:cs="Arial"/>
          <w:sz w:val="22"/>
          <w:szCs w:val="22"/>
        </w:rPr>
        <w:t>La implementación del acto administrativo, no genera costo ni ahorro, dado que este instrumento ya se encuentra en aplicación.</w:t>
      </w:r>
      <w:bookmarkStart w:id="0" w:name="_GoBack"/>
      <w:bookmarkEnd w:id="0"/>
    </w:p>
    <w:p w:rsidR="00EB152B" w:rsidRDefault="00EB152B" w:rsidP="00EB15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EB152B" w:rsidRDefault="00EB152B" w:rsidP="00EB15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5. Disponibilidad presupuestal si fuere del caso.</w:t>
      </w:r>
    </w:p>
    <w:p w:rsidR="00EB152B" w:rsidRDefault="00EB152B" w:rsidP="00EB152B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aplica.</w:t>
      </w:r>
    </w:p>
    <w:p w:rsidR="00EB152B" w:rsidRDefault="00EB152B" w:rsidP="00EB15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6. De ser necesario, impacto medioambiental o sobre el patrimonio cultural de la Nación.</w:t>
      </w:r>
    </w:p>
    <w:p w:rsidR="00EB152B" w:rsidRDefault="00EB152B" w:rsidP="00EB152B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tabs>
          <w:tab w:val="left" w:pos="550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aplica</w:t>
      </w:r>
    </w:p>
    <w:p w:rsidR="00EB152B" w:rsidRDefault="00EB152B" w:rsidP="00EB152B">
      <w:pPr>
        <w:tabs>
          <w:tab w:val="left" w:pos="5505"/>
        </w:tabs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tabs>
          <w:tab w:val="left" w:pos="5505"/>
        </w:tabs>
        <w:contextualSpacing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7. El cumplimiento de los requisitos de consulta y publicidad.</w:t>
      </w:r>
    </w:p>
    <w:p w:rsidR="000520BD" w:rsidRDefault="000520BD" w:rsidP="00EB152B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226216" w:rsidRDefault="00226216" w:rsidP="00EB152B">
      <w:pPr>
        <w:contextualSpacing/>
        <w:jc w:val="both"/>
        <w:rPr>
          <w:rFonts w:ascii="Arial" w:hAnsi="Arial" w:cs="Arial"/>
          <w:sz w:val="22"/>
          <w:szCs w:val="22"/>
        </w:rPr>
      </w:pPr>
      <w:r w:rsidRPr="00226216">
        <w:rPr>
          <w:rFonts w:ascii="Arial" w:hAnsi="Arial" w:cs="Arial"/>
          <w:sz w:val="22"/>
          <w:szCs w:val="22"/>
        </w:rPr>
        <w:t>La presente propuesta de resolución será publicada en la p</w:t>
      </w:r>
      <w:r w:rsidR="00CF11B2">
        <w:rPr>
          <w:rFonts w:ascii="Arial" w:hAnsi="Arial" w:cs="Arial"/>
          <w:sz w:val="22"/>
          <w:szCs w:val="22"/>
        </w:rPr>
        <w:t>ágina Web de MINAMBIENTE</w:t>
      </w:r>
      <w:r w:rsidRPr="00226216">
        <w:rPr>
          <w:rFonts w:ascii="Arial" w:hAnsi="Arial" w:cs="Arial"/>
          <w:sz w:val="22"/>
          <w:szCs w:val="22"/>
        </w:rPr>
        <w:t xml:space="preserve"> del </w:t>
      </w:r>
      <w:r w:rsidR="00327E96">
        <w:rPr>
          <w:rFonts w:ascii="Arial" w:hAnsi="Arial" w:cs="Arial"/>
          <w:sz w:val="22"/>
          <w:szCs w:val="22"/>
        </w:rPr>
        <w:t>24</w:t>
      </w:r>
      <w:r w:rsidRPr="00226216">
        <w:rPr>
          <w:rFonts w:ascii="Arial" w:hAnsi="Arial" w:cs="Arial"/>
          <w:sz w:val="22"/>
          <w:szCs w:val="22"/>
        </w:rPr>
        <w:t xml:space="preserve"> al </w:t>
      </w:r>
      <w:r w:rsidR="00327E96">
        <w:rPr>
          <w:rFonts w:ascii="Arial" w:hAnsi="Arial" w:cs="Arial"/>
          <w:sz w:val="22"/>
          <w:szCs w:val="22"/>
        </w:rPr>
        <w:t>30</w:t>
      </w:r>
      <w:r w:rsidRPr="00226216">
        <w:rPr>
          <w:rFonts w:ascii="Arial" w:hAnsi="Arial" w:cs="Arial"/>
          <w:sz w:val="22"/>
          <w:szCs w:val="22"/>
        </w:rPr>
        <w:t xml:space="preserve"> de </w:t>
      </w:r>
      <w:r w:rsidR="000D1382">
        <w:rPr>
          <w:rFonts w:ascii="Arial" w:hAnsi="Arial" w:cs="Arial"/>
          <w:sz w:val="22"/>
          <w:szCs w:val="22"/>
        </w:rPr>
        <w:t>mayo</w:t>
      </w:r>
      <w:r w:rsidRPr="00226216">
        <w:rPr>
          <w:rFonts w:ascii="Arial" w:hAnsi="Arial" w:cs="Arial"/>
          <w:sz w:val="22"/>
          <w:szCs w:val="22"/>
        </w:rPr>
        <w:t xml:space="preserve"> de 2018, a fin de recibir los comentarios y recomendaciones pertinentes. Este tiempo de publicación será menor, teniendo en cuenta la complejidad de la materia regulada</w:t>
      </w:r>
      <w:r w:rsidR="00BF1B9B" w:rsidRPr="00BF1B9B">
        <w:rPr>
          <w:rFonts w:ascii="Arial" w:hAnsi="Arial" w:cs="Arial"/>
          <w:sz w:val="22"/>
          <w:szCs w:val="22"/>
        </w:rPr>
        <w:t xml:space="preserve"> </w:t>
      </w:r>
      <w:r w:rsidR="00151BDD">
        <w:rPr>
          <w:rFonts w:ascii="Arial" w:hAnsi="Arial" w:cs="Arial"/>
          <w:sz w:val="22"/>
          <w:szCs w:val="22"/>
        </w:rPr>
        <w:t>(manual de compensaciones del componente biótico</w:t>
      </w:r>
      <w:r w:rsidR="00AF12A9">
        <w:rPr>
          <w:rFonts w:ascii="Arial" w:hAnsi="Arial" w:cs="Arial"/>
          <w:sz w:val="22"/>
          <w:szCs w:val="22"/>
        </w:rPr>
        <w:t xml:space="preserve"> acorde con la</w:t>
      </w:r>
      <w:r w:rsidR="00151BDD">
        <w:rPr>
          <w:rFonts w:ascii="Arial" w:hAnsi="Arial" w:cs="Arial"/>
          <w:sz w:val="22"/>
          <w:szCs w:val="22"/>
        </w:rPr>
        <w:t xml:space="preserve"> </w:t>
      </w:r>
      <w:r w:rsidR="00BF1B9B" w:rsidRPr="00BF1B9B">
        <w:rPr>
          <w:rFonts w:ascii="Arial" w:hAnsi="Arial" w:cs="Arial"/>
          <w:sz w:val="22"/>
          <w:szCs w:val="22"/>
        </w:rPr>
        <w:t>licencia ambiental, el permiso de aprovechamiento forestal y la sustracción de áreas de reserva forestal, y la dinámica que sus trámites establecen</w:t>
      </w:r>
      <w:r w:rsidR="00151BDD">
        <w:rPr>
          <w:rFonts w:ascii="Arial" w:hAnsi="Arial" w:cs="Arial"/>
          <w:sz w:val="22"/>
          <w:szCs w:val="22"/>
        </w:rPr>
        <w:t>)</w:t>
      </w:r>
      <w:r w:rsidRPr="00226216">
        <w:rPr>
          <w:rFonts w:ascii="Arial" w:hAnsi="Arial" w:cs="Arial"/>
          <w:sz w:val="22"/>
          <w:szCs w:val="22"/>
        </w:rPr>
        <w:t xml:space="preserve"> y el grupo de interesados a los que va dirigido el mandato de la Resolución </w:t>
      </w:r>
      <w:r w:rsidR="000D1382">
        <w:rPr>
          <w:rFonts w:ascii="Arial" w:hAnsi="Arial" w:cs="Arial"/>
          <w:sz w:val="22"/>
          <w:szCs w:val="22"/>
        </w:rPr>
        <w:t>256</w:t>
      </w:r>
      <w:r w:rsidRPr="00226216">
        <w:rPr>
          <w:rFonts w:ascii="Arial" w:hAnsi="Arial" w:cs="Arial"/>
          <w:sz w:val="22"/>
          <w:szCs w:val="22"/>
        </w:rPr>
        <w:t xml:space="preserve"> de 201</w:t>
      </w:r>
      <w:r w:rsidR="000D1382">
        <w:rPr>
          <w:rFonts w:ascii="Arial" w:hAnsi="Arial" w:cs="Arial"/>
          <w:sz w:val="22"/>
          <w:szCs w:val="22"/>
        </w:rPr>
        <w:t>8</w:t>
      </w:r>
      <w:r w:rsidRPr="00226216">
        <w:rPr>
          <w:rFonts w:ascii="Arial" w:hAnsi="Arial" w:cs="Arial"/>
          <w:sz w:val="22"/>
          <w:szCs w:val="22"/>
        </w:rPr>
        <w:t xml:space="preserve">, específicamente </w:t>
      </w:r>
      <w:r w:rsidR="00BE132F">
        <w:rPr>
          <w:rFonts w:ascii="Arial" w:hAnsi="Arial" w:cs="Arial"/>
          <w:sz w:val="22"/>
          <w:szCs w:val="22"/>
        </w:rPr>
        <w:t>los</w:t>
      </w:r>
      <w:r w:rsidRPr="00226216">
        <w:rPr>
          <w:rFonts w:ascii="Arial" w:hAnsi="Arial" w:cs="Arial"/>
          <w:sz w:val="22"/>
          <w:szCs w:val="22"/>
        </w:rPr>
        <w:t xml:space="preserve"> término</w:t>
      </w:r>
      <w:r w:rsidR="00BE132F">
        <w:rPr>
          <w:rFonts w:ascii="Arial" w:hAnsi="Arial" w:cs="Arial"/>
          <w:sz w:val="22"/>
          <w:szCs w:val="22"/>
        </w:rPr>
        <w:t>s</w:t>
      </w:r>
      <w:r w:rsidRPr="00226216">
        <w:rPr>
          <w:rFonts w:ascii="Arial" w:hAnsi="Arial" w:cs="Arial"/>
          <w:sz w:val="22"/>
          <w:szCs w:val="22"/>
        </w:rPr>
        <w:t xml:space="preserve"> de</w:t>
      </w:r>
      <w:r w:rsidR="00BE132F">
        <w:rPr>
          <w:rFonts w:ascii="Arial" w:hAnsi="Arial" w:cs="Arial"/>
          <w:sz w:val="22"/>
          <w:szCs w:val="22"/>
        </w:rPr>
        <w:t xml:space="preserve"> la</w:t>
      </w:r>
      <w:r w:rsidR="000D1382">
        <w:rPr>
          <w:rFonts w:ascii="Arial" w:hAnsi="Arial" w:cs="Arial"/>
          <w:sz w:val="22"/>
          <w:szCs w:val="22"/>
        </w:rPr>
        <w:t xml:space="preserve"> </w:t>
      </w:r>
      <w:r w:rsidR="00BE132F">
        <w:rPr>
          <w:rFonts w:ascii="Arial" w:hAnsi="Arial" w:cs="Arial"/>
          <w:sz w:val="22"/>
          <w:szCs w:val="22"/>
        </w:rPr>
        <w:t>vigencia del manual, el régimen</w:t>
      </w:r>
      <w:r w:rsidRPr="00226216">
        <w:rPr>
          <w:rFonts w:ascii="Arial" w:hAnsi="Arial" w:cs="Arial"/>
          <w:sz w:val="22"/>
          <w:szCs w:val="22"/>
        </w:rPr>
        <w:t xml:space="preserve"> transición</w:t>
      </w:r>
      <w:r w:rsidR="00BE132F">
        <w:rPr>
          <w:rFonts w:ascii="Arial" w:hAnsi="Arial" w:cs="Arial"/>
          <w:sz w:val="22"/>
          <w:szCs w:val="22"/>
        </w:rPr>
        <w:t xml:space="preserve"> y la vigencia y derogatorias</w:t>
      </w:r>
      <w:r w:rsidRPr="00226216">
        <w:rPr>
          <w:rFonts w:ascii="Arial" w:hAnsi="Arial" w:cs="Arial"/>
          <w:sz w:val="22"/>
          <w:szCs w:val="22"/>
        </w:rPr>
        <w:t xml:space="preserve"> expuesto</w:t>
      </w:r>
      <w:r w:rsidR="00C56F9D">
        <w:rPr>
          <w:rFonts w:ascii="Arial" w:hAnsi="Arial" w:cs="Arial"/>
          <w:sz w:val="22"/>
          <w:szCs w:val="22"/>
        </w:rPr>
        <w:t>s en los artículos</w:t>
      </w:r>
      <w:r w:rsidR="00557690">
        <w:rPr>
          <w:rFonts w:ascii="Arial" w:hAnsi="Arial" w:cs="Arial"/>
          <w:sz w:val="22"/>
          <w:szCs w:val="22"/>
        </w:rPr>
        <w:t xml:space="preserve"> 9, 10 y 12</w:t>
      </w:r>
      <w:r w:rsidR="00CF11B2">
        <w:rPr>
          <w:rFonts w:ascii="Arial" w:hAnsi="Arial" w:cs="Arial"/>
          <w:sz w:val="22"/>
          <w:szCs w:val="22"/>
        </w:rPr>
        <w:t>.</w:t>
      </w:r>
    </w:p>
    <w:p w:rsidR="00CF11B2" w:rsidRDefault="00CF11B2" w:rsidP="00EB152B">
      <w:pPr>
        <w:contextualSpacing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autoSpaceDE w:val="0"/>
        <w:autoSpaceDN w:val="0"/>
        <w:adjustRightInd w:val="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8. Cualquier otro aspecto que la entidad remitente considere relevante o de importancia para la adopción de la decisión.</w:t>
      </w:r>
    </w:p>
    <w:p w:rsidR="00EB152B" w:rsidRPr="00560EC2" w:rsidRDefault="00EB152B" w:rsidP="00EB152B">
      <w:pPr>
        <w:tabs>
          <w:tab w:val="left" w:pos="709"/>
          <w:tab w:val="left" w:pos="1800"/>
          <w:tab w:val="left" w:pos="8820"/>
        </w:tabs>
        <w:ind w:right="18"/>
        <w:contextualSpacing/>
        <w:jc w:val="both"/>
        <w:rPr>
          <w:rFonts w:ascii="Arial" w:hAnsi="Arial" w:cs="Arial"/>
          <w:sz w:val="22"/>
          <w:szCs w:val="22"/>
        </w:rPr>
      </w:pPr>
    </w:p>
    <w:p w:rsidR="00EB152B" w:rsidRPr="00B2710E" w:rsidRDefault="00EB152B" w:rsidP="00EB152B">
      <w:pPr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 aplica</w:t>
      </w:r>
    </w:p>
    <w:p w:rsidR="00EB152B" w:rsidRDefault="00EB152B" w:rsidP="00EB152B">
      <w:pPr>
        <w:tabs>
          <w:tab w:val="left" w:pos="709"/>
          <w:tab w:val="left" w:pos="1800"/>
          <w:tab w:val="left" w:pos="8820"/>
        </w:tabs>
        <w:ind w:right="18"/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tabs>
          <w:tab w:val="left" w:pos="7365"/>
        </w:tabs>
        <w:jc w:val="center"/>
        <w:rPr>
          <w:rFonts w:ascii="Arial Narrow" w:hAnsi="Arial Narrow" w:cs="Arial"/>
          <w:b/>
          <w:szCs w:val="20"/>
        </w:rPr>
      </w:pPr>
    </w:p>
    <w:p w:rsidR="00EB152B" w:rsidRDefault="00EB152B" w:rsidP="00EB152B">
      <w:pPr>
        <w:tabs>
          <w:tab w:val="left" w:pos="7365"/>
        </w:tabs>
        <w:jc w:val="center"/>
        <w:rPr>
          <w:rFonts w:ascii="Arial Narrow" w:hAnsi="Arial Narrow" w:cs="Arial"/>
          <w:b/>
          <w:szCs w:val="20"/>
        </w:rPr>
      </w:pPr>
    </w:p>
    <w:p w:rsidR="00EB152B" w:rsidRDefault="00EB152B" w:rsidP="00EB152B">
      <w:pPr>
        <w:tabs>
          <w:tab w:val="left" w:pos="7365"/>
        </w:tabs>
        <w:jc w:val="center"/>
        <w:rPr>
          <w:rFonts w:ascii="Arial Narrow" w:hAnsi="Arial Narrow" w:cs="Arial"/>
          <w:b/>
          <w:szCs w:val="20"/>
        </w:rPr>
      </w:pPr>
    </w:p>
    <w:p w:rsidR="00EB152B" w:rsidRPr="00B5137D" w:rsidRDefault="00EB152B" w:rsidP="00EB152B">
      <w:pPr>
        <w:tabs>
          <w:tab w:val="left" w:pos="7365"/>
        </w:tabs>
        <w:rPr>
          <w:rFonts w:ascii="Arial" w:hAnsi="Arial" w:cs="Arial"/>
          <w:b/>
          <w:szCs w:val="20"/>
        </w:rPr>
      </w:pPr>
    </w:p>
    <w:p w:rsidR="00EB152B" w:rsidRPr="00B5137D" w:rsidRDefault="006B144C" w:rsidP="00EB152B">
      <w:pPr>
        <w:tabs>
          <w:tab w:val="left" w:pos="7365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CESAR AUGUSTO REY ÁNGEL </w:t>
      </w:r>
    </w:p>
    <w:p w:rsidR="00EB152B" w:rsidRPr="00B5137D" w:rsidRDefault="00EB152B" w:rsidP="00EB152B">
      <w:pPr>
        <w:tabs>
          <w:tab w:val="left" w:pos="7365"/>
        </w:tabs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Director</w:t>
      </w:r>
      <w:r w:rsidRPr="00B5137D">
        <w:rPr>
          <w:rFonts w:ascii="Arial" w:hAnsi="Arial" w:cs="Arial"/>
          <w:sz w:val="22"/>
          <w:szCs w:val="22"/>
        </w:rPr>
        <w:t xml:space="preserve"> de Bosques, Biodiversidad y Servicios Ecosistémicos</w:t>
      </w:r>
    </w:p>
    <w:p w:rsidR="00EB152B" w:rsidRDefault="00EB152B" w:rsidP="00EB152B">
      <w:pPr>
        <w:tabs>
          <w:tab w:val="left" w:pos="7365"/>
        </w:tabs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tabs>
          <w:tab w:val="left" w:pos="7365"/>
        </w:tabs>
        <w:jc w:val="both"/>
        <w:rPr>
          <w:rFonts w:ascii="Arial" w:hAnsi="Arial" w:cs="Arial"/>
          <w:sz w:val="22"/>
          <w:szCs w:val="22"/>
        </w:rPr>
      </w:pPr>
    </w:p>
    <w:p w:rsidR="00EB152B" w:rsidRDefault="00EB152B" w:rsidP="00EB152B">
      <w:pPr>
        <w:suppressAutoHyphens/>
        <w:jc w:val="both"/>
        <w:outlineLvl w:val="0"/>
        <w:rPr>
          <w:rFonts w:ascii="Arial Narrow" w:hAnsi="Arial Narrow" w:cs="Arial"/>
          <w:sz w:val="16"/>
          <w:szCs w:val="20"/>
        </w:rPr>
      </w:pPr>
    </w:p>
    <w:p w:rsidR="00EB152B" w:rsidRPr="002033B5" w:rsidRDefault="00EB152B" w:rsidP="00EB152B">
      <w:pPr>
        <w:suppressAutoHyphens/>
        <w:jc w:val="both"/>
        <w:outlineLvl w:val="0"/>
        <w:rPr>
          <w:rFonts w:ascii="Arial" w:hAnsi="Arial" w:cs="Arial"/>
          <w:sz w:val="14"/>
          <w:szCs w:val="14"/>
        </w:rPr>
      </w:pPr>
      <w:r w:rsidRPr="00205FDB">
        <w:rPr>
          <w:rFonts w:ascii="Arial Narrow" w:hAnsi="Arial Narrow" w:cs="Arial"/>
          <w:sz w:val="16"/>
          <w:szCs w:val="20"/>
        </w:rPr>
        <w:t>Proyectó:</w:t>
      </w:r>
      <w:r>
        <w:rPr>
          <w:rFonts w:ascii="Arial Narrow" w:hAnsi="Arial Narrow" w:cs="Arial"/>
          <w:sz w:val="16"/>
          <w:szCs w:val="20"/>
        </w:rPr>
        <w:t xml:space="preserve"> </w:t>
      </w:r>
      <w:r w:rsidR="00DC3103">
        <w:rPr>
          <w:rFonts w:ascii="Arial Narrow" w:hAnsi="Arial Narrow" w:cs="Arial"/>
          <w:sz w:val="16"/>
          <w:szCs w:val="20"/>
        </w:rPr>
        <w:t>Fabian Camilo Olave Méndez</w:t>
      </w:r>
      <w:r>
        <w:rPr>
          <w:rFonts w:ascii="Arial Narrow" w:hAnsi="Arial Narrow" w:cs="Arial"/>
          <w:sz w:val="16"/>
          <w:szCs w:val="20"/>
        </w:rPr>
        <w:t xml:space="preserve"> </w:t>
      </w:r>
    </w:p>
    <w:p w:rsidR="004C4687" w:rsidRDefault="004C4687"/>
    <w:sectPr w:rsidR="004C4687" w:rsidSect="00362FDB">
      <w:headerReference w:type="even" r:id="rId7"/>
      <w:headerReference w:type="default" r:id="rId8"/>
      <w:footerReference w:type="default" r:id="rId9"/>
      <w:headerReference w:type="first" r:id="rId10"/>
      <w:pgSz w:w="12242" w:h="15842" w:code="1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754F" w:rsidRDefault="001D754F">
      <w:r>
        <w:separator/>
      </w:r>
    </w:p>
  </w:endnote>
  <w:endnote w:type="continuationSeparator" w:id="0">
    <w:p w:rsidR="001D754F" w:rsidRDefault="001D75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">
    <w:altName w:val="Lucida Sans Unicode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C9F" w:rsidRPr="0095780C" w:rsidRDefault="006B144C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Calle 37 No. 8 – 40 Bogotá, Colombia</w:t>
    </w:r>
  </w:p>
  <w:p w:rsidR="00D41C9F" w:rsidRPr="0095780C" w:rsidRDefault="006B144C">
    <w:pPr>
      <w:pStyle w:val="Piedepgina"/>
      <w:rPr>
        <w:rFonts w:ascii="Futura" w:hAnsi="Futura" w:cs="Futura"/>
        <w:color w:val="808080" w:themeColor="background1" w:themeShade="80"/>
      </w:rPr>
    </w:pPr>
    <w:r w:rsidRPr="0095780C">
      <w:rPr>
        <w:rFonts w:ascii="Futura" w:hAnsi="Futura" w:cs="Futura"/>
        <w:color w:val="808080" w:themeColor="background1" w:themeShade="80"/>
      </w:rPr>
      <w:t>Conmutador (571) 3323400</w:t>
    </w:r>
  </w:p>
  <w:p w:rsidR="00D41C9F" w:rsidRPr="0095780C" w:rsidRDefault="006B144C">
    <w:pPr>
      <w:pStyle w:val="Piedepgina"/>
      <w:rPr>
        <w:rFonts w:ascii="Futura" w:hAnsi="Futura" w:cs="Futura"/>
        <w:color w:val="A5A5A5" w:themeColor="accent3"/>
      </w:rPr>
    </w:pPr>
    <w:r w:rsidRPr="0095780C">
      <w:rPr>
        <w:rFonts w:ascii="Futura" w:hAnsi="Futura" w:cs="Futura"/>
        <w:color w:val="A5A5A5" w:themeColor="accent3"/>
      </w:rPr>
      <w:t xml:space="preserve">www. </w:t>
    </w:r>
    <w:r>
      <w:rPr>
        <w:rFonts w:ascii="Futura" w:hAnsi="Futura" w:cs="Futura"/>
        <w:color w:val="A5A5A5" w:themeColor="accent3"/>
      </w:rPr>
      <w:t>m</w:t>
    </w:r>
    <w:r w:rsidRPr="0095780C">
      <w:rPr>
        <w:rFonts w:ascii="Futura" w:hAnsi="Futura" w:cs="Futura"/>
        <w:color w:val="A5A5A5" w:themeColor="accent3"/>
      </w:rPr>
      <w:t>inambiente.gov.co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754F" w:rsidRDefault="001D754F">
      <w:r>
        <w:separator/>
      </w:r>
    </w:p>
  </w:footnote>
  <w:footnote w:type="continuationSeparator" w:id="0">
    <w:p w:rsidR="001D754F" w:rsidRDefault="001D75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C9F" w:rsidRDefault="001D754F">
    <w:pPr>
      <w:pStyle w:val="Encabezado"/>
    </w:pPr>
    <w:sdt>
      <w:sdtPr>
        <w:id w:val="171999623"/>
        <w:temporary/>
        <w:showingPlcHdr/>
      </w:sdtPr>
      <w:sdtEndPr/>
      <w:sdtContent>
        <w:r w:rsidR="006B144C">
          <w:rPr>
            <w:lang w:val="es-ES"/>
          </w:rPr>
          <w:t>[Escriba texto]</w:t>
        </w:r>
      </w:sdtContent>
    </w:sdt>
    <w:r w:rsidR="006B144C">
      <w:ptab w:relativeTo="margin" w:alignment="center" w:leader="none"/>
    </w:r>
    <w:sdt>
      <w:sdtPr>
        <w:id w:val="171999624"/>
        <w:temporary/>
        <w:showingPlcHdr/>
      </w:sdtPr>
      <w:sdtEndPr/>
      <w:sdtContent>
        <w:r w:rsidR="006B144C">
          <w:rPr>
            <w:lang w:val="es-ES"/>
          </w:rPr>
          <w:t>[Escriba texto]</w:t>
        </w:r>
      </w:sdtContent>
    </w:sdt>
    <w:r w:rsidR="006B144C">
      <w:ptab w:relativeTo="margin" w:alignment="right" w:leader="none"/>
    </w:r>
    <w:sdt>
      <w:sdtPr>
        <w:id w:val="171999625"/>
        <w:temporary/>
        <w:showingPlcHdr/>
      </w:sdtPr>
      <w:sdtEndPr/>
      <w:sdtContent>
        <w:r w:rsidR="006B144C">
          <w:rPr>
            <w:lang w:val="es-ES"/>
          </w:rPr>
          <w:t>[Escriba texto]</w:t>
        </w:r>
      </w:sdtContent>
    </w:sdt>
  </w:p>
  <w:p w:rsidR="00D41C9F" w:rsidRDefault="001D754F">
    <w:pPr>
      <w:pStyle w:val="Encabezado"/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612.45pt;height:807.3pt;z-index:-251656192;mso-wrap-edited:f;mso-position-horizontal:center;mso-position-horizontal-relative:margin;mso-position-vertical:center;mso-position-vertical-relative:margin" wrapcoords="-26 0 -26 21559 21600 21559 21600 0 -26 0">
          <v:imagedata r:id="rId1" o:title="Car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C9F" w:rsidRDefault="006B144C" w:rsidP="0074702F">
    <w:pPr>
      <w:pStyle w:val="Encabezado"/>
      <w:tabs>
        <w:tab w:val="clear" w:pos="4252"/>
        <w:tab w:val="clear" w:pos="8504"/>
        <w:tab w:val="left" w:pos="4125"/>
      </w:tabs>
      <w:rPr>
        <w:noProof/>
        <w:lang w:val="es-CO" w:eastAsia="es-CO"/>
      </w:rPr>
    </w:pPr>
    <w:r>
      <w:rPr>
        <w:noProof/>
        <w:lang w:val="es-CO" w:eastAsia="es-CO"/>
      </w:rPr>
      <w:drawing>
        <wp:anchor distT="0" distB="0" distL="114300" distR="114300" simplePos="0" relativeHeight="251663360" behindDoc="1" locked="0" layoutInCell="1" allowOverlap="1" wp14:anchorId="08845E83" wp14:editId="592A8C99">
          <wp:simplePos x="0" y="0"/>
          <wp:positionH relativeFrom="column">
            <wp:posOffset>4452730</wp:posOffset>
          </wp:positionH>
          <wp:positionV relativeFrom="paragraph">
            <wp:posOffset>-318991</wp:posOffset>
          </wp:positionV>
          <wp:extent cx="2219325" cy="1690914"/>
          <wp:effectExtent l="0" t="0" r="0" b="508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s2_.pngmembrete_new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325" cy="169091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060AE96" wp14:editId="281684A3">
              <wp:simplePos x="0" y="0"/>
              <wp:positionH relativeFrom="column">
                <wp:posOffset>4973320</wp:posOffset>
              </wp:positionH>
              <wp:positionV relativeFrom="paragraph">
                <wp:posOffset>8627745</wp:posOffset>
              </wp:positionV>
              <wp:extent cx="1128395" cy="485775"/>
              <wp:effectExtent l="0" t="0" r="0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8395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1C9F" w:rsidRDefault="006B144C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Memoria Justificativa</w:t>
                          </w:r>
                        </w:p>
                        <w:p w:rsidR="00D41C9F" w:rsidRDefault="006B144C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Código: F-A-GJR-0</w:t>
                          </w: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7</w:t>
                          </w:r>
                        </w:p>
                        <w:p w:rsidR="00D41C9F" w:rsidRDefault="006B144C" w:rsidP="00205FDB">
                          <w:pPr>
                            <w:jc w:val="right"/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Vigencia: 10/09</w:t>
                          </w: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/201</w:t>
                          </w: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3</w:t>
                          </w:r>
                        </w:p>
                        <w:p w:rsidR="00D41C9F" w:rsidRDefault="006B144C" w:rsidP="00205FDB">
                          <w:pPr>
                            <w:jc w:val="right"/>
                            <w:rPr>
                              <w:lang w:val="es-ES"/>
                            </w:rPr>
                          </w:pPr>
                          <w:r w:rsidRPr="00155DED"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</w:rPr>
                            <w:t>Versión: 1</w:t>
                          </w:r>
                          <w:r>
                            <w:rPr>
                              <w:rFonts w:ascii="Futura" w:hAnsi="Futura" w:cs="Futura"/>
                              <w:color w:val="A5A5A5" w:themeColor="accent3"/>
                            </w:rPr>
                            <w:t xml:space="preserve">      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60AE9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1.6pt;margin-top:679.35pt;width:88.85pt;height:3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3iu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" filled="f" stroked="f">
              <v:textbox>
                <w:txbxContent>
                  <w:p w:rsidR="00D41C9F" w:rsidRDefault="006B144C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Memoria Justificativa</w:t>
                    </w:r>
                  </w:p>
                  <w:p w:rsidR="00D41C9F" w:rsidRDefault="006B144C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Código: F-A-GJR-0</w:t>
                    </w: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7</w:t>
                    </w:r>
                  </w:p>
                  <w:p w:rsidR="00D41C9F" w:rsidRDefault="006B144C" w:rsidP="00205FDB">
                    <w:pPr>
                      <w:jc w:val="right"/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Vigencia: 10/09</w:t>
                    </w: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/201</w:t>
                    </w: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3</w:t>
                    </w:r>
                  </w:p>
                  <w:p w:rsidR="00D41C9F" w:rsidRDefault="006B144C" w:rsidP="00205FDB">
                    <w:pPr>
                      <w:jc w:val="right"/>
                      <w:rPr>
                        <w:lang w:val="es-ES"/>
                      </w:rPr>
                    </w:pPr>
                    <w:r w:rsidRPr="00155DED">
                      <w:rPr>
                        <w:rFonts w:ascii="Arial" w:hAnsi="Arial" w:cs="Arial"/>
                        <w:color w:val="808080" w:themeColor="background1" w:themeShade="80"/>
                        <w:sz w:val="14"/>
                      </w:rPr>
                      <w:t>Versión: 1</w:t>
                    </w:r>
                    <w:r>
                      <w:rPr>
                        <w:rFonts w:ascii="Futura" w:hAnsi="Futura" w:cs="Futura"/>
                        <w:color w:val="A5A5A5" w:themeColor="accent3"/>
                      </w:rPr>
                      <w:t xml:space="preserve">       </w:t>
                    </w:r>
                  </w:p>
                </w:txbxContent>
              </v:textbox>
            </v:shape>
          </w:pict>
        </mc:Fallback>
      </mc:AlternateContent>
    </w:r>
  </w:p>
  <w:p w:rsidR="00D41C9F" w:rsidRDefault="001D754F" w:rsidP="0074702F">
    <w:pPr>
      <w:pStyle w:val="Encabezado"/>
      <w:tabs>
        <w:tab w:val="clear" w:pos="4252"/>
        <w:tab w:val="clear" w:pos="8504"/>
        <w:tab w:val="left" w:pos="4125"/>
      </w:tabs>
      <w:rPr>
        <w:noProof/>
        <w:lang w:val="es-CO" w:eastAsia="es-CO"/>
      </w:rPr>
    </w:pPr>
  </w:p>
  <w:p w:rsidR="00D41C9F" w:rsidRDefault="001D754F" w:rsidP="0074702F">
    <w:pPr>
      <w:pStyle w:val="Encabezado"/>
      <w:tabs>
        <w:tab w:val="clear" w:pos="4252"/>
        <w:tab w:val="clear" w:pos="8504"/>
        <w:tab w:val="left" w:pos="4125"/>
      </w:tabs>
      <w:rPr>
        <w:noProof/>
        <w:lang w:val="es-CO" w:eastAsia="es-CO"/>
      </w:rPr>
    </w:pPr>
  </w:p>
  <w:p w:rsidR="00D41C9F" w:rsidRDefault="006B144C" w:rsidP="00E87B1D">
    <w:pPr>
      <w:pStyle w:val="Encabezado"/>
      <w:tabs>
        <w:tab w:val="clear" w:pos="4252"/>
        <w:tab w:val="clear" w:pos="8504"/>
        <w:tab w:val="left" w:pos="5979"/>
      </w:tabs>
      <w:rPr>
        <w:noProof/>
        <w:lang w:val="es-CO" w:eastAsia="es-CO"/>
      </w:rPr>
    </w:pPr>
    <w:r>
      <w:rPr>
        <w:noProof/>
        <w:lang w:val="es-CO" w:eastAsia="es-CO"/>
      </w:rPr>
      <w:tab/>
    </w:r>
  </w:p>
  <w:p w:rsidR="00D41C9F" w:rsidRDefault="001D754F" w:rsidP="00E87B1D">
    <w:pPr>
      <w:pStyle w:val="Encabezado"/>
      <w:tabs>
        <w:tab w:val="clear" w:pos="4252"/>
        <w:tab w:val="clear" w:pos="8504"/>
        <w:tab w:val="left" w:pos="5979"/>
      </w:tabs>
      <w:rPr>
        <w:noProof/>
        <w:lang w:val="es-CO" w:eastAsia="es-CO"/>
      </w:rPr>
    </w:pPr>
  </w:p>
  <w:p w:rsidR="00D41C9F" w:rsidRDefault="001D754F" w:rsidP="0074702F">
    <w:pPr>
      <w:pStyle w:val="Encabezado"/>
      <w:tabs>
        <w:tab w:val="clear" w:pos="4252"/>
        <w:tab w:val="clear" w:pos="8504"/>
        <w:tab w:val="left" w:pos="4125"/>
      </w:tabs>
      <w:rPr>
        <w:noProof/>
        <w:lang w:val="es-CO" w:eastAsia="es-CO"/>
      </w:rPr>
    </w:pPr>
  </w:p>
  <w:p w:rsidR="00D41C9F" w:rsidRDefault="001D754F" w:rsidP="0074702F">
    <w:pPr>
      <w:pStyle w:val="Encabezado"/>
      <w:tabs>
        <w:tab w:val="clear" w:pos="4252"/>
        <w:tab w:val="clear" w:pos="8504"/>
        <w:tab w:val="left" w:pos="4125"/>
      </w:tabs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-1in;margin-top:-63.4pt;width:643.5pt;height:802.25pt;z-index:-251657216;mso-wrap-edited:f;mso-position-horizontal-relative:margin;mso-position-vertical-relative:margin" wrapcoords="-26 0 -26 21559 21600 21559 21600 0 -26 0">
          <v:imagedata r:id="rId2" o:title="Carta"/>
          <w10:wrap anchorx="margin" anchory="margin"/>
        </v:shape>
      </w:pict>
    </w:r>
    <w:r w:rsidR="006B144C">
      <w:tab/>
    </w:r>
  </w:p>
  <w:p w:rsidR="00D41C9F" w:rsidRDefault="001D754F" w:rsidP="0074702F">
    <w:pPr>
      <w:pStyle w:val="Encabezado"/>
      <w:tabs>
        <w:tab w:val="clear" w:pos="4252"/>
        <w:tab w:val="clear" w:pos="8504"/>
        <w:tab w:val="left" w:pos="412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1C9F" w:rsidRDefault="001D754F">
    <w:pPr>
      <w:pStyle w:val="Encabezado"/>
    </w:pPr>
    <w:r>
      <w:rPr>
        <w:noProof/>
        <w:lang w:val="es-E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612.45pt;height:807.3pt;z-index:-251655168;mso-wrap-edited:f;mso-position-horizontal:center;mso-position-horizontal-relative:margin;mso-position-vertical:center;mso-position-vertical-relative:margin" wrapcoords="-26 0 -26 21559 21600 21559 21600 0 -26 0">
          <v:imagedata r:id="rId1" o:title="Car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81118"/>
    <w:multiLevelType w:val="hybridMultilevel"/>
    <w:tmpl w:val="BCF0E1A0"/>
    <w:lvl w:ilvl="0" w:tplc="7C46ED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CF51299"/>
    <w:multiLevelType w:val="hybridMultilevel"/>
    <w:tmpl w:val="60C83BD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52B"/>
    <w:rsid w:val="00010CB9"/>
    <w:rsid w:val="000520BD"/>
    <w:rsid w:val="000C0587"/>
    <w:rsid w:val="000D1382"/>
    <w:rsid w:val="00151BDD"/>
    <w:rsid w:val="001B0130"/>
    <w:rsid w:val="001D754F"/>
    <w:rsid w:val="001F17D8"/>
    <w:rsid w:val="00226216"/>
    <w:rsid w:val="00327E96"/>
    <w:rsid w:val="00362B75"/>
    <w:rsid w:val="003927E5"/>
    <w:rsid w:val="0039779C"/>
    <w:rsid w:val="003B77D4"/>
    <w:rsid w:val="003D0B88"/>
    <w:rsid w:val="00485AE5"/>
    <w:rsid w:val="004C4687"/>
    <w:rsid w:val="00501E77"/>
    <w:rsid w:val="0053125D"/>
    <w:rsid w:val="00557690"/>
    <w:rsid w:val="005B6C31"/>
    <w:rsid w:val="00606C9D"/>
    <w:rsid w:val="006B144C"/>
    <w:rsid w:val="00716A72"/>
    <w:rsid w:val="00790376"/>
    <w:rsid w:val="007F7522"/>
    <w:rsid w:val="0083077E"/>
    <w:rsid w:val="00866D55"/>
    <w:rsid w:val="00883BE4"/>
    <w:rsid w:val="008A775B"/>
    <w:rsid w:val="008B51A5"/>
    <w:rsid w:val="008B614A"/>
    <w:rsid w:val="00903D65"/>
    <w:rsid w:val="00923866"/>
    <w:rsid w:val="00981C21"/>
    <w:rsid w:val="009B2E01"/>
    <w:rsid w:val="00A32371"/>
    <w:rsid w:val="00A370A3"/>
    <w:rsid w:val="00A703BD"/>
    <w:rsid w:val="00AA3029"/>
    <w:rsid w:val="00AF12A9"/>
    <w:rsid w:val="00B20C00"/>
    <w:rsid w:val="00BC3423"/>
    <w:rsid w:val="00BE132F"/>
    <w:rsid w:val="00BF1B9B"/>
    <w:rsid w:val="00C56F9D"/>
    <w:rsid w:val="00CB7483"/>
    <w:rsid w:val="00CC1EB1"/>
    <w:rsid w:val="00CD11A6"/>
    <w:rsid w:val="00CD5694"/>
    <w:rsid w:val="00CF11B2"/>
    <w:rsid w:val="00D24C69"/>
    <w:rsid w:val="00D350D7"/>
    <w:rsid w:val="00DC3103"/>
    <w:rsid w:val="00E87185"/>
    <w:rsid w:val="00EB152B"/>
    <w:rsid w:val="00F8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7B3919C7-3CAA-4231-88B2-AD3A1D8F0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152B"/>
    <w:pPr>
      <w:spacing w:after="0" w:line="240" w:lineRule="auto"/>
    </w:pPr>
    <w:rPr>
      <w:rFonts w:eastAsiaTheme="minorEastAsia"/>
      <w:sz w:val="24"/>
      <w:szCs w:val="24"/>
      <w:lang w:val="es-ES_tradnl"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EB15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EB152B"/>
    <w:rPr>
      <w:rFonts w:eastAsiaTheme="minorEastAsia"/>
      <w:sz w:val="24"/>
      <w:szCs w:val="24"/>
      <w:lang w:val="es-ES_tradnl" w:eastAsia="es-ES"/>
    </w:rPr>
  </w:style>
  <w:style w:type="paragraph" w:styleId="Piedepgina">
    <w:name w:val="footer"/>
    <w:basedOn w:val="Normal"/>
    <w:link w:val="PiedepginaCar"/>
    <w:uiPriority w:val="99"/>
    <w:unhideWhenUsed/>
    <w:rsid w:val="00EB15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B152B"/>
    <w:rPr>
      <w:rFonts w:eastAsiaTheme="minorEastAsia"/>
      <w:sz w:val="24"/>
      <w:szCs w:val="24"/>
      <w:lang w:val="es-ES_tradnl" w:eastAsia="es-ES"/>
    </w:rPr>
  </w:style>
  <w:style w:type="paragraph" w:styleId="Prrafodelista">
    <w:name w:val="List Paragraph"/>
    <w:aliases w:val="titulo 5,Bolita"/>
    <w:basedOn w:val="Normal"/>
    <w:link w:val="PrrafodelistaCar"/>
    <w:uiPriority w:val="34"/>
    <w:qFormat/>
    <w:rsid w:val="00EB152B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EB152B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s-CO" w:eastAsia="es-CO"/>
    </w:rPr>
  </w:style>
  <w:style w:type="character" w:customStyle="1" w:styleId="PrrafodelistaCar">
    <w:name w:val="Párrafo de lista Car"/>
    <w:aliases w:val="titulo 5 Car,Bolita Car"/>
    <w:link w:val="Prrafodelista"/>
    <w:uiPriority w:val="34"/>
    <w:locked/>
    <w:rsid w:val="00EB152B"/>
    <w:rPr>
      <w:rFonts w:eastAsiaTheme="minorEastAsia"/>
      <w:sz w:val="24"/>
      <w:szCs w:val="24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A775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A775B"/>
    <w:rPr>
      <w:rFonts w:ascii="Segoe UI" w:eastAsiaTheme="minorEastAsia" w:hAnsi="Segoe UI" w:cs="Segoe UI"/>
      <w:sz w:val="18"/>
      <w:szCs w:val="18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896</Words>
  <Characters>4930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Yenny Paola Lozano Romero</dc:creator>
  <cp:keywords/>
  <dc:description/>
  <cp:lastModifiedBy>Fabian Camilo Olave Mendez</cp:lastModifiedBy>
  <cp:revision>12</cp:revision>
  <cp:lastPrinted>2017-11-29T21:39:00Z</cp:lastPrinted>
  <dcterms:created xsi:type="dcterms:W3CDTF">2018-05-21T22:49:00Z</dcterms:created>
  <dcterms:modified xsi:type="dcterms:W3CDTF">2018-05-22T16:36:00Z</dcterms:modified>
</cp:coreProperties>
</file>